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6.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765F9" w14:textId="77777777" w:rsidR="00384F26" w:rsidRPr="009B2D70" w:rsidRDefault="00384F26" w:rsidP="005D6A2E">
      <w:pPr>
        <w:spacing w:after="0"/>
        <w:rPr>
          <w:rFonts w:asciiTheme="minorHAnsi" w:hAnsiTheme="minorHAnsi"/>
          <w:b/>
          <w:color w:val="000080"/>
          <w:sz w:val="26"/>
          <w:szCs w:val="32"/>
        </w:rPr>
      </w:pPr>
      <w:bookmarkStart w:id="0" w:name="_Toc289376432"/>
      <w:bookmarkStart w:id="1" w:name="_GoBack"/>
      <w:bookmarkEnd w:id="1"/>
      <w:r w:rsidRPr="009B2D70">
        <w:rPr>
          <w:rFonts w:asciiTheme="minorHAnsi" w:hAnsiTheme="minorHAnsi"/>
          <w:b/>
          <w:color w:val="000080"/>
          <w:sz w:val="26"/>
          <w:szCs w:val="32"/>
        </w:rPr>
        <w:t xml:space="preserve">Vanuatu Technical and Vocational Education </w:t>
      </w:r>
    </w:p>
    <w:p w14:paraId="2F3FBFA6" w14:textId="77777777" w:rsidR="00384F26" w:rsidRPr="009B2D70" w:rsidRDefault="00384F26" w:rsidP="00384F26">
      <w:pPr>
        <w:spacing w:after="0"/>
        <w:rPr>
          <w:rFonts w:asciiTheme="minorHAnsi" w:hAnsiTheme="minorHAnsi"/>
          <w:b/>
          <w:color w:val="000080"/>
          <w:sz w:val="26"/>
          <w:szCs w:val="32"/>
        </w:rPr>
      </w:pPr>
      <w:r w:rsidRPr="009B2D70">
        <w:rPr>
          <w:rFonts w:asciiTheme="minorHAnsi" w:hAnsiTheme="minorHAnsi"/>
          <w:b/>
          <w:color w:val="000080"/>
          <w:sz w:val="26"/>
          <w:szCs w:val="32"/>
        </w:rPr>
        <w:t>and Training Sector Strengthening Program</w:t>
      </w:r>
    </w:p>
    <w:p w14:paraId="3BA81401" w14:textId="77777777" w:rsidR="00384F26" w:rsidRPr="009B2D70" w:rsidRDefault="00384F26" w:rsidP="00384F26">
      <w:pPr>
        <w:spacing w:after="0"/>
        <w:rPr>
          <w:rFonts w:asciiTheme="minorHAnsi" w:hAnsiTheme="minorHAnsi"/>
          <w:color w:val="000080"/>
          <w:sz w:val="36"/>
          <w:szCs w:val="36"/>
        </w:rPr>
      </w:pPr>
      <w:r w:rsidRPr="009B2D70">
        <w:rPr>
          <w:rFonts w:asciiTheme="minorHAnsi" w:hAnsiTheme="minorHAnsi"/>
          <w:b/>
          <w:color w:val="000080"/>
          <w:sz w:val="26"/>
          <w:szCs w:val="32"/>
        </w:rPr>
        <w:t>Phase 2</w:t>
      </w:r>
    </w:p>
    <w:p w14:paraId="3A1435E4" w14:textId="77777777" w:rsidR="00384F26" w:rsidRPr="009B2D70" w:rsidRDefault="00384F26" w:rsidP="00384F26">
      <w:pPr>
        <w:spacing w:after="0"/>
        <w:rPr>
          <w:rFonts w:asciiTheme="minorHAnsi" w:hAnsiTheme="minorHAnsi"/>
          <w:color w:val="000080"/>
          <w:sz w:val="36"/>
          <w:szCs w:val="36"/>
        </w:rPr>
      </w:pPr>
    </w:p>
    <w:p w14:paraId="34644944" w14:textId="77777777" w:rsidR="00384F26" w:rsidRPr="009B2D70" w:rsidRDefault="00384F26" w:rsidP="00384F26">
      <w:pPr>
        <w:spacing w:after="0"/>
        <w:rPr>
          <w:rFonts w:asciiTheme="minorHAnsi" w:hAnsiTheme="minorHAnsi"/>
          <w:color w:val="000080"/>
          <w:sz w:val="36"/>
          <w:szCs w:val="36"/>
        </w:rPr>
      </w:pPr>
    </w:p>
    <w:p w14:paraId="065B7C97" w14:textId="77777777" w:rsidR="00384F26" w:rsidRPr="009B2D70" w:rsidRDefault="00384F26" w:rsidP="00384F26">
      <w:pPr>
        <w:spacing w:after="0"/>
        <w:rPr>
          <w:rFonts w:asciiTheme="minorHAnsi" w:hAnsiTheme="minorHAnsi"/>
          <w:color w:val="000080"/>
          <w:sz w:val="36"/>
          <w:szCs w:val="36"/>
        </w:rPr>
      </w:pPr>
    </w:p>
    <w:p w14:paraId="7EC759E2" w14:textId="77777777" w:rsidR="00384F26" w:rsidRPr="009B2D70" w:rsidRDefault="00384F26" w:rsidP="00384F26">
      <w:pPr>
        <w:spacing w:after="0"/>
        <w:rPr>
          <w:rFonts w:asciiTheme="minorHAnsi" w:hAnsiTheme="minorHAnsi"/>
          <w:color w:val="000080"/>
          <w:sz w:val="36"/>
          <w:szCs w:val="36"/>
        </w:rPr>
      </w:pPr>
    </w:p>
    <w:p w14:paraId="40D039AC" w14:textId="77777777" w:rsidR="00384F26" w:rsidRPr="009B2D70" w:rsidRDefault="00384F26" w:rsidP="00384F26">
      <w:pPr>
        <w:spacing w:after="0"/>
        <w:rPr>
          <w:rFonts w:asciiTheme="minorHAnsi" w:hAnsiTheme="minorHAnsi"/>
          <w:color w:val="000080"/>
          <w:sz w:val="36"/>
          <w:szCs w:val="36"/>
        </w:rPr>
      </w:pPr>
    </w:p>
    <w:p w14:paraId="0F415E05" w14:textId="77777777" w:rsidR="00384F26" w:rsidRPr="009B2D70" w:rsidRDefault="00384F26" w:rsidP="00384F26">
      <w:pPr>
        <w:spacing w:after="0"/>
        <w:ind w:right="429"/>
        <w:jc w:val="right"/>
        <w:rPr>
          <w:rFonts w:asciiTheme="minorHAnsi" w:hAnsiTheme="minorHAnsi"/>
          <w:color w:val="000080"/>
          <w:sz w:val="48"/>
          <w:szCs w:val="48"/>
        </w:rPr>
      </w:pPr>
      <w:r w:rsidRPr="009B2D70">
        <w:rPr>
          <w:rFonts w:asciiTheme="minorHAnsi" w:hAnsiTheme="minorHAnsi"/>
          <w:color w:val="000080"/>
          <w:sz w:val="48"/>
          <w:szCs w:val="48"/>
        </w:rPr>
        <w:t xml:space="preserve">Work Plan </w:t>
      </w:r>
    </w:p>
    <w:p w14:paraId="59C093D2" w14:textId="77777777" w:rsidR="00384F26" w:rsidRPr="009B2D70" w:rsidRDefault="00384F26" w:rsidP="00384F26">
      <w:pPr>
        <w:spacing w:after="0"/>
        <w:ind w:right="429"/>
        <w:jc w:val="right"/>
        <w:rPr>
          <w:rFonts w:asciiTheme="minorHAnsi" w:hAnsiTheme="minorHAnsi"/>
          <w:color w:val="000080"/>
          <w:sz w:val="40"/>
          <w:szCs w:val="40"/>
        </w:rPr>
        <w:sectPr w:rsidR="00384F26" w:rsidRPr="009B2D70" w:rsidSect="00E50C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9B2D70">
        <w:rPr>
          <w:rFonts w:asciiTheme="minorHAnsi" w:hAnsiTheme="minorHAnsi"/>
          <w:color w:val="000080"/>
          <w:sz w:val="40"/>
          <w:szCs w:val="40"/>
        </w:rPr>
        <w:t xml:space="preserve">June </w:t>
      </w:r>
      <w:r w:rsidR="00BA1C78">
        <w:rPr>
          <w:rFonts w:asciiTheme="minorHAnsi" w:hAnsiTheme="minorHAnsi"/>
          <w:color w:val="000080"/>
          <w:sz w:val="40"/>
          <w:szCs w:val="40"/>
        </w:rPr>
        <w:t xml:space="preserve">2012 </w:t>
      </w:r>
      <w:r w:rsidRPr="009B2D70">
        <w:rPr>
          <w:rFonts w:asciiTheme="minorHAnsi" w:hAnsiTheme="minorHAnsi"/>
          <w:color w:val="000080"/>
          <w:sz w:val="40"/>
          <w:szCs w:val="40"/>
        </w:rPr>
        <w:t xml:space="preserve">– </w:t>
      </w:r>
      <w:r w:rsidR="00BA1C78">
        <w:rPr>
          <w:rFonts w:asciiTheme="minorHAnsi" w:hAnsiTheme="minorHAnsi"/>
          <w:color w:val="000080"/>
          <w:sz w:val="40"/>
          <w:szCs w:val="40"/>
        </w:rPr>
        <w:t>January</w:t>
      </w:r>
      <w:r w:rsidRPr="009B2D70">
        <w:rPr>
          <w:rFonts w:asciiTheme="minorHAnsi" w:hAnsiTheme="minorHAnsi"/>
          <w:color w:val="000080"/>
          <w:sz w:val="40"/>
          <w:szCs w:val="40"/>
        </w:rPr>
        <w:t xml:space="preserve"> 201</w:t>
      </w:r>
      <w:r w:rsidR="00BA1C78">
        <w:rPr>
          <w:rFonts w:asciiTheme="minorHAnsi" w:hAnsiTheme="minorHAnsi"/>
          <w:color w:val="000080"/>
          <w:sz w:val="40"/>
          <w:szCs w:val="40"/>
        </w:rPr>
        <w:t>3</w:t>
      </w:r>
    </w:p>
    <w:p w14:paraId="4BF3CD5C" w14:textId="77777777" w:rsidR="00384F26" w:rsidRPr="009B2D70" w:rsidRDefault="00384F26" w:rsidP="00384F26">
      <w:pPr>
        <w:spacing w:after="0"/>
        <w:ind w:right="429"/>
        <w:jc w:val="right"/>
        <w:rPr>
          <w:rFonts w:asciiTheme="minorHAnsi" w:hAnsiTheme="minorHAnsi"/>
          <w:color w:val="000080"/>
          <w:sz w:val="40"/>
          <w:szCs w:val="40"/>
        </w:rPr>
      </w:pPr>
    </w:p>
    <w:p w14:paraId="631A15BE" w14:textId="77777777" w:rsidR="00384F26" w:rsidRPr="009B2D70" w:rsidRDefault="00384F26" w:rsidP="00384F26">
      <w:pPr>
        <w:spacing w:after="0"/>
        <w:jc w:val="right"/>
        <w:rPr>
          <w:rFonts w:asciiTheme="minorHAnsi" w:hAnsiTheme="minorHAnsi"/>
          <w:color w:val="000080"/>
          <w:sz w:val="36"/>
          <w:szCs w:val="36"/>
        </w:rPr>
      </w:pPr>
    </w:p>
    <w:p w14:paraId="7AC0F343" w14:textId="77777777" w:rsidR="00384F26" w:rsidRPr="009B2D70" w:rsidRDefault="00705121" w:rsidP="00742596">
      <w:pPr>
        <w:rPr>
          <w:rFonts w:asciiTheme="minorHAnsi" w:hAnsiTheme="minorHAnsi"/>
          <w:b/>
          <w:color w:val="1F497D" w:themeColor="text2"/>
          <w:sz w:val="32"/>
          <w:szCs w:val="32"/>
        </w:rPr>
      </w:pPr>
      <w:r w:rsidRPr="009B2D70">
        <w:rPr>
          <w:rFonts w:asciiTheme="minorHAnsi" w:hAnsiTheme="minorHAnsi"/>
          <w:b/>
          <w:color w:val="1F497D" w:themeColor="text2"/>
          <w:sz w:val="32"/>
          <w:szCs w:val="32"/>
        </w:rPr>
        <w:t>Contents</w:t>
      </w:r>
    </w:p>
    <w:p w14:paraId="574137FE" w14:textId="77777777" w:rsidR="009B2D70" w:rsidRPr="009B2D70" w:rsidRDefault="009B2D70" w:rsidP="00742596">
      <w:pPr>
        <w:rPr>
          <w:rFonts w:asciiTheme="minorHAnsi" w:hAnsiTheme="minorHAnsi"/>
          <w:b/>
          <w:color w:val="1F497D" w:themeColor="text2"/>
          <w:sz w:val="32"/>
          <w:szCs w:val="32"/>
        </w:rPr>
      </w:pPr>
    </w:p>
    <w:p w14:paraId="7C0DDF6A" w14:textId="77777777" w:rsidR="00FE4FDF" w:rsidRDefault="00580C17">
      <w:pPr>
        <w:pStyle w:val="TOC1"/>
        <w:tabs>
          <w:tab w:val="left" w:pos="660"/>
          <w:tab w:val="right" w:leader="dot" w:pos="9350"/>
        </w:tabs>
        <w:rPr>
          <w:rFonts w:asciiTheme="minorHAnsi" w:eastAsiaTheme="minorEastAsia" w:hAnsiTheme="minorHAnsi" w:cstheme="minorBidi"/>
          <w:noProof/>
          <w:sz w:val="22"/>
          <w:szCs w:val="22"/>
          <w:lang w:eastAsia="en-AU"/>
        </w:rPr>
      </w:pPr>
      <w:r w:rsidRPr="009B2D70">
        <w:rPr>
          <w:rFonts w:asciiTheme="minorHAnsi" w:hAnsiTheme="minorHAnsi"/>
        </w:rPr>
        <w:fldChar w:fldCharType="begin"/>
      </w:r>
      <w:r w:rsidR="00742596" w:rsidRPr="009B2D70">
        <w:rPr>
          <w:rFonts w:asciiTheme="minorHAnsi" w:hAnsiTheme="minorHAnsi"/>
        </w:rPr>
        <w:instrText xml:space="preserve"> TOC \o "1-2" \h \z \u </w:instrText>
      </w:r>
      <w:r w:rsidRPr="009B2D70">
        <w:rPr>
          <w:rFonts w:asciiTheme="minorHAnsi" w:hAnsiTheme="minorHAnsi"/>
        </w:rPr>
        <w:fldChar w:fldCharType="separate"/>
      </w:r>
      <w:hyperlink w:anchor="_Toc323462482" w:history="1">
        <w:r w:rsidR="00FE4FDF" w:rsidRPr="001200C2">
          <w:rPr>
            <w:rStyle w:val="Hyperlink"/>
            <w:noProof/>
          </w:rPr>
          <w:t>1.0</w:t>
        </w:r>
        <w:r w:rsidR="00FE4FDF">
          <w:rPr>
            <w:rFonts w:asciiTheme="minorHAnsi" w:eastAsiaTheme="minorEastAsia" w:hAnsiTheme="minorHAnsi" w:cstheme="minorBidi"/>
            <w:noProof/>
            <w:sz w:val="22"/>
            <w:szCs w:val="22"/>
            <w:lang w:eastAsia="en-AU"/>
          </w:rPr>
          <w:tab/>
        </w:r>
        <w:r w:rsidR="00FE4FDF" w:rsidRPr="001200C2">
          <w:rPr>
            <w:rStyle w:val="Hyperlink"/>
            <w:noProof/>
          </w:rPr>
          <w:t>Introduction</w:t>
        </w:r>
        <w:r w:rsidR="00FE4FDF">
          <w:rPr>
            <w:noProof/>
            <w:webHidden/>
          </w:rPr>
          <w:tab/>
        </w:r>
        <w:r>
          <w:rPr>
            <w:noProof/>
            <w:webHidden/>
          </w:rPr>
          <w:fldChar w:fldCharType="begin"/>
        </w:r>
        <w:r w:rsidR="00FE4FDF">
          <w:rPr>
            <w:noProof/>
            <w:webHidden/>
          </w:rPr>
          <w:instrText xml:space="preserve"> PAGEREF _Toc323462482 \h </w:instrText>
        </w:r>
        <w:r>
          <w:rPr>
            <w:noProof/>
            <w:webHidden/>
          </w:rPr>
        </w:r>
        <w:r>
          <w:rPr>
            <w:noProof/>
            <w:webHidden/>
          </w:rPr>
          <w:fldChar w:fldCharType="separate"/>
        </w:r>
        <w:r w:rsidR="00FE4FDF">
          <w:rPr>
            <w:noProof/>
            <w:webHidden/>
          </w:rPr>
          <w:t>1</w:t>
        </w:r>
        <w:r>
          <w:rPr>
            <w:noProof/>
            <w:webHidden/>
          </w:rPr>
          <w:fldChar w:fldCharType="end"/>
        </w:r>
      </w:hyperlink>
    </w:p>
    <w:p w14:paraId="3B40E509" w14:textId="77777777" w:rsidR="00FE4FDF" w:rsidRDefault="00477B97">
      <w:pPr>
        <w:pStyle w:val="TOC1"/>
        <w:tabs>
          <w:tab w:val="left" w:pos="660"/>
          <w:tab w:val="right" w:leader="dot" w:pos="9350"/>
        </w:tabs>
        <w:rPr>
          <w:rFonts w:asciiTheme="minorHAnsi" w:eastAsiaTheme="minorEastAsia" w:hAnsiTheme="minorHAnsi" w:cstheme="minorBidi"/>
          <w:noProof/>
          <w:sz w:val="22"/>
          <w:szCs w:val="22"/>
          <w:lang w:eastAsia="en-AU"/>
        </w:rPr>
      </w:pPr>
      <w:hyperlink w:anchor="_Toc323462483" w:history="1">
        <w:r w:rsidR="00FE4FDF" w:rsidRPr="001200C2">
          <w:rPr>
            <w:rStyle w:val="Hyperlink"/>
            <w:noProof/>
          </w:rPr>
          <w:t>2.0</w:t>
        </w:r>
        <w:r w:rsidR="00FE4FDF">
          <w:rPr>
            <w:rFonts w:asciiTheme="minorHAnsi" w:eastAsiaTheme="minorEastAsia" w:hAnsiTheme="minorHAnsi" w:cstheme="minorBidi"/>
            <w:noProof/>
            <w:sz w:val="22"/>
            <w:szCs w:val="22"/>
            <w:lang w:eastAsia="en-AU"/>
          </w:rPr>
          <w:tab/>
        </w:r>
        <w:r w:rsidR="00FE4FDF" w:rsidRPr="001200C2">
          <w:rPr>
            <w:rStyle w:val="Hyperlink"/>
            <w:noProof/>
          </w:rPr>
          <w:t>Work Program</w:t>
        </w:r>
        <w:r w:rsidR="00FE4FDF">
          <w:rPr>
            <w:noProof/>
            <w:webHidden/>
          </w:rPr>
          <w:tab/>
        </w:r>
        <w:r w:rsidR="00580C17">
          <w:rPr>
            <w:noProof/>
            <w:webHidden/>
          </w:rPr>
          <w:fldChar w:fldCharType="begin"/>
        </w:r>
        <w:r w:rsidR="00FE4FDF">
          <w:rPr>
            <w:noProof/>
            <w:webHidden/>
          </w:rPr>
          <w:instrText xml:space="preserve"> PAGEREF _Toc323462483 \h </w:instrText>
        </w:r>
        <w:r w:rsidR="00580C17">
          <w:rPr>
            <w:noProof/>
            <w:webHidden/>
          </w:rPr>
        </w:r>
        <w:r w:rsidR="00580C17">
          <w:rPr>
            <w:noProof/>
            <w:webHidden/>
          </w:rPr>
          <w:fldChar w:fldCharType="separate"/>
        </w:r>
        <w:r w:rsidR="00FE4FDF">
          <w:rPr>
            <w:noProof/>
            <w:webHidden/>
          </w:rPr>
          <w:t>2</w:t>
        </w:r>
        <w:r w:rsidR="00580C17">
          <w:rPr>
            <w:noProof/>
            <w:webHidden/>
          </w:rPr>
          <w:fldChar w:fldCharType="end"/>
        </w:r>
      </w:hyperlink>
    </w:p>
    <w:p w14:paraId="439F6A1A" w14:textId="77777777" w:rsidR="00FE4FDF" w:rsidRDefault="00477B97">
      <w:pPr>
        <w:pStyle w:val="TOC2"/>
        <w:tabs>
          <w:tab w:val="left" w:pos="880"/>
          <w:tab w:val="right" w:leader="dot" w:pos="9350"/>
        </w:tabs>
        <w:rPr>
          <w:rFonts w:asciiTheme="minorHAnsi" w:eastAsiaTheme="minorEastAsia" w:hAnsiTheme="minorHAnsi" w:cstheme="minorBidi"/>
          <w:noProof/>
          <w:sz w:val="22"/>
          <w:szCs w:val="22"/>
          <w:lang w:eastAsia="en-AU"/>
        </w:rPr>
      </w:pPr>
      <w:hyperlink w:anchor="_Toc323462484" w:history="1">
        <w:r w:rsidR="00FE4FDF" w:rsidRPr="001200C2">
          <w:rPr>
            <w:rStyle w:val="Hyperlink"/>
            <w:noProof/>
            <w:lang w:val="en-GB"/>
          </w:rPr>
          <w:t>2.1</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TVET Systems</w:t>
        </w:r>
        <w:r w:rsidR="00FE4FDF">
          <w:rPr>
            <w:noProof/>
            <w:webHidden/>
          </w:rPr>
          <w:tab/>
        </w:r>
        <w:r w:rsidR="00580C17">
          <w:rPr>
            <w:noProof/>
            <w:webHidden/>
          </w:rPr>
          <w:fldChar w:fldCharType="begin"/>
        </w:r>
        <w:r w:rsidR="00FE4FDF">
          <w:rPr>
            <w:noProof/>
            <w:webHidden/>
          </w:rPr>
          <w:instrText xml:space="preserve"> PAGEREF _Toc323462484 \h </w:instrText>
        </w:r>
        <w:r w:rsidR="00580C17">
          <w:rPr>
            <w:noProof/>
            <w:webHidden/>
          </w:rPr>
        </w:r>
        <w:r w:rsidR="00580C17">
          <w:rPr>
            <w:noProof/>
            <w:webHidden/>
          </w:rPr>
          <w:fldChar w:fldCharType="separate"/>
        </w:r>
        <w:r w:rsidR="00FE4FDF">
          <w:rPr>
            <w:noProof/>
            <w:webHidden/>
          </w:rPr>
          <w:t>2</w:t>
        </w:r>
        <w:r w:rsidR="00580C17">
          <w:rPr>
            <w:noProof/>
            <w:webHidden/>
          </w:rPr>
          <w:fldChar w:fldCharType="end"/>
        </w:r>
      </w:hyperlink>
    </w:p>
    <w:p w14:paraId="55B64D7F" w14:textId="77777777" w:rsidR="00FE4FDF" w:rsidRDefault="00477B97">
      <w:pPr>
        <w:pStyle w:val="TOC2"/>
        <w:tabs>
          <w:tab w:val="left" w:pos="880"/>
          <w:tab w:val="right" w:leader="dot" w:pos="9350"/>
        </w:tabs>
        <w:rPr>
          <w:rFonts w:asciiTheme="minorHAnsi" w:eastAsiaTheme="minorEastAsia" w:hAnsiTheme="minorHAnsi" w:cstheme="minorBidi"/>
          <w:noProof/>
          <w:sz w:val="22"/>
          <w:szCs w:val="22"/>
          <w:lang w:eastAsia="en-AU"/>
        </w:rPr>
      </w:pPr>
      <w:hyperlink w:anchor="_Toc323462485" w:history="1">
        <w:r w:rsidR="00FE4FDF" w:rsidRPr="001200C2">
          <w:rPr>
            <w:rStyle w:val="Hyperlink"/>
            <w:noProof/>
            <w:lang w:val="en-GB"/>
          </w:rPr>
          <w:t>2.2</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Provincial Coordination</w:t>
        </w:r>
        <w:r w:rsidR="00FE4FDF">
          <w:rPr>
            <w:noProof/>
            <w:webHidden/>
          </w:rPr>
          <w:tab/>
        </w:r>
        <w:r w:rsidR="00580C17">
          <w:rPr>
            <w:noProof/>
            <w:webHidden/>
          </w:rPr>
          <w:fldChar w:fldCharType="begin"/>
        </w:r>
        <w:r w:rsidR="00FE4FDF">
          <w:rPr>
            <w:noProof/>
            <w:webHidden/>
          </w:rPr>
          <w:instrText xml:space="preserve"> PAGEREF _Toc323462485 \h </w:instrText>
        </w:r>
        <w:r w:rsidR="00580C17">
          <w:rPr>
            <w:noProof/>
            <w:webHidden/>
          </w:rPr>
        </w:r>
        <w:r w:rsidR="00580C17">
          <w:rPr>
            <w:noProof/>
            <w:webHidden/>
          </w:rPr>
          <w:fldChar w:fldCharType="separate"/>
        </w:r>
        <w:r w:rsidR="00FE4FDF">
          <w:rPr>
            <w:noProof/>
            <w:webHidden/>
          </w:rPr>
          <w:t>5</w:t>
        </w:r>
        <w:r w:rsidR="00580C17">
          <w:rPr>
            <w:noProof/>
            <w:webHidden/>
          </w:rPr>
          <w:fldChar w:fldCharType="end"/>
        </w:r>
      </w:hyperlink>
    </w:p>
    <w:p w14:paraId="4DC7EA1C" w14:textId="77777777" w:rsidR="00FE4FDF" w:rsidRDefault="00477B97">
      <w:pPr>
        <w:pStyle w:val="TOC2"/>
        <w:tabs>
          <w:tab w:val="left" w:pos="880"/>
          <w:tab w:val="right" w:leader="dot" w:pos="9350"/>
        </w:tabs>
        <w:rPr>
          <w:rFonts w:asciiTheme="minorHAnsi" w:eastAsiaTheme="minorEastAsia" w:hAnsiTheme="minorHAnsi" w:cstheme="minorBidi"/>
          <w:noProof/>
          <w:sz w:val="22"/>
          <w:szCs w:val="22"/>
          <w:lang w:eastAsia="en-AU"/>
        </w:rPr>
      </w:pPr>
      <w:hyperlink w:anchor="_Toc323462486" w:history="1">
        <w:r w:rsidR="00FE4FDF" w:rsidRPr="001200C2">
          <w:rPr>
            <w:rStyle w:val="Hyperlink"/>
            <w:noProof/>
            <w:lang w:val="en-GB"/>
          </w:rPr>
          <w:t>2.3</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TVET Centres</w:t>
        </w:r>
        <w:r w:rsidR="00FE4FDF">
          <w:rPr>
            <w:noProof/>
            <w:webHidden/>
          </w:rPr>
          <w:tab/>
        </w:r>
        <w:r w:rsidR="00580C17">
          <w:rPr>
            <w:noProof/>
            <w:webHidden/>
          </w:rPr>
          <w:fldChar w:fldCharType="begin"/>
        </w:r>
        <w:r w:rsidR="00FE4FDF">
          <w:rPr>
            <w:noProof/>
            <w:webHidden/>
          </w:rPr>
          <w:instrText xml:space="preserve"> PAGEREF _Toc323462486 \h </w:instrText>
        </w:r>
        <w:r w:rsidR="00580C17">
          <w:rPr>
            <w:noProof/>
            <w:webHidden/>
          </w:rPr>
        </w:r>
        <w:r w:rsidR="00580C17">
          <w:rPr>
            <w:noProof/>
            <w:webHidden/>
          </w:rPr>
          <w:fldChar w:fldCharType="separate"/>
        </w:r>
        <w:r w:rsidR="00FE4FDF">
          <w:rPr>
            <w:noProof/>
            <w:webHidden/>
          </w:rPr>
          <w:t>7</w:t>
        </w:r>
        <w:r w:rsidR="00580C17">
          <w:rPr>
            <w:noProof/>
            <w:webHidden/>
          </w:rPr>
          <w:fldChar w:fldCharType="end"/>
        </w:r>
      </w:hyperlink>
    </w:p>
    <w:p w14:paraId="096D205F" w14:textId="77777777" w:rsidR="00FE4FDF" w:rsidRDefault="00477B97">
      <w:pPr>
        <w:pStyle w:val="TOC2"/>
        <w:tabs>
          <w:tab w:val="left" w:pos="880"/>
          <w:tab w:val="right" w:leader="dot" w:pos="9350"/>
        </w:tabs>
        <w:rPr>
          <w:rFonts w:asciiTheme="minorHAnsi" w:eastAsiaTheme="minorEastAsia" w:hAnsiTheme="minorHAnsi" w:cstheme="minorBidi"/>
          <w:noProof/>
          <w:sz w:val="22"/>
          <w:szCs w:val="22"/>
          <w:lang w:eastAsia="en-AU"/>
        </w:rPr>
      </w:pPr>
      <w:hyperlink w:anchor="_Toc323462487" w:history="1">
        <w:r w:rsidR="00FE4FDF" w:rsidRPr="001200C2">
          <w:rPr>
            <w:rStyle w:val="Hyperlink"/>
            <w:noProof/>
            <w:lang w:val="en-GB"/>
          </w:rPr>
          <w:t>2.4</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Cross-Cutting Program Activity</w:t>
        </w:r>
        <w:r w:rsidR="00FE4FDF">
          <w:rPr>
            <w:noProof/>
            <w:webHidden/>
          </w:rPr>
          <w:tab/>
        </w:r>
        <w:r w:rsidR="00580C17">
          <w:rPr>
            <w:noProof/>
            <w:webHidden/>
          </w:rPr>
          <w:fldChar w:fldCharType="begin"/>
        </w:r>
        <w:r w:rsidR="00FE4FDF">
          <w:rPr>
            <w:noProof/>
            <w:webHidden/>
          </w:rPr>
          <w:instrText xml:space="preserve"> PAGEREF _Toc323462487 \h </w:instrText>
        </w:r>
        <w:r w:rsidR="00580C17">
          <w:rPr>
            <w:noProof/>
            <w:webHidden/>
          </w:rPr>
        </w:r>
        <w:r w:rsidR="00580C17">
          <w:rPr>
            <w:noProof/>
            <w:webHidden/>
          </w:rPr>
          <w:fldChar w:fldCharType="separate"/>
        </w:r>
        <w:r w:rsidR="00FE4FDF">
          <w:rPr>
            <w:noProof/>
            <w:webHidden/>
          </w:rPr>
          <w:t>9</w:t>
        </w:r>
        <w:r w:rsidR="00580C17">
          <w:rPr>
            <w:noProof/>
            <w:webHidden/>
          </w:rPr>
          <w:fldChar w:fldCharType="end"/>
        </w:r>
      </w:hyperlink>
    </w:p>
    <w:p w14:paraId="3A7F9B14" w14:textId="77777777" w:rsidR="00FE4FDF" w:rsidRDefault="00477B97">
      <w:pPr>
        <w:pStyle w:val="TOC1"/>
        <w:tabs>
          <w:tab w:val="left" w:pos="660"/>
          <w:tab w:val="right" w:leader="dot" w:pos="9350"/>
        </w:tabs>
        <w:rPr>
          <w:rFonts w:asciiTheme="minorHAnsi" w:eastAsiaTheme="minorEastAsia" w:hAnsiTheme="minorHAnsi" w:cstheme="minorBidi"/>
          <w:noProof/>
          <w:sz w:val="22"/>
          <w:szCs w:val="22"/>
          <w:lang w:eastAsia="en-AU"/>
        </w:rPr>
      </w:pPr>
      <w:hyperlink w:anchor="_Toc323462488" w:history="1">
        <w:r w:rsidR="00FE4FDF" w:rsidRPr="001200C2">
          <w:rPr>
            <w:rStyle w:val="Hyperlink"/>
            <w:noProof/>
            <w:lang w:val="en-GB"/>
          </w:rPr>
          <w:t>3.0</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Cost Schedules</w:t>
        </w:r>
        <w:r w:rsidR="00FE4FDF">
          <w:rPr>
            <w:noProof/>
            <w:webHidden/>
          </w:rPr>
          <w:tab/>
        </w:r>
        <w:r w:rsidR="00580C17">
          <w:rPr>
            <w:noProof/>
            <w:webHidden/>
          </w:rPr>
          <w:fldChar w:fldCharType="begin"/>
        </w:r>
        <w:r w:rsidR="00FE4FDF">
          <w:rPr>
            <w:noProof/>
            <w:webHidden/>
          </w:rPr>
          <w:instrText xml:space="preserve"> PAGEREF _Toc323462488 \h </w:instrText>
        </w:r>
        <w:r w:rsidR="00580C17">
          <w:rPr>
            <w:noProof/>
            <w:webHidden/>
          </w:rPr>
        </w:r>
        <w:r w:rsidR="00580C17">
          <w:rPr>
            <w:noProof/>
            <w:webHidden/>
          </w:rPr>
          <w:fldChar w:fldCharType="separate"/>
        </w:r>
        <w:r w:rsidR="00FE4FDF">
          <w:rPr>
            <w:noProof/>
            <w:webHidden/>
          </w:rPr>
          <w:t>11</w:t>
        </w:r>
        <w:r w:rsidR="00580C17">
          <w:rPr>
            <w:noProof/>
            <w:webHidden/>
          </w:rPr>
          <w:fldChar w:fldCharType="end"/>
        </w:r>
      </w:hyperlink>
    </w:p>
    <w:p w14:paraId="4C6D1B71" w14:textId="77777777" w:rsidR="00FE4FDF" w:rsidRDefault="00477B97">
      <w:pPr>
        <w:pStyle w:val="TOC2"/>
        <w:tabs>
          <w:tab w:val="left" w:pos="880"/>
          <w:tab w:val="right" w:leader="dot" w:pos="9350"/>
        </w:tabs>
        <w:rPr>
          <w:rFonts w:asciiTheme="minorHAnsi" w:eastAsiaTheme="minorEastAsia" w:hAnsiTheme="minorHAnsi" w:cstheme="minorBidi"/>
          <w:noProof/>
          <w:sz w:val="22"/>
          <w:szCs w:val="22"/>
          <w:lang w:eastAsia="en-AU"/>
        </w:rPr>
      </w:pPr>
      <w:hyperlink w:anchor="_Toc323462489" w:history="1">
        <w:r w:rsidR="00FE4FDF" w:rsidRPr="001200C2">
          <w:rPr>
            <w:rStyle w:val="Hyperlink"/>
            <w:noProof/>
            <w:lang w:val="en-GB"/>
          </w:rPr>
          <w:t>3.1</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Reimbursables and Imprest Budget (June – December 2012)</w:t>
        </w:r>
        <w:r w:rsidR="00FE4FDF">
          <w:rPr>
            <w:noProof/>
            <w:webHidden/>
          </w:rPr>
          <w:tab/>
        </w:r>
        <w:r w:rsidR="00580C17">
          <w:rPr>
            <w:noProof/>
            <w:webHidden/>
          </w:rPr>
          <w:fldChar w:fldCharType="begin"/>
        </w:r>
        <w:r w:rsidR="00FE4FDF">
          <w:rPr>
            <w:noProof/>
            <w:webHidden/>
          </w:rPr>
          <w:instrText xml:space="preserve"> PAGEREF _Toc323462489 \h </w:instrText>
        </w:r>
        <w:r w:rsidR="00580C17">
          <w:rPr>
            <w:noProof/>
            <w:webHidden/>
          </w:rPr>
        </w:r>
        <w:r w:rsidR="00580C17">
          <w:rPr>
            <w:noProof/>
            <w:webHidden/>
          </w:rPr>
          <w:fldChar w:fldCharType="separate"/>
        </w:r>
        <w:r w:rsidR="00FE4FDF">
          <w:rPr>
            <w:noProof/>
            <w:webHidden/>
          </w:rPr>
          <w:t>11</w:t>
        </w:r>
        <w:r w:rsidR="00580C17">
          <w:rPr>
            <w:noProof/>
            <w:webHidden/>
          </w:rPr>
          <w:fldChar w:fldCharType="end"/>
        </w:r>
      </w:hyperlink>
    </w:p>
    <w:p w14:paraId="10C29B57" w14:textId="77777777" w:rsidR="00FE4FDF" w:rsidRDefault="00477B97">
      <w:pPr>
        <w:pStyle w:val="TOC2"/>
        <w:tabs>
          <w:tab w:val="left" w:pos="880"/>
          <w:tab w:val="right" w:leader="dot" w:pos="9350"/>
        </w:tabs>
        <w:rPr>
          <w:rFonts w:asciiTheme="minorHAnsi" w:eastAsiaTheme="minorEastAsia" w:hAnsiTheme="minorHAnsi" w:cstheme="minorBidi"/>
          <w:noProof/>
          <w:sz w:val="22"/>
          <w:szCs w:val="22"/>
          <w:lang w:eastAsia="en-AU"/>
        </w:rPr>
      </w:pPr>
      <w:hyperlink w:anchor="_Toc323462490" w:history="1">
        <w:r w:rsidR="00FE4FDF" w:rsidRPr="001200C2">
          <w:rPr>
            <w:rStyle w:val="Hyperlink"/>
            <w:noProof/>
            <w:lang w:val="en-GB"/>
          </w:rPr>
          <w:t>3.2</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Cost Summary</w:t>
        </w:r>
        <w:r w:rsidR="00FE4FDF">
          <w:rPr>
            <w:noProof/>
            <w:webHidden/>
          </w:rPr>
          <w:tab/>
        </w:r>
        <w:r w:rsidR="00580C17">
          <w:rPr>
            <w:noProof/>
            <w:webHidden/>
          </w:rPr>
          <w:fldChar w:fldCharType="begin"/>
        </w:r>
        <w:r w:rsidR="00FE4FDF">
          <w:rPr>
            <w:noProof/>
            <w:webHidden/>
          </w:rPr>
          <w:instrText xml:space="preserve"> PAGEREF _Toc323462490 \h </w:instrText>
        </w:r>
        <w:r w:rsidR="00580C17">
          <w:rPr>
            <w:noProof/>
            <w:webHidden/>
          </w:rPr>
        </w:r>
        <w:r w:rsidR="00580C17">
          <w:rPr>
            <w:noProof/>
            <w:webHidden/>
          </w:rPr>
          <w:fldChar w:fldCharType="separate"/>
        </w:r>
        <w:r w:rsidR="00FE4FDF">
          <w:rPr>
            <w:noProof/>
            <w:webHidden/>
          </w:rPr>
          <w:t>12</w:t>
        </w:r>
        <w:r w:rsidR="00580C17">
          <w:rPr>
            <w:noProof/>
            <w:webHidden/>
          </w:rPr>
          <w:fldChar w:fldCharType="end"/>
        </w:r>
      </w:hyperlink>
    </w:p>
    <w:p w14:paraId="14CE118E" w14:textId="77777777" w:rsidR="00FE4FDF" w:rsidRDefault="00477B97">
      <w:pPr>
        <w:pStyle w:val="TOC1"/>
        <w:tabs>
          <w:tab w:val="left" w:pos="660"/>
          <w:tab w:val="right" w:leader="dot" w:pos="9350"/>
        </w:tabs>
        <w:rPr>
          <w:rFonts w:asciiTheme="minorHAnsi" w:eastAsiaTheme="minorEastAsia" w:hAnsiTheme="minorHAnsi" w:cstheme="minorBidi"/>
          <w:noProof/>
          <w:sz w:val="22"/>
          <w:szCs w:val="22"/>
          <w:lang w:eastAsia="en-AU"/>
        </w:rPr>
      </w:pPr>
      <w:hyperlink w:anchor="_Toc323462491" w:history="1">
        <w:r w:rsidR="00FE4FDF" w:rsidRPr="001200C2">
          <w:rPr>
            <w:rStyle w:val="Hyperlink"/>
            <w:noProof/>
            <w:lang w:val="en-GB"/>
          </w:rPr>
          <w:t>4.0</w:t>
        </w:r>
        <w:r w:rsidR="00FE4FDF">
          <w:rPr>
            <w:rFonts w:asciiTheme="minorHAnsi" w:eastAsiaTheme="minorEastAsia" w:hAnsiTheme="minorHAnsi" w:cstheme="minorBidi"/>
            <w:noProof/>
            <w:sz w:val="22"/>
            <w:szCs w:val="22"/>
            <w:lang w:eastAsia="en-AU"/>
          </w:rPr>
          <w:tab/>
        </w:r>
        <w:r w:rsidR="00FE4FDF" w:rsidRPr="001200C2">
          <w:rPr>
            <w:rStyle w:val="Hyperlink"/>
            <w:noProof/>
            <w:lang w:val="en-GB"/>
          </w:rPr>
          <w:t>Resource Schedule</w:t>
        </w:r>
        <w:r w:rsidR="00FE4FDF">
          <w:rPr>
            <w:noProof/>
            <w:webHidden/>
          </w:rPr>
          <w:tab/>
        </w:r>
        <w:r w:rsidR="00580C17">
          <w:rPr>
            <w:noProof/>
            <w:webHidden/>
          </w:rPr>
          <w:fldChar w:fldCharType="begin"/>
        </w:r>
        <w:r w:rsidR="00FE4FDF">
          <w:rPr>
            <w:noProof/>
            <w:webHidden/>
          </w:rPr>
          <w:instrText xml:space="preserve"> PAGEREF _Toc323462491 \h </w:instrText>
        </w:r>
        <w:r w:rsidR="00580C17">
          <w:rPr>
            <w:noProof/>
            <w:webHidden/>
          </w:rPr>
        </w:r>
        <w:r w:rsidR="00580C17">
          <w:rPr>
            <w:noProof/>
            <w:webHidden/>
          </w:rPr>
          <w:fldChar w:fldCharType="separate"/>
        </w:r>
        <w:r w:rsidR="00FE4FDF">
          <w:rPr>
            <w:noProof/>
            <w:webHidden/>
          </w:rPr>
          <w:t>13</w:t>
        </w:r>
        <w:r w:rsidR="00580C17">
          <w:rPr>
            <w:noProof/>
            <w:webHidden/>
          </w:rPr>
          <w:fldChar w:fldCharType="end"/>
        </w:r>
      </w:hyperlink>
    </w:p>
    <w:p w14:paraId="408429DC" w14:textId="77777777" w:rsidR="00742596" w:rsidRPr="009B2D70" w:rsidRDefault="00580C17">
      <w:pPr>
        <w:rPr>
          <w:rFonts w:asciiTheme="minorHAnsi" w:hAnsiTheme="minorHAnsi"/>
        </w:rPr>
      </w:pPr>
      <w:r w:rsidRPr="009B2D70">
        <w:rPr>
          <w:rFonts w:asciiTheme="minorHAnsi" w:hAnsiTheme="minorHAnsi"/>
        </w:rPr>
        <w:fldChar w:fldCharType="end"/>
      </w:r>
    </w:p>
    <w:p w14:paraId="2946BC62" w14:textId="77777777" w:rsidR="00384F26" w:rsidRPr="009B2D70" w:rsidRDefault="00384F26" w:rsidP="00384F26">
      <w:pPr>
        <w:rPr>
          <w:rFonts w:asciiTheme="minorHAnsi" w:hAnsiTheme="minorHAnsi"/>
        </w:rPr>
      </w:pPr>
    </w:p>
    <w:p w14:paraId="19B5BED1" w14:textId="77777777" w:rsidR="00384F26" w:rsidRPr="009B2D70" w:rsidRDefault="00384F26" w:rsidP="00705121">
      <w:pPr>
        <w:pStyle w:val="Heading1"/>
        <w:rPr>
          <w:rFonts w:asciiTheme="minorHAnsi" w:hAnsiTheme="minorHAnsi"/>
        </w:rPr>
      </w:pPr>
    </w:p>
    <w:p w14:paraId="6C6608C7" w14:textId="77777777" w:rsidR="00384F26" w:rsidRPr="009B2D70" w:rsidRDefault="00384F26" w:rsidP="00705121">
      <w:pPr>
        <w:pStyle w:val="Heading1"/>
        <w:rPr>
          <w:rFonts w:asciiTheme="minorHAnsi" w:hAnsiTheme="minorHAnsi"/>
        </w:rPr>
        <w:sectPr w:rsidR="00384F26" w:rsidRPr="009B2D70" w:rsidSect="00E50C81">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pPr>
    </w:p>
    <w:p w14:paraId="216BA49E" w14:textId="77777777" w:rsidR="00705121" w:rsidRPr="009B2D70" w:rsidRDefault="00705121" w:rsidP="00705121">
      <w:pPr>
        <w:pStyle w:val="Heading1"/>
        <w:rPr>
          <w:rFonts w:asciiTheme="minorHAnsi" w:hAnsiTheme="minorHAnsi"/>
        </w:rPr>
      </w:pPr>
      <w:bookmarkStart w:id="2" w:name="_Toc323399346"/>
      <w:bookmarkStart w:id="3" w:name="_Toc323462482"/>
      <w:r w:rsidRPr="009B2D70">
        <w:rPr>
          <w:rFonts w:asciiTheme="minorHAnsi" w:hAnsiTheme="minorHAnsi"/>
        </w:rPr>
        <w:lastRenderedPageBreak/>
        <w:t>1.0</w:t>
      </w:r>
      <w:r w:rsidRPr="009B2D70">
        <w:rPr>
          <w:rFonts w:asciiTheme="minorHAnsi" w:hAnsiTheme="minorHAnsi"/>
        </w:rPr>
        <w:tab/>
        <w:t>Introduction</w:t>
      </w:r>
      <w:bookmarkEnd w:id="2"/>
      <w:bookmarkEnd w:id="3"/>
    </w:p>
    <w:p w14:paraId="399711A6" w14:textId="77777777" w:rsidR="00124B4D" w:rsidRPr="00FE4FDF" w:rsidRDefault="00124B4D" w:rsidP="00FE4FDF">
      <w:pPr>
        <w:rPr>
          <w:rFonts w:asciiTheme="minorHAnsi" w:hAnsiTheme="minorHAnsi"/>
        </w:rPr>
      </w:pPr>
      <w:r w:rsidRPr="00FE4FDF">
        <w:rPr>
          <w:rFonts w:asciiTheme="minorHAnsi" w:hAnsiTheme="minorHAnsi"/>
        </w:rPr>
        <w:t xml:space="preserve">The previous Annual Plan prepared by the Program (2011-2012) was anticipated to be the final Annual Plan of the Phase 2 Program, given the scheduled completion date of 30 May 2012. However, due to delays in the Phase 3 Design and Tender process, the Program was officially extended to September 2012 and it is </w:t>
      </w:r>
      <w:r w:rsidR="001A2D3E" w:rsidRPr="00FE4FDF">
        <w:rPr>
          <w:rFonts w:asciiTheme="minorHAnsi" w:hAnsiTheme="minorHAnsi"/>
        </w:rPr>
        <w:t>n</w:t>
      </w:r>
      <w:r w:rsidRPr="00FE4FDF">
        <w:rPr>
          <w:rFonts w:asciiTheme="minorHAnsi" w:hAnsiTheme="minorHAnsi"/>
        </w:rPr>
        <w:t xml:space="preserve">ow expected that a final extension will be made until </w:t>
      </w:r>
      <w:r w:rsidR="0033353D" w:rsidRPr="00FE4FDF">
        <w:rPr>
          <w:rFonts w:asciiTheme="minorHAnsi" w:hAnsiTheme="minorHAnsi"/>
        </w:rPr>
        <w:t xml:space="preserve">the end of </w:t>
      </w:r>
      <w:r w:rsidR="008F3C55">
        <w:rPr>
          <w:rFonts w:asciiTheme="minorHAnsi" w:hAnsiTheme="minorHAnsi"/>
        </w:rPr>
        <w:t xml:space="preserve">January </w:t>
      </w:r>
      <w:r w:rsidRPr="00FE4FDF">
        <w:rPr>
          <w:rFonts w:asciiTheme="minorHAnsi" w:hAnsiTheme="minorHAnsi"/>
        </w:rPr>
        <w:t xml:space="preserve">2012, however, at </w:t>
      </w:r>
      <w:r w:rsidR="001A2D3E" w:rsidRPr="00FE4FDF">
        <w:rPr>
          <w:rFonts w:asciiTheme="minorHAnsi" w:hAnsiTheme="minorHAnsi"/>
        </w:rPr>
        <w:t xml:space="preserve">the </w:t>
      </w:r>
      <w:r w:rsidRPr="00FE4FDF">
        <w:rPr>
          <w:rFonts w:asciiTheme="minorHAnsi" w:hAnsiTheme="minorHAnsi"/>
        </w:rPr>
        <w:t>time of writing, the Managing Contractor, GRM, has yet to receive official notification.</w:t>
      </w:r>
      <w:r w:rsidR="008F3C55">
        <w:rPr>
          <w:rFonts w:asciiTheme="minorHAnsi" w:hAnsiTheme="minorHAnsi"/>
        </w:rPr>
        <w:t xml:space="preserve"> </w:t>
      </w:r>
    </w:p>
    <w:p w14:paraId="738CD562" w14:textId="77777777" w:rsidR="00B949CC" w:rsidRDefault="001A2D3E" w:rsidP="001A2D3E">
      <w:pPr>
        <w:rPr>
          <w:rFonts w:asciiTheme="minorHAnsi" w:hAnsiTheme="minorHAnsi"/>
        </w:rPr>
      </w:pPr>
      <w:r w:rsidRPr="00FE4FDF">
        <w:rPr>
          <w:rFonts w:asciiTheme="minorHAnsi" w:hAnsiTheme="minorHAnsi"/>
        </w:rPr>
        <w:t>Despite</w:t>
      </w:r>
      <w:r w:rsidR="00124B4D" w:rsidRPr="00FE4FDF">
        <w:rPr>
          <w:rFonts w:asciiTheme="minorHAnsi" w:hAnsiTheme="minorHAnsi"/>
        </w:rPr>
        <w:t xml:space="preserve"> this further extension, it has been agreed </w:t>
      </w:r>
      <w:r w:rsidRPr="00FE4FDF">
        <w:rPr>
          <w:rFonts w:asciiTheme="minorHAnsi" w:hAnsiTheme="minorHAnsi"/>
        </w:rPr>
        <w:t xml:space="preserve">with the AusAID Post </w:t>
      </w:r>
      <w:r w:rsidR="00124B4D" w:rsidRPr="00FE4FDF">
        <w:rPr>
          <w:rFonts w:asciiTheme="minorHAnsi" w:hAnsiTheme="minorHAnsi"/>
        </w:rPr>
        <w:t>that the Program will continue to undertak</w:t>
      </w:r>
      <w:r w:rsidRPr="00FE4FDF">
        <w:rPr>
          <w:rFonts w:asciiTheme="minorHAnsi" w:hAnsiTheme="minorHAnsi"/>
        </w:rPr>
        <w:t>e</w:t>
      </w:r>
      <w:r w:rsidR="00124B4D" w:rsidRPr="00FE4FDF">
        <w:rPr>
          <w:rFonts w:asciiTheme="minorHAnsi" w:hAnsiTheme="minorHAnsi"/>
        </w:rPr>
        <w:t xml:space="preserve"> its completion and tra</w:t>
      </w:r>
      <w:r w:rsidRPr="00FE4FDF">
        <w:rPr>
          <w:rFonts w:asciiTheme="minorHAnsi" w:hAnsiTheme="minorHAnsi"/>
        </w:rPr>
        <w:t>nsition activities as originally</w:t>
      </w:r>
      <w:r w:rsidR="00124B4D" w:rsidRPr="00FE4FDF">
        <w:rPr>
          <w:rFonts w:asciiTheme="minorHAnsi" w:hAnsiTheme="minorHAnsi"/>
        </w:rPr>
        <w:t xml:space="preserve"> planned under the fi</w:t>
      </w:r>
      <w:r w:rsidRPr="00FE4FDF">
        <w:rPr>
          <w:rFonts w:asciiTheme="minorHAnsi" w:hAnsiTheme="minorHAnsi"/>
        </w:rPr>
        <w:t>rst extension</w:t>
      </w:r>
      <w:r w:rsidR="00124B4D" w:rsidRPr="00FE4FDF">
        <w:rPr>
          <w:rFonts w:asciiTheme="minorHAnsi" w:hAnsiTheme="minorHAnsi"/>
        </w:rPr>
        <w:t xml:space="preserve">; </w:t>
      </w:r>
      <w:r w:rsidRPr="00FE4FDF">
        <w:rPr>
          <w:rFonts w:asciiTheme="minorHAnsi" w:hAnsiTheme="minorHAnsi"/>
        </w:rPr>
        <w:t>F</w:t>
      </w:r>
      <w:r w:rsidR="00124B4D" w:rsidRPr="00FE4FDF">
        <w:rPr>
          <w:rFonts w:asciiTheme="minorHAnsi" w:hAnsiTheme="minorHAnsi"/>
        </w:rPr>
        <w:t xml:space="preserve">inal Evaluation </w:t>
      </w:r>
      <w:r w:rsidRPr="00FE4FDF">
        <w:rPr>
          <w:rFonts w:asciiTheme="minorHAnsi" w:hAnsiTheme="minorHAnsi"/>
        </w:rPr>
        <w:t xml:space="preserve">data collection and analysis </w:t>
      </w:r>
      <w:r w:rsidR="00124B4D" w:rsidRPr="00FE4FDF">
        <w:rPr>
          <w:rFonts w:asciiTheme="minorHAnsi" w:hAnsiTheme="minorHAnsi"/>
        </w:rPr>
        <w:t xml:space="preserve">will be </w:t>
      </w:r>
      <w:r w:rsidRPr="00FE4FDF">
        <w:rPr>
          <w:rFonts w:asciiTheme="minorHAnsi" w:hAnsiTheme="minorHAnsi"/>
        </w:rPr>
        <w:t>conducted</w:t>
      </w:r>
      <w:r w:rsidR="00124B4D" w:rsidRPr="00FE4FDF">
        <w:rPr>
          <w:rFonts w:asciiTheme="minorHAnsi" w:hAnsiTheme="minorHAnsi"/>
        </w:rPr>
        <w:t xml:space="preserve"> throughout May and June with a </w:t>
      </w:r>
      <w:r w:rsidRPr="00FE4FDF">
        <w:rPr>
          <w:rFonts w:asciiTheme="minorHAnsi" w:hAnsiTheme="minorHAnsi"/>
        </w:rPr>
        <w:t xml:space="preserve">report </w:t>
      </w:r>
      <w:r w:rsidR="00124B4D" w:rsidRPr="00FE4FDF">
        <w:rPr>
          <w:rFonts w:asciiTheme="minorHAnsi" w:hAnsiTheme="minorHAnsi"/>
        </w:rPr>
        <w:t>submission date of July 2012 and the Activit</w:t>
      </w:r>
      <w:r w:rsidRPr="00FE4FDF">
        <w:rPr>
          <w:rFonts w:asciiTheme="minorHAnsi" w:hAnsiTheme="minorHAnsi"/>
        </w:rPr>
        <w:t xml:space="preserve">y Completion Report, which will be significantly informed by the Final Evaluation will be submitted in </w:t>
      </w:r>
      <w:r w:rsidR="00FE4FDF" w:rsidRPr="00FE4FDF">
        <w:rPr>
          <w:rFonts w:asciiTheme="minorHAnsi" w:hAnsiTheme="minorHAnsi"/>
        </w:rPr>
        <w:t>November</w:t>
      </w:r>
      <w:r w:rsidRPr="00FE4FDF">
        <w:rPr>
          <w:rFonts w:asciiTheme="minorHAnsi" w:hAnsiTheme="minorHAnsi"/>
        </w:rPr>
        <w:t xml:space="preserve"> 2012. </w:t>
      </w:r>
      <w:r w:rsidR="008F3C55">
        <w:rPr>
          <w:rFonts w:asciiTheme="minorHAnsi" w:hAnsiTheme="minorHAnsi"/>
        </w:rPr>
        <w:t>It has been advised by the AusAID Post that the final month of the Phase 2 Program, January 2013, will be a transitional “hand-over” month between the Phase 2 and Phase 3 Managing Contractors.</w:t>
      </w:r>
    </w:p>
    <w:p w14:paraId="7CE306C3" w14:textId="77777777" w:rsidR="00B949CC" w:rsidRPr="00FE4FDF" w:rsidRDefault="001A2D3E" w:rsidP="00B949CC">
      <w:pPr>
        <w:rPr>
          <w:rFonts w:asciiTheme="minorHAnsi" w:hAnsiTheme="minorHAnsi"/>
        </w:rPr>
      </w:pPr>
      <w:r w:rsidRPr="00FE4FDF">
        <w:rPr>
          <w:rFonts w:asciiTheme="minorHAnsi" w:hAnsiTheme="minorHAnsi"/>
        </w:rPr>
        <w:t>This Work Plan therefor</w:t>
      </w:r>
      <w:r w:rsidR="003E48EA" w:rsidRPr="00FE4FDF">
        <w:rPr>
          <w:rFonts w:asciiTheme="minorHAnsi" w:hAnsiTheme="minorHAnsi"/>
        </w:rPr>
        <w:t>e</w:t>
      </w:r>
      <w:r w:rsidRPr="00FE4FDF">
        <w:rPr>
          <w:rFonts w:asciiTheme="minorHAnsi" w:hAnsiTheme="minorHAnsi"/>
        </w:rPr>
        <w:t xml:space="preserve"> func</w:t>
      </w:r>
      <w:r w:rsidR="003E48EA" w:rsidRPr="00FE4FDF">
        <w:rPr>
          <w:rFonts w:asciiTheme="minorHAnsi" w:hAnsiTheme="minorHAnsi"/>
        </w:rPr>
        <w:t>tions as an addendum to the 2011-2012</w:t>
      </w:r>
      <w:r w:rsidRPr="00FE4FDF">
        <w:rPr>
          <w:rFonts w:asciiTheme="minorHAnsi" w:hAnsiTheme="minorHAnsi"/>
        </w:rPr>
        <w:t xml:space="preserve"> Annual Plan and provides a detailed overview of the key activities planned across the three focus areas of Program implementation – TVET Systems, Provincial Coord</w:t>
      </w:r>
      <w:r w:rsidR="003E48EA" w:rsidRPr="00FE4FDF">
        <w:rPr>
          <w:rFonts w:asciiTheme="minorHAnsi" w:hAnsiTheme="minorHAnsi"/>
        </w:rPr>
        <w:t>ination, TVET Centres. Activity</w:t>
      </w:r>
      <w:r w:rsidRPr="00FE4FDF">
        <w:rPr>
          <w:rFonts w:asciiTheme="minorHAnsi" w:hAnsiTheme="minorHAnsi"/>
        </w:rPr>
        <w:t xml:space="preserve"> and associated costs and resourcing have been m</w:t>
      </w:r>
      <w:r w:rsidR="003E48EA" w:rsidRPr="00FE4FDF">
        <w:rPr>
          <w:rFonts w:asciiTheme="minorHAnsi" w:hAnsiTheme="minorHAnsi"/>
        </w:rPr>
        <w:t>apped until the end of December</w:t>
      </w:r>
      <w:r w:rsidRPr="00FE4FDF">
        <w:rPr>
          <w:rFonts w:asciiTheme="minorHAnsi" w:hAnsiTheme="minorHAnsi"/>
        </w:rPr>
        <w:t xml:space="preserve"> on the assumption that official notification of the final extension will be forthcoming.  </w:t>
      </w:r>
      <w:r w:rsidR="00B949CC">
        <w:rPr>
          <w:rFonts w:asciiTheme="minorHAnsi" w:hAnsiTheme="minorHAnsi"/>
        </w:rPr>
        <w:t>It is planned that these</w:t>
      </w:r>
      <w:r w:rsidR="00B949CC" w:rsidRPr="00FE4FDF">
        <w:rPr>
          <w:rFonts w:asciiTheme="minorHAnsi" w:hAnsiTheme="minorHAnsi"/>
        </w:rPr>
        <w:t xml:space="preserve"> three months will be devoted to the maintenance of ongoing service delivery activity and preparation of Program operations and staff for transition into the third phase.</w:t>
      </w:r>
    </w:p>
    <w:p w14:paraId="2C8751EA" w14:textId="77777777" w:rsidR="00124B4D" w:rsidRPr="00FE4FDF" w:rsidRDefault="00124B4D" w:rsidP="001A2D3E">
      <w:pPr>
        <w:rPr>
          <w:rFonts w:asciiTheme="minorHAnsi" w:hAnsiTheme="minorHAnsi"/>
        </w:rPr>
      </w:pPr>
    </w:p>
    <w:p w14:paraId="5E5E4736" w14:textId="77777777" w:rsidR="00124B4D" w:rsidRDefault="00124B4D" w:rsidP="00124B4D">
      <w:pPr>
        <w:pStyle w:val="Heading1"/>
        <w:tabs>
          <w:tab w:val="left" w:pos="1215"/>
        </w:tabs>
        <w:jc w:val="left"/>
      </w:pPr>
      <w:r>
        <w:tab/>
      </w:r>
    </w:p>
    <w:p w14:paraId="61DECE36" w14:textId="77777777" w:rsidR="00846D48" w:rsidRPr="009B2D70" w:rsidRDefault="00705121" w:rsidP="00846D48">
      <w:pPr>
        <w:pStyle w:val="Heading1"/>
        <w:rPr>
          <w:rFonts w:asciiTheme="minorHAnsi" w:hAnsiTheme="minorHAnsi"/>
        </w:rPr>
      </w:pPr>
      <w:r w:rsidRPr="00124B4D">
        <w:br w:type="page"/>
      </w:r>
      <w:bookmarkStart w:id="4" w:name="_Toc323399347"/>
      <w:bookmarkStart w:id="5" w:name="_Toc323462483"/>
      <w:r w:rsidRPr="009B2D70">
        <w:rPr>
          <w:rFonts w:asciiTheme="minorHAnsi" w:hAnsiTheme="minorHAnsi"/>
        </w:rPr>
        <w:lastRenderedPageBreak/>
        <w:t>2</w:t>
      </w:r>
      <w:r w:rsidR="00846D48" w:rsidRPr="009B2D70">
        <w:rPr>
          <w:rFonts w:asciiTheme="minorHAnsi" w:hAnsiTheme="minorHAnsi"/>
        </w:rPr>
        <w:t>.0</w:t>
      </w:r>
      <w:r w:rsidR="00846D48" w:rsidRPr="009B2D70">
        <w:rPr>
          <w:rFonts w:asciiTheme="minorHAnsi" w:hAnsiTheme="minorHAnsi"/>
        </w:rPr>
        <w:tab/>
        <w:t>Work Program</w:t>
      </w:r>
      <w:bookmarkEnd w:id="0"/>
      <w:bookmarkEnd w:id="4"/>
      <w:bookmarkEnd w:id="5"/>
    </w:p>
    <w:p w14:paraId="3B99E787" w14:textId="77777777" w:rsidR="00A94481" w:rsidRPr="009B2D70" w:rsidRDefault="00705121" w:rsidP="00742596">
      <w:pPr>
        <w:pStyle w:val="Heading2"/>
        <w:rPr>
          <w:rFonts w:asciiTheme="minorHAnsi" w:hAnsiTheme="minorHAnsi"/>
          <w:lang w:val="en-GB"/>
        </w:rPr>
      </w:pPr>
      <w:bookmarkStart w:id="6" w:name="_Toc323399348"/>
      <w:bookmarkStart w:id="7" w:name="_Toc323462484"/>
      <w:bookmarkStart w:id="8" w:name="_Toc289265552"/>
      <w:bookmarkStart w:id="9" w:name="_Toc289265795"/>
      <w:bookmarkStart w:id="10" w:name="_Toc289376439"/>
      <w:r w:rsidRPr="009B2D70">
        <w:rPr>
          <w:rFonts w:asciiTheme="minorHAnsi" w:hAnsiTheme="minorHAnsi"/>
          <w:lang w:val="en-GB"/>
        </w:rPr>
        <w:t>2</w:t>
      </w:r>
      <w:r w:rsidR="00A94481" w:rsidRPr="009B2D70">
        <w:rPr>
          <w:rFonts w:asciiTheme="minorHAnsi" w:hAnsiTheme="minorHAnsi"/>
          <w:lang w:val="en-GB"/>
        </w:rPr>
        <w:t>.1</w:t>
      </w:r>
      <w:r w:rsidR="00A94481" w:rsidRPr="009B2D70">
        <w:rPr>
          <w:rFonts w:asciiTheme="minorHAnsi" w:hAnsiTheme="minorHAnsi"/>
          <w:lang w:val="en-GB"/>
        </w:rPr>
        <w:tab/>
        <w:t>TVET Systems</w:t>
      </w:r>
      <w:bookmarkEnd w:id="6"/>
      <w:bookmarkEnd w:id="7"/>
    </w:p>
    <w:p w14:paraId="1A53EDD4" w14:textId="77777777" w:rsidR="00A94481" w:rsidRPr="009B2D70" w:rsidRDefault="00705121" w:rsidP="00D577C0">
      <w:pPr>
        <w:pStyle w:val="Heading3"/>
        <w:rPr>
          <w:rFonts w:asciiTheme="minorHAnsi" w:hAnsiTheme="minorHAnsi"/>
          <w:lang w:val="en-GB"/>
        </w:rPr>
      </w:pPr>
      <w:bookmarkStart w:id="11" w:name="_Toc289265547"/>
      <w:bookmarkStart w:id="12" w:name="_Toc289265790"/>
      <w:bookmarkStart w:id="13" w:name="_Toc289376434"/>
      <w:bookmarkStart w:id="14" w:name="_Toc323399349"/>
      <w:r w:rsidRPr="009B2D70">
        <w:rPr>
          <w:rFonts w:asciiTheme="minorHAnsi" w:hAnsiTheme="minorHAnsi"/>
          <w:lang w:val="en-GB"/>
        </w:rPr>
        <w:t>2</w:t>
      </w:r>
      <w:r w:rsidR="00A94481" w:rsidRPr="009B2D70">
        <w:rPr>
          <w:rFonts w:asciiTheme="minorHAnsi" w:hAnsiTheme="minorHAnsi"/>
          <w:lang w:val="en-GB"/>
        </w:rPr>
        <w:t>.1.1</w:t>
      </w:r>
      <w:r w:rsidR="00A94481" w:rsidRPr="009B2D70">
        <w:rPr>
          <w:rFonts w:asciiTheme="minorHAnsi" w:hAnsiTheme="minorHAnsi"/>
          <w:lang w:val="en-GB"/>
        </w:rPr>
        <w:tab/>
        <w:t>Governance</w:t>
      </w:r>
      <w:bookmarkEnd w:id="11"/>
      <w:bookmarkEnd w:id="12"/>
      <w:bookmarkEnd w:id="13"/>
      <w:bookmarkEnd w:id="14"/>
    </w:p>
    <w:p w14:paraId="20D791F1" w14:textId="77777777" w:rsidR="00A94481" w:rsidRPr="009B2D70" w:rsidRDefault="00A94481" w:rsidP="00D577C0">
      <w:pPr>
        <w:rPr>
          <w:rFonts w:asciiTheme="minorHAnsi" w:hAnsiTheme="minorHAnsi"/>
          <w:lang w:val="en-US"/>
        </w:rPr>
      </w:pPr>
      <w:r w:rsidRPr="009B2D70">
        <w:rPr>
          <w:rFonts w:asciiTheme="minorHAnsi" w:hAnsiTheme="minorHAnsi"/>
        </w:rPr>
        <w:t xml:space="preserve">The Program will continue to support reform of the national TVET system and the implementation of the National TVET Policy. </w:t>
      </w:r>
      <w:r w:rsidRPr="009B2D70">
        <w:rPr>
          <w:rFonts w:asciiTheme="minorHAnsi" w:hAnsiTheme="minorHAnsi"/>
          <w:lang w:val="en-US"/>
        </w:rPr>
        <w:t>There are three key recommendations in the National TVET Policy upon which much of the achievement of overall policy objectives will be dependent:</w:t>
      </w:r>
    </w:p>
    <w:p w14:paraId="09069FAC" w14:textId="77777777" w:rsidR="00A94481" w:rsidRPr="009B2D70" w:rsidRDefault="00A94481" w:rsidP="00A94481">
      <w:pPr>
        <w:ind w:left="1276" w:right="855" w:hanging="567"/>
        <w:rPr>
          <w:rFonts w:asciiTheme="minorHAnsi" w:hAnsiTheme="minorHAnsi"/>
          <w:i/>
          <w:lang w:val="en-GB"/>
        </w:rPr>
      </w:pPr>
      <w:r w:rsidRPr="009B2D70">
        <w:rPr>
          <w:rFonts w:asciiTheme="minorHAnsi" w:hAnsiTheme="minorHAnsi"/>
          <w:i/>
          <w:lang w:val="en-GB"/>
        </w:rPr>
        <w:t>2.1</w:t>
      </w:r>
      <w:r w:rsidRPr="009B2D70">
        <w:rPr>
          <w:rFonts w:asciiTheme="minorHAnsi" w:hAnsiTheme="minorHAnsi"/>
          <w:i/>
          <w:lang w:val="en-GB"/>
        </w:rPr>
        <w:tab/>
        <w:t>The MYDST develops and implements a clear management structure for the oversight of TVET delivery and resources.</w:t>
      </w:r>
    </w:p>
    <w:p w14:paraId="5E284A25" w14:textId="77777777" w:rsidR="00A94481" w:rsidRPr="009B2D70" w:rsidRDefault="00A94481" w:rsidP="00A94481">
      <w:pPr>
        <w:ind w:left="1276" w:right="855" w:hanging="567"/>
        <w:rPr>
          <w:rFonts w:asciiTheme="minorHAnsi" w:hAnsiTheme="minorHAnsi"/>
          <w:i/>
          <w:lang w:val="en-GB"/>
        </w:rPr>
      </w:pPr>
      <w:r w:rsidRPr="009B2D70">
        <w:rPr>
          <w:rFonts w:asciiTheme="minorHAnsi" w:hAnsiTheme="minorHAnsi"/>
          <w:i/>
          <w:lang w:val="en-GB"/>
        </w:rPr>
        <w:t>2.2</w:t>
      </w:r>
      <w:r w:rsidRPr="009B2D70">
        <w:rPr>
          <w:rFonts w:asciiTheme="minorHAnsi" w:hAnsiTheme="minorHAnsi"/>
          <w:i/>
          <w:lang w:val="en-GB"/>
        </w:rPr>
        <w:tab/>
        <w:t>The MYDST appoints the Council of the VNTC ensuring broad stakeholder representation particularly from the productive sector.</w:t>
      </w:r>
    </w:p>
    <w:p w14:paraId="4AB16447" w14:textId="77777777" w:rsidR="00A94481" w:rsidRPr="009B2D70" w:rsidRDefault="00A94481" w:rsidP="00A94481">
      <w:pPr>
        <w:ind w:left="1276" w:right="855" w:hanging="567"/>
        <w:rPr>
          <w:rFonts w:asciiTheme="minorHAnsi" w:hAnsiTheme="minorHAnsi"/>
          <w:i/>
          <w:lang w:val="en-GB"/>
        </w:rPr>
      </w:pPr>
      <w:r w:rsidRPr="009B2D70">
        <w:rPr>
          <w:rFonts w:asciiTheme="minorHAnsi" w:hAnsiTheme="minorHAnsi"/>
          <w:i/>
          <w:lang w:val="en-GB"/>
        </w:rPr>
        <w:t>2.3</w:t>
      </w:r>
      <w:r w:rsidRPr="009B2D70">
        <w:rPr>
          <w:rFonts w:asciiTheme="minorHAnsi" w:hAnsiTheme="minorHAnsi"/>
          <w:i/>
          <w:lang w:val="en-GB"/>
        </w:rPr>
        <w:tab/>
        <w:t>The Government of Vanuatu supports the review and amendment of the VNTC Act with particular attention being given to the name of the agency, the structure and composition of its governing council, clear expression of agency structure including the provincial training boards, clear statements of quality assurance principles, the scope of the agency’s regulatory powers and funding mechanisms.</w:t>
      </w:r>
      <w:r w:rsidRPr="009B2D70">
        <w:rPr>
          <w:rFonts w:asciiTheme="minorHAnsi" w:hAnsiTheme="minorHAnsi"/>
          <w:i/>
          <w:vertAlign w:val="superscript"/>
          <w:lang w:val="en-GB"/>
        </w:rPr>
        <w:footnoteReference w:id="1"/>
      </w:r>
    </w:p>
    <w:p w14:paraId="1260D4C8" w14:textId="77777777" w:rsidR="00A94481" w:rsidRPr="009B2D70" w:rsidRDefault="00A94481" w:rsidP="00D577C0">
      <w:pPr>
        <w:rPr>
          <w:rFonts w:asciiTheme="minorHAnsi" w:hAnsiTheme="minorHAnsi"/>
        </w:rPr>
      </w:pPr>
      <w:r w:rsidRPr="009B2D70">
        <w:rPr>
          <w:rFonts w:asciiTheme="minorHAnsi" w:hAnsiTheme="minorHAnsi"/>
        </w:rPr>
        <w:t xml:space="preserve">In response to a letter from the Government of Vanuatu (December 2011) AusAID indicated its approval (February 2012) for the Program to provide direct support for: </w:t>
      </w:r>
    </w:p>
    <w:p w14:paraId="27CFC018" w14:textId="77777777" w:rsidR="00A94481" w:rsidRPr="009B2D70" w:rsidRDefault="00A94481" w:rsidP="00A94481">
      <w:pPr>
        <w:pStyle w:val="ColorfulList-Accent11"/>
        <w:numPr>
          <w:ilvl w:val="0"/>
          <w:numId w:val="5"/>
        </w:numPr>
        <w:rPr>
          <w:rFonts w:asciiTheme="minorHAnsi" w:hAnsiTheme="minorHAnsi"/>
        </w:rPr>
      </w:pPr>
      <w:r w:rsidRPr="009B2D70">
        <w:rPr>
          <w:rFonts w:asciiTheme="minorHAnsi" w:hAnsiTheme="minorHAnsi"/>
        </w:rPr>
        <w:t xml:space="preserve">the review and restructure of the </w:t>
      </w:r>
      <w:proofErr w:type="spellStart"/>
      <w:r w:rsidRPr="009B2D70">
        <w:rPr>
          <w:rFonts w:asciiTheme="minorHAnsi" w:hAnsiTheme="minorHAnsi"/>
        </w:rPr>
        <w:t>DoYDST</w:t>
      </w:r>
      <w:proofErr w:type="spellEnd"/>
      <w:r w:rsidRPr="009B2D70">
        <w:rPr>
          <w:rFonts w:asciiTheme="minorHAnsi" w:hAnsiTheme="minorHAnsi"/>
        </w:rPr>
        <w:t xml:space="preserve"> TVET Division in order for it to better meet its National TVET Policy implementation mandate, and</w:t>
      </w:r>
    </w:p>
    <w:p w14:paraId="68091E7A" w14:textId="77777777" w:rsidR="00A94481" w:rsidRPr="009B2D70" w:rsidRDefault="00A94481" w:rsidP="00A94481">
      <w:pPr>
        <w:pStyle w:val="ColorfulList-Accent11"/>
        <w:numPr>
          <w:ilvl w:val="0"/>
          <w:numId w:val="5"/>
        </w:numPr>
        <w:rPr>
          <w:rFonts w:asciiTheme="minorHAnsi" w:hAnsiTheme="minorHAnsi"/>
        </w:rPr>
      </w:pPr>
      <w:r w:rsidRPr="009B2D70">
        <w:rPr>
          <w:rFonts w:asciiTheme="minorHAnsi" w:hAnsiTheme="minorHAnsi"/>
        </w:rPr>
        <w:t>the review of the VNTC Act and the redrafting of revised or new legislation as appropriate.</w:t>
      </w:r>
    </w:p>
    <w:p w14:paraId="40E30C48" w14:textId="77777777" w:rsidR="00A94481" w:rsidRPr="009B2D70" w:rsidRDefault="00A94481" w:rsidP="00D577C0">
      <w:pPr>
        <w:rPr>
          <w:rFonts w:asciiTheme="minorHAnsi" w:hAnsiTheme="minorHAnsi"/>
        </w:rPr>
      </w:pPr>
      <w:r w:rsidRPr="009B2D70">
        <w:rPr>
          <w:rFonts w:asciiTheme="minorHAnsi" w:hAnsiTheme="minorHAnsi"/>
        </w:rPr>
        <w:t xml:space="preserve">The Program supported the development of a </w:t>
      </w:r>
      <w:r w:rsidRPr="009B2D70">
        <w:rPr>
          <w:rFonts w:asciiTheme="minorHAnsi" w:hAnsiTheme="minorHAnsi"/>
          <w:i/>
        </w:rPr>
        <w:t>National TVET Policy Implementation Plan</w:t>
      </w:r>
      <w:r w:rsidRPr="009B2D70">
        <w:rPr>
          <w:rFonts w:asciiTheme="minorHAnsi" w:hAnsiTheme="minorHAnsi"/>
        </w:rPr>
        <w:t xml:space="preserve"> which was launched in March 2012 by the Minister Youth Development Sport and Training at the conclusion of a workshop designed to brief key TVET </w:t>
      </w:r>
      <w:r w:rsidR="003E48EA">
        <w:rPr>
          <w:rFonts w:asciiTheme="minorHAnsi" w:hAnsiTheme="minorHAnsi"/>
        </w:rPr>
        <w:t>s</w:t>
      </w:r>
      <w:r w:rsidRPr="009B2D70">
        <w:rPr>
          <w:rFonts w:asciiTheme="minorHAnsi" w:hAnsiTheme="minorHAnsi"/>
        </w:rPr>
        <w:t xml:space="preserve">ector stakeholders on Government TVET Policy implementation priorities. The restructure of the </w:t>
      </w:r>
      <w:proofErr w:type="spellStart"/>
      <w:r w:rsidRPr="009B2D70">
        <w:rPr>
          <w:rFonts w:asciiTheme="minorHAnsi" w:hAnsiTheme="minorHAnsi"/>
        </w:rPr>
        <w:t>DoYDST</w:t>
      </w:r>
      <w:proofErr w:type="spellEnd"/>
      <w:r w:rsidRPr="009B2D70">
        <w:rPr>
          <w:rFonts w:asciiTheme="minorHAnsi" w:hAnsiTheme="minorHAnsi"/>
        </w:rPr>
        <w:t xml:space="preserve"> and the review and revision of the VNTC Act were cited as the two top priorities by the Government at the workshop.</w:t>
      </w:r>
    </w:p>
    <w:p w14:paraId="615AF774" w14:textId="77777777" w:rsidR="00A94481" w:rsidRPr="009B2D70" w:rsidRDefault="00A94481" w:rsidP="00D577C0">
      <w:pPr>
        <w:rPr>
          <w:rFonts w:asciiTheme="minorHAnsi" w:hAnsiTheme="minorHAnsi"/>
        </w:rPr>
      </w:pPr>
      <w:r w:rsidRPr="009B2D70">
        <w:rPr>
          <w:rFonts w:asciiTheme="minorHAnsi" w:hAnsiTheme="minorHAnsi"/>
        </w:rPr>
        <w:t>These two major activities will form the basis of the Program’s planned TVET System activity for the June to December period of this Plan.</w:t>
      </w:r>
    </w:p>
    <w:p w14:paraId="79D3FA0C" w14:textId="77777777" w:rsidR="00A94481" w:rsidRPr="009B2D70" w:rsidRDefault="00A94481" w:rsidP="00D577C0">
      <w:pPr>
        <w:rPr>
          <w:rFonts w:asciiTheme="minorHAnsi" w:hAnsiTheme="minorHAnsi"/>
        </w:rPr>
      </w:pPr>
      <w:r w:rsidRPr="009B2D70">
        <w:rPr>
          <w:rFonts w:asciiTheme="minorHAnsi" w:hAnsiTheme="minorHAnsi"/>
        </w:rPr>
        <w:t>Specific activities will include:</w:t>
      </w:r>
    </w:p>
    <w:p w14:paraId="542CA78D" w14:textId="77777777" w:rsidR="00A94481" w:rsidRPr="009B2D70" w:rsidRDefault="00A94481" w:rsidP="00FE4FDF">
      <w:pPr>
        <w:pStyle w:val="ColorfulList-Accent11"/>
        <w:numPr>
          <w:ilvl w:val="0"/>
          <w:numId w:val="1"/>
        </w:numPr>
        <w:rPr>
          <w:rFonts w:asciiTheme="minorHAnsi" w:hAnsiTheme="minorHAnsi"/>
        </w:rPr>
      </w:pPr>
      <w:r w:rsidRPr="009B2D70">
        <w:rPr>
          <w:rFonts w:asciiTheme="minorHAnsi" w:hAnsiTheme="minorHAnsi"/>
        </w:rPr>
        <w:t xml:space="preserve">Finalisation of a Concept Paper detailing the rationale and possible structural changes to the </w:t>
      </w:r>
      <w:proofErr w:type="spellStart"/>
      <w:r w:rsidRPr="009B2D70">
        <w:rPr>
          <w:rFonts w:asciiTheme="minorHAnsi" w:hAnsiTheme="minorHAnsi"/>
        </w:rPr>
        <w:t>DoYDST</w:t>
      </w:r>
      <w:proofErr w:type="spellEnd"/>
      <w:r w:rsidRPr="009B2D70">
        <w:rPr>
          <w:rFonts w:asciiTheme="minorHAnsi" w:hAnsiTheme="minorHAnsi"/>
        </w:rPr>
        <w:t xml:space="preserve"> TVET Division and the VNTC</w:t>
      </w:r>
      <w:r w:rsidR="00002952">
        <w:rPr>
          <w:rFonts w:asciiTheme="minorHAnsi" w:hAnsiTheme="minorHAnsi"/>
        </w:rPr>
        <w:t>.</w:t>
      </w:r>
    </w:p>
    <w:p w14:paraId="5024BC8A" w14:textId="77777777" w:rsidR="00A94481" w:rsidRPr="009B2D70" w:rsidRDefault="00A94481" w:rsidP="00FE4FDF">
      <w:pPr>
        <w:pStyle w:val="ColorfulList-Accent11"/>
        <w:numPr>
          <w:ilvl w:val="0"/>
          <w:numId w:val="1"/>
        </w:numPr>
        <w:rPr>
          <w:rFonts w:asciiTheme="minorHAnsi" w:hAnsiTheme="minorHAnsi"/>
        </w:rPr>
      </w:pPr>
      <w:r w:rsidRPr="009B2D70">
        <w:rPr>
          <w:rFonts w:asciiTheme="minorHAnsi" w:hAnsiTheme="minorHAnsi"/>
        </w:rPr>
        <w:t>Support for the management of the consultative process including the broad</w:t>
      </w:r>
      <w:r w:rsidR="003E48EA">
        <w:rPr>
          <w:rFonts w:asciiTheme="minorHAnsi" w:hAnsiTheme="minorHAnsi"/>
        </w:rPr>
        <w:t xml:space="preserve"> and bilingual</w:t>
      </w:r>
      <w:r w:rsidRPr="009B2D70">
        <w:rPr>
          <w:rFonts w:asciiTheme="minorHAnsi" w:hAnsiTheme="minorHAnsi"/>
        </w:rPr>
        <w:t xml:space="preserve"> distribution of the Concept Paper, the collation of submissions and the incorporation of </w:t>
      </w:r>
      <w:r w:rsidRPr="009B2D70">
        <w:rPr>
          <w:rFonts w:asciiTheme="minorHAnsi" w:hAnsiTheme="minorHAnsi"/>
        </w:rPr>
        <w:lastRenderedPageBreak/>
        <w:t>stakeholder viewpoints into the finalisation of proposed structures to be presented at a final consultative workshop</w:t>
      </w:r>
      <w:r w:rsidR="00002952">
        <w:rPr>
          <w:rFonts w:asciiTheme="minorHAnsi" w:hAnsiTheme="minorHAnsi"/>
        </w:rPr>
        <w:t>.</w:t>
      </w:r>
    </w:p>
    <w:p w14:paraId="2C61DEB0" w14:textId="77777777" w:rsidR="00A94481" w:rsidRPr="009B2D70" w:rsidRDefault="00A94481" w:rsidP="00FE4FDF">
      <w:pPr>
        <w:pStyle w:val="ColorfulList-Accent11"/>
        <w:numPr>
          <w:ilvl w:val="0"/>
          <w:numId w:val="1"/>
        </w:numPr>
        <w:rPr>
          <w:rFonts w:asciiTheme="minorHAnsi" w:hAnsiTheme="minorHAnsi"/>
        </w:rPr>
      </w:pPr>
      <w:r w:rsidRPr="009B2D70">
        <w:rPr>
          <w:rFonts w:asciiTheme="minorHAnsi" w:hAnsiTheme="minorHAnsi"/>
        </w:rPr>
        <w:t xml:space="preserve">Support the development of new </w:t>
      </w:r>
      <w:proofErr w:type="spellStart"/>
      <w:r w:rsidRPr="009B2D70">
        <w:rPr>
          <w:rFonts w:asciiTheme="minorHAnsi" w:hAnsiTheme="minorHAnsi"/>
        </w:rPr>
        <w:t>DoYDST</w:t>
      </w:r>
      <w:proofErr w:type="spellEnd"/>
      <w:r w:rsidRPr="009B2D70">
        <w:rPr>
          <w:rFonts w:asciiTheme="minorHAnsi" w:hAnsiTheme="minorHAnsi"/>
        </w:rPr>
        <w:t xml:space="preserve"> structure documents, including position descriptions for all personnel in the new structure, for submission to the Public Service Commission for approval</w:t>
      </w:r>
      <w:r w:rsidR="00002952">
        <w:rPr>
          <w:rFonts w:asciiTheme="minorHAnsi" w:hAnsiTheme="minorHAnsi"/>
        </w:rPr>
        <w:t>.</w:t>
      </w:r>
    </w:p>
    <w:p w14:paraId="41A8D6A3" w14:textId="77777777" w:rsidR="00A94481" w:rsidRPr="009B2D70" w:rsidRDefault="00A94481" w:rsidP="00FE4FDF">
      <w:pPr>
        <w:pStyle w:val="ColorfulList-Accent11"/>
        <w:numPr>
          <w:ilvl w:val="0"/>
          <w:numId w:val="1"/>
        </w:numPr>
        <w:rPr>
          <w:rFonts w:asciiTheme="minorHAnsi" w:hAnsiTheme="minorHAnsi"/>
        </w:rPr>
      </w:pPr>
      <w:r w:rsidRPr="009B2D70">
        <w:rPr>
          <w:rFonts w:asciiTheme="minorHAnsi" w:hAnsiTheme="minorHAnsi"/>
        </w:rPr>
        <w:t xml:space="preserve">Support the redrafting of the VNTC (or its successor) Act with assistance from John </w:t>
      </w:r>
      <w:proofErr w:type="spellStart"/>
      <w:r w:rsidRPr="009B2D70">
        <w:rPr>
          <w:rFonts w:asciiTheme="minorHAnsi" w:hAnsiTheme="minorHAnsi"/>
        </w:rPr>
        <w:t>Murn</w:t>
      </w:r>
      <w:proofErr w:type="spellEnd"/>
      <w:r w:rsidRPr="009B2D70">
        <w:rPr>
          <w:rFonts w:asciiTheme="minorHAnsi" w:hAnsiTheme="minorHAnsi"/>
        </w:rPr>
        <w:t xml:space="preserve"> (AusAID Legal Adviser)</w:t>
      </w:r>
      <w:r w:rsidR="00002952">
        <w:rPr>
          <w:rFonts w:asciiTheme="minorHAnsi" w:hAnsiTheme="minorHAnsi"/>
        </w:rPr>
        <w:t>.</w:t>
      </w:r>
    </w:p>
    <w:p w14:paraId="053EF6BF" w14:textId="77777777" w:rsidR="00A94481" w:rsidRPr="009B2D70" w:rsidRDefault="00A94481" w:rsidP="00FE4FDF">
      <w:pPr>
        <w:pStyle w:val="ColorfulList-Accent11"/>
        <w:numPr>
          <w:ilvl w:val="0"/>
          <w:numId w:val="1"/>
        </w:numPr>
        <w:rPr>
          <w:rFonts w:asciiTheme="minorHAnsi" w:hAnsiTheme="minorHAnsi"/>
        </w:rPr>
      </w:pPr>
      <w:r w:rsidRPr="009B2D70">
        <w:rPr>
          <w:rFonts w:asciiTheme="minorHAnsi" w:hAnsiTheme="minorHAnsi"/>
        </w:rPr>
        <w:t>Assist with any additional documentation required to support the approval of the new act by the Council of Ministers.</w:t>
      </w:r>
    </w:p>
    <w:p w14:paraId="5B8CB475" w14:textId="77777777" w:rsidR="00A94481" w:rsidRPr="009B2D70" w:rsidRDefault="00705121" w:rsidP="00D577C0">
      <w:pPr>
        <w:pStyle w:val="Heading3"/>
        <w:rPr>
          <w:rFonts w:asciiTheme="minorHAnsi" w:hAnsiTheme="minorHAnsi"/>
          <w:lang w:val="en-GB"/>
        </w:rPr>
      </w:pPr>
      <w:bookmarkStart w:id="15" w:name="_Toc289265548"/>
      <w:bookmarkStart w:id="16" w:name="_Toc289265791"/>
      <w:bookmarkStart w:id="17" w:name="_Toc289376435"/>
      <w:bookmarkStart w:id="18" w:name="_Toc323399350"/>
      <w:r w:rsidRPr="009B2D70">
        <w:rPr>
          <w:rFonts w:asciiTheme="minorHAnsi" w:hAnsiTheme="minorHAnsi"/>
          <w:lang w:val="en-GB"/>
        </w:rPr>
        <w:t>2</w:t>
      </w:r>
      <w:r w:rsidR="00A94481" w:rsidRPr="009B2D70">
        <w:rPr>
          <w:rFonts w:asciiTheme="minorHAnsi" w:hAnsiTheme="minorHAnsi"/>
          <w:lang w:val="en-GB"/>
        </w:rPr>
        <w:t>.1.2</w:t>
      </w:r>
      <w:r w:rsidR="00A94481" w:rsidRPr="009B2D70">
        <w:rPr>
          <w:rFonts w:asciiTheme="minorHAnsi" w:hAnsiTheme="minorHAnsi"/>
          <w:lang w:val="en-GB"/>
        </w:rPr>
        <w:tab/>
      </w:r>
      <w:bookmarkEnd w:id="15"/>
      <w:bookmarkEnd w:id="16"/>
      <w:bookmarkEnd w:id="17"/>
      <w:r w:rsidR="00A94481" w:rsidRPr="009B2D70">
        <w:rPr>
          <w:rFonts w:asciiTheme="minorHAnsi" w:hAnsiTheme="minorHAnsi"/>
          <w:lang w:val="en-GB"/>
        </w:rPr>
        <w:t xml:space="preserve">Implementation of new </w:t>
      </w:r>
      <w:proofErr w:type="spellStart"/>
      <w:r w:rsidR="00A94481" w:rsidRPr="009B2D70">
        <w:rPr>
          <w:rFonts w:asciiTheme="minorHAnsi" w:hAnsiTheme="minorHAnsi"/>
          <w:lang w:val="en-GB"/>
        </w:rPr>
        <w:t>DoYDST</w:t>
      </w:r>
      <w:proofErr w:type="spellEnd"/>
      <w:r w:rsidR="00A94481" w:rsidRPr="009B2D70">
        <w:rPr>
          <w:rFonts w:asciiTheme="minorHAnsi" w:hAnsiTheme="minorHAnsi"/>
          <w:lang w:val="en-GB"/>
        </w:rPr>
        <w:t xml:space="preserve"> structure</w:t>
      </w:r>
      <w:bookmarkEnd w:id="18"/>
    </w:p>
    <w:p w14:paraId="3FF3D9C0" w14:textId="77777777" w:rsidR="00A94481" w:rsidRPr="009B2D70" w:rsidRDefault="00A94481" w:rsidP="00D577C0">
      <w:pPr>
        <w:rPr>
          <w:rFonts w:asciiTheme="minorHAnsi" w:hAnsiTheme="minorHAnsi"/>
        </w:rPr>
      </w:pPr>
      <w:r w:rsidRPr="009B2D70">
        <w:rPr>
          <w:rFonts w:asciiTheme="minorHAnsi" w:hAnsiTheme="minorHAnsi"/>
        </w:rPr>
        <w:t>On the assumption that new structures will be approved by the PSC, there will be a requirement for substantial human resource management activity including development of position descriptions, recruitment and induction of new staff.</w:t>
      </w:r>
    </w:p>
    <w:p w14:paraId="08F56E26" w14:textId="77777777" w:rsidR="00A94481" w:rsidRPr="009B2D70" w:rsidRDefault="00A94481" w:rsidP="00D577C0">
      <w:pPr>
        <w:rPr>
          <w:rFonts w:asciiTheme="minorHAnsi" w:hAnsiTheme="minorHAnsi"/>
        </w:rPr>
      </w:pPr>
      <w:r w:rsidRPr="009B2D70">
        <w:rPr>
          <w:rFonts w:asciiTheme="minorHAnsi" w:hAnsiTheme="minorHAnsi"/>
        </w:rPr>
        <w:t>At the same time a nationwide communications strategy explaining the changes to the governance structures for the national TVET system including new roles and responsibilities will need to be developed and implemented.</w:t>
      </w:r>
    </w:p>
    <w:p w14:paraId="4A8F61A6" w14:textId="77777777" w:rsidR="00A94481" w:rsidRPr="009B2D70" w:rsidRDefault="00A94481" w:rsidP="00D577C0">
      <w:pPr>
        <w:rPr>
          <w:rFonts w:asciiTheme="minorHAnsi" w:hAnsiTheme="minorHAnsi"/>
        </w:rPr>
      </w:pPr>
      <w:r w:rsidRPr="009B2D70">
        <w:rPr>
          <w:rFonts w:asciiTheme="minorHAnsi" w:hAnsiTheme="minorHAnsi"/>
        </w:rPr>
        <w:t>Specific activities will include:</w:t>
      </w:r>
    </w:p>
    <w:p w14:paraId="79A1FFD5" w14:textId="77777777" w:rsidR="00A94481" w:rsidRPr="009B2D70" w:rsidRDefault="00A94481" w:rsidP="00D577C0">
      <w:pPr>
        <w:pStyle w:val="ColorfulList-Accent11"/>
        <w:numPr>
          <w:ilvl w:val="0"/>
          <w:numId w:val="1"/>
        </w:numPr>
        <w:rPr>
          <w:rFonts w:asciiTheme="minorHAnsi" w:hAnsiTheme="minorHAnsi"/>
        </w:rPr>
      </w:pPr>
      <w:r w:rsidRPr="009B2D70">
        <w:rPr>
          <w:rFonts w:asciiTheme="minorHAnsi" w:hAnsiTheme="minorHAnsi"/>
        </w:rPr>
        <w:t xml:space="preserve">Based on PSC approval and budget availability, assist </w:t>
      </w:r>
      <w:proofErr w:type="spellStart"/>
      <w:r w:rsidRPr="009B2D70">
        <w:rPr>
          <w:rFonts w:asciiTheme="minorHAnsi" w:hAnsiTheme="minorHAnsi"/>
        </w:rPr>
        <w:t>DoYDST</w:t>
      </w:r>
      <w:proofErr w:type="spellEnd"/>
      <w:r w:rsidRPr="009B2D70">
        <w:rPr>
          <w:rFonts w:asciiTheme="minorHAnsi" w:hAnsiTheme="minorHAnsi"/>
        </w:rPr>
        <w:t xml:space="preserve"> commence implementation activities including finalisation of position descriptions and induction of new personnel</w:t>
      </w:r>
      <w:r w:rsidR="00002952">
        <w:rPr>
          <w:rFonts w:asciiTheme="minorHAnsi" w:hAnsiTheme="minorHAnsi"/>
        </w:rPr>
        <w:t>.</w:t>
      </w:r>
    </w:p>
    <w:p w14:paraId="56E0891C" w14:textId="77777777" w:rsidR="00A94481" w:rsidRPr="009B2D70" w:rsidRDefault="00A94481" w:rsidP="00D577C0">
      <w:pPr>
        <w:pStyle w:val="ColorfulList-Accent11"/>
        <w:numPr>
          <w:ilvl w:val="0"/>
          <w:numId w:val="1"/>
        </w:numPr>
        <w:rPr>
          <w:rFonts w:asciiTheme="minorHAnsi" w:hAnsiTheme="minorHAnsi"/>
        </w:rPr>
      </w:pPr>
      <w:r w:rsidRPr="009B2D70">
        <w:rPr>
          <w:rFonts w:asciiTheme="minorHAnsi" w:hAnsiTheme="minorHAnsi"/>
        </w:rPr>
        <w:t xml:space="preserve">Assist the </w:t>
      </w:r>
      <w:proofErr w:type="spellStart"/>
      <w:r w:rsidRPr="009B2D70">
        <w:rPr>
          <w:rFonts w:asciiTheme="minorHAnsi" w:hAnsiTheme="minorHAnsi"/>
        </w:rPr>
        <w:t>DoYDST</w:t>
      </w:r>
      <w:proofErr w:type="spellEnd"/>
      <w:r w:rsidRPr="009B2D70">
        <w:rPr>
          <w:rFonts w:asciiTheme="minorHAnsi" w:hAnsiTheme="minorHAnsi"/>
        </w:rPr>
        <w:t xml:space="preserve"> develop and implement a national communications strategy explaining changes to the national TVET system</w:t>
      </w:r>
      <w:r w:rsidR="00002952">
        <w:rPr>
          <w:rFonts w:asciiTheme="minorHAnsi" w:hAnsiTheme="minorHAnsi"/>
        </w:rPr>
        <w:t>.</w:t>
      </w:r>
    </w:p>
    <w:p w14:paraId="7EF8E563"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Assist the DOYDST develop a monitoring and evaluation system to guide on-going and systematic policy review and planning</w:t>
      </w:r>
      <w:r w:rsidR="00002952">
        <w:rPr>
          <w:rFonts w:asciiTheme="minorHAnsi" w:hAnsiTheme="minorHAnsi"/>
        </w:rPr>
        <w:t>.</w:t>
      </w:r>
    </w:p>
    <w:p w14:paraId="2D850E96"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 xml:space="preserve">Support the </w:t>
      </w:r>
      <w:proofErr w:type="spellStart"/>
      <w:r w:rsidRPr="009B2D70">
        <w:rPr>
          <w:rFonts w:asciiTheme="minorHAnsi" w:hAnsiTheme="minorHAnsi"/>
        </w:rPr>
        <w:t>DoYDST</w:t>
      </w:r>
      <w:proofErr w:type="spellEnd"/>
      <w:r w:rsidRPr="009B2D70">
        <w:rPr>
          <w:rFonts w:asciiTheme="minorHAnsi" w:hAnsiTheme="minorHAnsi"/>
        </w:rPr>
        <w:t xml:space="preserve"> develop a Strategic Plan for TVET as a basis for a 3 year rolling evaluation and review of the TVET </w:t>
      </w:r>
      <w:r w:rsidR="003E48EA">
        <w:rPr>
          <w:rFonts w:asciiTheme="minorHAnsi" w:hAnsiTheme="minorHAnsi"/>
        </w:rPr>
        <w:t>s</w:t>
      </w:r>
      <w:r w:rsidRPr="009B2D70">
        <w:rPr>
          <w:rFonts w:asciiTheme="minorHAnsi" w:hAnsiTheme="minorHAnsi"/>
        </w:rPr>
        <w:t>ector’s strategic directions.</w:t>
      </w:r>
    </w:p>
    <w:p w14:paraId="648D61A3" w14:textId="77777777" w:rsidR="00A94481" w:rsidRPr="009B2D70" w:rsidRDefault="00705121" w:rsidP="00D577C0">
      <w:pPr>
        <w:pStyle w:val="Heading3"/>
        <w:ind w:left="709" w:hanging="709"/>
        <w:rPr>
          <w:rFonts w:asciiTheme="minorHAnsi" w:hAnsiTheme="minorHAnsi"/>
          <w:lang w:val="en-GB"/>
        </w:rPr>
      </w:pPr>
      <w:bookmarkStart w:id="19" w:name="_Toc323399351"/>
      <w:bookmarkStart w:id="20" w:name="_Toc289265549"/>
      <w:bookmarkStart w:id="21" w:name="_Toc289265792"/>
      <w:bookmarkStart w:id="22" w:name="_Toc289376436"/>
      <w:r w:rsidRPr="009B2D70">
        <w:rPr>
          <w:rFonts w:asciiTheme="minorHAnsi" w:hAnsiTheme="minorHAnsi"/>
          <w:lang w:val="en-GB"/>
        </w:rPr>
        <w:t>2</w:t>
      </w:r>
      <w:r w:rsidR="00A94481" w:rsidRPr="009B2D70">
        <w:rPr>
          <w:rFonts w:asciiTheme="minorHAnsi" w:hAnsiTheme="minorHAnsi"/>
          <w:lang w:val="en-GB"/>
        </w:rPr>
        <w:t>.1.3</w:t>
      </w:r>
      <w:r w:rsidR="00A94481" w:rsidRPr="009B2D70">
        <w:rPr>
          <w:rFonts w:asciiTheme="minorHAnsi" w:hAnsiTheme="minorHAnsi"/>
          <w:lang w:val="en-GB"/>
        </w:rPr>
        <w:tab/>
        <w:t>Implementation of new VNTC</w:t>
      </w:r>
      <w:r w:rsidR="00A94481" w:rsidRPr="009B2D70">
        <w:rPr>
          <w:rStyle w:val="FootnoteReference"/>
          <w:rFonts w:asciiTheme="minorHAnsi" w:hAnsiTheme="minorHAnsi"/>
          <w:lang w:val="en-GB"/>
        </w:rPr>
        <w:footnoteReference w:id="2"/>
      </w:r>
      <w:r w:rsidR="00A94481" w:rsidRPr="009B2D70">
        <w:rPr>
          <w:rFonts w:asciiTheme="minorHAnsi" w:hAnsiTheme="minorHAnsi"/>
          <w:lang w:val="en-GB"/>
        </w:rPr>
        <w:t xml:space="preserve"> (or successor) structures and processes</w:t>
      </w:r>
      <w:bookmarkEnd w:id="19"/>
    </w:p>
    <w:p w14:paraId="1EE79F8E" w14:textId="77777777" w:rsidR="00A94481" w:rsidRPr="009B2D70" w:rsidRDefault="00A94481" w:rsidP="00D577C0">
      <w:pPr>
        <w:rPr>
          <w:rFonts w:asciiTheme="minorHAnsi" w:hAnsiTheme="minorHAnsi"/>
        </w:rPr>
      </w:pPr>
      <w:r w:rsidRPr="009B2D70">
        <w:rPr>
          <w:rFonts w:asciiTheme="minorHAnsi" w:hAnsiTheme="minorHAnsi"/>
        </w:rPr>
        <w:t xml:space="preserve">It is currently proposed under the new arrangements that the </w:t>
      </w:r>
      <w:proofErr w:type="spellStart"/>
      <w:r w:rsidRPr="009B2D70">
        <w:rPr>
          <w:rFonts w:asciiTheme="minorHAnsi" w:hAnsiTheme="minorHAnsi"/>
        </w:rPr>
        <w:t>DoYDST</w:t>
      </w:r>
      <w:proofErr w:type="spellEnd"/>
      <w:r w:rsidRPr="009B2D70">
        <w:rPr>
          <w:rFonts w:asciiTheme="minorHAnsi" w:hAnsiTheme="minorHAnsi"/>
        </w:rPr>
        <w:t xml:space="preserve"> Director (TVET) will become the Chair of the VNTC whose first task will be to nominate to the Minister candidates for the new Board. There will then be a need to induct the new Board to the new principles and processes of the VNTC as provided in the new Act and to prepare them for their role as Board Members.</w:t>
      </w:r>
    </w:p>
    <w:p w14:paraId="36E0CF4C" w14:textId="77777777" w:rsidR="00A94481" w:rsidRPr="009B2D70" w:rsidRDefault="00A94481" w:rsidP="00D577C0">
      <w:pPr>
        <w:rPr>
          <w:rFonts w:asciiTheme="minorHAnsi" w:hAnsiTheme="minorHAnsi"/>
        </w:rPr>
      </w:pPr>
      <w:r w:rsidRPr="009B2D70">
        <w:rPr>
          <w:rFonts w:asciiTheme="minorHAnsi" w:hAnsiTheme="minorHAnsi"/>
        </w:rPr>
        <w:t>If a new authority is created under a new Act substantial human resource management activity will be needed including development of position descriptions, recruitment and induction of staff.</w:t>
      </w:r>
    </w:p>
    <w:p w14:paraId="697D5FBD" w14:textId="77777777" w:rsidR="00A94481" w:rsidRPr="009B2D70" w:rsidRDefault="00A94481" w:rsidP="00D577C0">
      <w:pPr>
        <w:rPr>
          <w:rFonts w:asciiTheme="minorHAnsi" w:hAnsiTheme="minorHAnsi"/>
        </w:rPr>
      </w:pPr>
      <w:r w:rsidRPr="009B2D70">
        <w:rPr>
          <w:rFonts w:asciiTheme="minorHAnsi" w:hAnsiTheme="minorHAnsi"/>
        </w:rPr>
        <w:t>A nationwide communications strategy explaining the changes to the VNTC and the new regulatory environment will need to be developed and implemented.</w:t>
      </w:r>
    </w:p>
    <w:p w14:paraId="09CEBA4B" w14:textId="77777777" w:rsidR="00A94481" w:rsidRPr="009B2D70" w:rsidRDefault="00A94481" w:rsidP="00D577C0">
      <w:pPr>
        <w:rPr>
          <w:rFonts w:asciiTheme="minorHAnsi" w:hAnsiTheme="minorHAnsi"/>
        </w:rPr>
      </w:pPr>
      <w:r w:rsidRPr="009B2D70">
        <w:rPr>
          <w:rFonts w:asciiTheme="minorHAnsi" w:hAnsiTheme="minorHAnsi"/>
        </w:rPr>
        <w:lastRenderedPageBreak/>
        <w:t>Specific activities will include:</w:t>
      </w:r>
    </w:p>
    <w:p w14:paraId="5ACD808C" w14:textId="77777777" w:rsidR="00A94481" w:rsidRPr="009B2D70" w:rsidRDefault="00A94481" w:rsidP="00D577C0">
      <w:pPr>
        <w:pStyle w:val="ColorfulList-Accent11"/>
        <w:numPr>
          <w:ilvl w:val="0"/>
          <w:numId w:val="1"/>
        </w:numPr>
        <w:rPr>
          <w:rFonts w:asciiTheme="minorHAnsi" w:hAnsiTheme="minorHAnsi"/>
        </w:rPr>
      </w:pPr>
      <w:r w:rsidRPr="009B2D70">
        <w:rPr>
          <w:rFonts w:asciiTheme="minorHAnsi" w:hAnsiTheme="minorHAnsi"/>
        </w:rPr>
        <w:t xml:space="preserve">Assist the </w:t>
      </w:r>
      <w:proofErr w:type="spellStart"/>
      <w:r w:rsidRPr="009B2D70">
        <w:rPr>
          <w:rFonts w:asciiTheme="minorHAnsi" w:hAnsiTheme="minorHAnsi"/>
        </w:rPr>
        <w:t>DoYDST</w:t>
      </w:r>
      <w:proofErr w:type="spellEnd"/>
      <w:r w:rsidRPr="009B2D70">
        <w:rPr>
          <w:rFonts w:asciiTheme="minorHAnsi" w:hAnsiTheme="minorHAnsi"/>
        </w:rPr>
        <w:t xml:space="preserve"> Director (TVET) prepare documentation in support of recommendations for VNTC Board membership to the Minister</w:t>
      </w:r>
      <w:r w:rsidR="00002952">
        <w:rPr>
          <w:rFonts w:asciiTheme="minorHAnsi" w:hAnsiTheme="minorHAnsi"/>
        </w:rPr>
        <w:t>.</w:t>
      </w:r>
    </w:p>
    <w:p w14:paraId="18C968A2" w14:textId="77777777" w:rsidR="00A94481" w:rsidRPr="009B2D70" w:rsidRDefault="00A94481" w:rsidP="00D577C0">
      <w:pPr>
        <w:pStyle w:val="ColorfulList-Accent11"/>
        <w:numPr>
          <w:ilvl w:val="0"/>
          <w:numId w:val="1"/>
        </w:numPr>
        <w:rPr>
          <w:rFonts w:asciiTheme="minorHAnsi" w:hAnsiTheme="minorHAnsi"/>
        </w:rPr>
      </w:pPr>
      <w:r w:rsidRPr="009B2D70">
        <w:rPr>
          <w:rFonts w:asciiTheme="minorHAnsi" w:hAnsiTheme="minorHAnsi"/>
        </w:rPr>
        <w:t xml:space="preserve">Assist the </w:t>
      </w:r>
      <w:proofErr w:type="spellStart"/>
      <w:r w:rsidRPr="009B2D70">
        <w:rPr>
          <w:rFonts w:asciiTheme="minorHAnsi" w:hAnsiTheme="minorHAnsi"/>
        </w:rPr>
        <w:t>DoYDST</w:t>
      </w:r>
      <w:proofErr w:type="spellEnd"/>
      <w:r w:rsidRPr="009B2D70">
        <w:rPr>
          <w:rFonts w:asciiTheme="minorHAnsi" w:hAnsiTheme="minorHAnsi"/>
        </w:rPr>
        <w:t xml:space="preserve"> Director (TVET) plan and conduct activities to induct new Board members into roles and responsibilities as specified in the new Act</w:t>
      </w:r>
      <w:r w:rsidR="00002952">
        <w:rPr>
          <w:rFonts w:asciiTheme="minorHAnsi" w:hAnsiTheme="minorHAnsi"/>
        </w:rPr>
        <w:t>.</w:t>
      </w:r>
    </w:p>
    <w:p w14:paraId="01BFC64D" w14:textId="77777777" w:rsidR="00A94481" w:rsidRPr="009B2D70" w:rsidRDefault="00A94481" w:rsidP="00D577C0">
      <w:pPr>
        <w:pStyle w:val="ColorfulList-Accent11"/>
        <w:numPr>
          <w:ilvl w:val="0"/>
          <w:numId w:val="1"/>
        </w:numPr>
        <w:rPr>
          <w:rFonts w:asciiTheme="minorHAnsi" w:hAnsiTheme="minorHAnsi"/>
        </w:rPr>
      </w:pPr>
      <w:r w:rsidRPr="009B2D70">
        <w:rPr>
          <w:rFonts w:asciiTheme="minorHAnsi" w:hAnsiTheme="minorHAnsi"/>
        </w:rPr>
        <w:t>Assist the VNTC CEO develop and implement a national communications strategy informing key stakeholders, especially post-school education and training providers</w:t>
      </w:r>
      <w:r w:rsidR="00002952">
        <w:rPr>
          <w:rFonts w:asciiTheme="minorHAnsi" w:hAnsiTheme="minorHAnsi"/>
        </w:rPr>
        <w:t>.</w:t>
      </w:r>
    </w:p>
    <w:p w14:paraId="35273B56" w14:textId="77777777" w:rsidR="00A94481" w:rsidRPr="009B2D70" w:rsidRDefault="00705121" w:rsidP="00D577C0">
      <w:pPr>
        <w:pStyle w:val="Heading3"/>
        <w:rPr>
          <w:rFonts w:asciiTheme="minorHAnsi" w:hAnsiTheme="minorHAnsi"/>
          <w:lang w:val="en-GB"/>
        </w:rPr>
      </w:pPr>
      <w:bookmarkStart w:id="23" w:name="_Toc323399352"/>
      <w:r w:rsidRPr="009B2D70">
        <w:rPr>
          <w:rFonts w:asciiTheme="minorHAnsi" w:hAnsiTheme="minorHAnsi"/>
          <w:lang w:val="en-GB"/>
        </w:rPr>
        <w:t>2</w:t>
      </w:r>
      <w:r w:rsidR="00A94481" w:rsidRPr="009B2D70">
        <w:rPr>
          <w:rFonts w:asciiTheme="minorHAnsi" w:hAnsiTheme="minorHAnsi"/>
          <w:lang w:val="en-GB"/>
        </w:rPr>
        <w:t>.1.3</w:t>
      </w:r>
      <w:r w:rsidR="00A94481" w:rsidRPr="009B2D70">
        <w:rPr>
          <w:rFonts w:asciiTheme="minorHAnsi" w:hAnsiTheme="minorHAnsi"/>
          <w:lang w:val="en-GB"/>
        </w:rPr>
        <w:tab/>
        <w:t>Funding</w:t>
      </w:r>
      <w:bookmarkEnd w:id="20"/>
      <w:bookmarkEnd w:id="21"/>
      <w:bookmarkEnd w:id="22"/>
      <w:bookmarkEnd w:id="23"/>
    </w:p>
    <w:p w14:paraId="3D1C1109" w14:textId="77777777" w:rsidR="00A94481" w:rsidRPr="009B2D70" w:rsidRDefault="00A94481" w:rsidP="00D577C0">
      <w:pPr>
        <w:rPr>
          <w:rFonts w:asciiTheme="minorHAnsi" w:hAnsiTheme="minorHAnsi"/>
        </w:rPr>
      </w:pPr>
      <w:r w:rsidRPr="009B2D70">
        <w:rPr>
          <w:rFonts w:asciiTheme="minorHAnsi" w:hAnsiTheme="minorHAnsi"/>
        </w:rPr>
        <w:t>Funding remains a critical risk to the longer term sustainability of the sector. The National TVET Policy calls for a comprehensive analysis of funding sources and recommends a feasibility study into the establishment of a National Training Fund.</w:t>
      </w:r>
    </w:p>
    <w:p w14:paraId="78C658FD" w14:textId="77777777" w:rsidR="00A94481" w:rsidRPr="009B2D70" w:rsidRDefault="00A94481" w:rsidP="00D577C0">
      <w:pPr>
        <w:rPr>
          <w:rFonts w:asciiTheme="minorHAnsi" w:hAnsiTheme="minorHAnsi"/>
        </w:rPr>
      </w:pPr>
      <w:r w:rsidRPr="009B2D70">
        <w:rPr>
          <w:rFonts w:asciiTheme="minorHAnsi" w:hAnsiTheme="minorHAnsi"/>
        </w:rPr>
        <w:t>AusAID ha</w:t>
      </w:r>
      <w:r w:rsidR="00002952">
        <w:rPr>
          <w:rFonts w:asciiTheme="minorHAnsi" w:hAnsiTheme="minorHAnsi"/>
        </w:rPr>
        <w:t>s</w:t>
      </w:r>
      <w:r w:rsidRPr="009B2D70">
        <w:rPr>
          <w:rFonts w:asciiTheme="minorHAnsi" w:hAnsiTheme="minorHAnsi"/>
        </w:rPr>
        <w:t xml:space="preserve"> commissioned a regional study on TVET funding and financing. Vanuatu has been identified as one of the first countries to be included in the study.</w:t>
      </w:r>
    </w:p>
    <w:p w14:paraId="6C50D021" w14:textId="77777777" w:rsidR="00A94481" w:rsidRPr="009B2D70" w:rsidRDefault="00A94481" w:rsidP="00D577C0">
      <w:pPr>
        <w:rPr>
          <w:rFonts w:asciiTheme="minorHAnsi" w:hAnsiTheme="minorHAnsi"/>
        </w:rPr>
      </w:pPr>
      <w:r w:rsidRPr="009B2D70">
        <w:rPr>
          <w:rFonts w:asciiTheme="minorHAnsi" w:hAnsiTheme="minorHAnsi"/>
        </w:rPr>
        <w:t>Specific activities will include:</w:t>
      </w:r>
    </w:p>
    <w:p w14:paraId="734D6351"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 xml:space="preserve">In consultation with AusAID, assist the </w:t>
      </w:r>
      <w:proofErr w:type="spellStart"/>
      <w:r w:rsidR="00FE4FDF">
        <w:rPr>
          <w:rFonts w:asciiTheme="minorHAnsi" w:hAnsiTheme="minorHAnsi"/>
        </w:rPr>
        <w:t>DoY</w:t>
      </w:r>
      <w:r w:rsidRPr="009B2D70">
        <w:rPr>
          <w:rFonts w:asciiTheme="minorHAnsi" w:hAnsiTheme="minorHAnsi"/>
        </w:rPr>
        <w:t>DST</w:t>
      </w:r>
      <w:proofErr w:type="spellEnd"/>
      <w:r w:rsidRPr="009B2D70">
        <w:rPr>
          <w:rFonts w:asciiTheme="minorHAnsi" w:hAnsiTheme="minorHAnsi"/>
        </w:rPr>
        <w:t xml:space="preserve"> provide input into the study as required and assist the </w:t>
      </w:r>
      <w:proofErr w:type="spellStart"/>
      <w:r w:rsidR="00FE4FDF">
        <w:rPr>
          <w:rFonts w:asciiTheme="minorHAnsi" w:hAnsiTheme="minorHAnsi"/>
        </w:rPr>
        <w:t>DoY</w:t>
      </w:r>
      <w:r w:rsidR="00FE4FDF" w:rsidRPr="009B2D70">
        <w:rPr>
          <w:rFonts w:asciiTheme="minorHAnsi" w:hAnsiTheme="minorHAnsi"/>
        </w:rPr>
        <w:t>DST</w:t>
      </w:r>
      <w:r w:rsidRPr="009B2D70">
        <w:rPr>
          <w:rFonts w:asciiTheme="minorHAnsi" w:hAnsiTheme="minorHAnsi"/>
        </w:rPr>
        <w:t>analyse</w:t>
      </w:r>
      <w:proofErr w:type="spellEnd"/>
      <w:r w:rsidRPr="009B2D70">
        <w:rPr>
          <w:rFonts w:asciiTheme="minorHAnsi" w:hAnsiTheme="minorHAnsi"/>
        </w:rPr>
        <w:t xml:space="preserve"> and interpret the studies findings</w:t>
      </w:r>
      <w:r w:rsidR="00002952">
        <w:rPr>
          <w:rFonts w:asciiTheme="minorHAnsi" w:hAnsiTheme="minorHAnsi"/>
        </w:rPr>
        <w:t>.</w:t>
      </w:r>
    </w:p>
    <w:p w14:paraId="7AE818D4"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 xml:space="preserve">Assist the </w:t>
      </w:r>
      <w:proofErr w:type="spellStart"/>
      <w:r w:rsidR="00FE4FDF">
        <w:rPr>
          <w:rFonts w:asciiTheme="minorHAnsi" w:hAnsiTheme="minorHAnsi"/>
        </w:rPr>
        <w:t>DoY</w:t>
      </w:r>
      <w:r w:rsidR="00FE4FDF" w:rsidRPr="009B2D70">
        <w:rPr>
          <w:rFonts w:asciiTheme="minorHAnsi" w:hAnsiTheme="minorHAnsi"/>
        </w:rPr>
        <w:t>DST</w:t>
      </w:r>
      <w:r w:rsidRPr="009B2D70">
        <w:rPr>
          <w:rFonts w:asciiTheme="minorHAnsi" w:hAnsiTheme="minorHAnsi"/>
        </w:rPr>
        <w:t>develop</w:t>
      </w:r>
      <w:proofErr w:type="spellEnd"/>
      <w:r w:rsidRPr="009B2D70">
        <w:rPr>
          <w:rFonts w:asciiTheme="minorHAnsi" w:hAnsiTheme="minorHAnsi"/>
        </w:rPr>
        <w:t xml:space="preserve"> recommendations to Government in response to the study’s findings.</w:t>
      </w:r>
    </w:p>
    <w:p w14:paraId="350D6757" w14:textId="77777777" w:rsidR="00A94481" w:rsidRPr="009B2D70" w:rsidRDefault="00705121" w:rsidP="00D577C0">
      <w:pPr>
        <w:pStyle w:val="Heading3"/>
        <w:rPr>
          <w:rFonts w:asciiTheme="minorHAnsi" w:hAnsiTheme="minorHAnsi"/>
          <w:lang w:val="en-GB"/>
        </w:rPr>
      </w:pPr>
      <w:bookmarkStart w:id="24" w:name="_Toc289265550"/>
      <w:bookmarkStart w:id="25" w:name="_Toc289265793"/>
      <w:bookmarkStart w:id="26" w:name="_Toc289376437"/>
      <w:bookmarkStart w:id="27" w:name="_Toc323399353"/>
      <w:r w:rsidRPr="009B2D70">
        <w:rPr>
          <w:rFonts w:asciiTheme="minorHAnsi" w:hAnsiTheme="minorHAnsi"/>
          <w:lang w:val="en-GB"/>
        </w:rPr>
        <w:t>2</w:t>
      </w:r>
      <w:r w:rsidR="00A94481" w:rsidRPr="009B2D70">
        <w:rPr>
          <w:rFonts w:asciiTheme="minorHAnsi" w:hAnsiTheme="minorHAnsi"/>
          <w:lang w:val="en-GB"/>
        </w:rPr>
        <w:t>.1.4</w:t>
      </w:r>
      <w:r w:rsidR="00A94481" w:rsidRPr="009B2D70">
        <w:rPr>
          <w:rFonts w:asciiTheme="minorHAnsi" w:hAnsiTheme="minorHAnsi"/>
          <w:lang w:val="en-GB"/>
        </w:rPr>
        <w:tab/>
        <w:t>Implementation arrangements</w:t>
      </w:r>
      <w:bookmarkEnd w:id="24"/>
      <w:bookmarkEnd w:id="25"/>
      <w:bookmarkEnd w:id="26"/>
      <w:bookmarkEnd w:id="27"/>
    </w:p>
    <w:p w14:paraId="5E4244DA" w14:textId="77777777" w:rsidR="00A94481" w:rsidRPr="009B2D70" w:rsidRDefault="00A94481" w:rsidP="00D577C0">
      <w:pPr>
        <w:rPr>
          <w:rFonts w:asciiTheme="minorHAnsi" w:hAnsiTheme="minorHAnsi"/>
        </w:rPr>
      </w:pPr>
      <w:r w:rsidRPr="009B2D70">
        <w:rPr>
          <w:rFonts w:asciiTheme="minorHAnsi" w:hAnsiTheme="minorHAnsi"/>
        </w:rPr>
        <w:t>The National TVET Policy recognises that the lack of suitable teaching and learning materials is a major barrier to flexible training delivery in response to skill demands.</w:t>
      </w:r>
    </w:p>
    <w:p w14:paraId="2F584DA4" w14:textId="77777777" w:rsidR="00A94481" w:rsidRPr="009B2D70" w:rsidRDefault="00A94481" w:rsidP="00D577C0">
      <w:pPr>
        <w:rPr>
          <w:rFonts w:asciiTheme="minorHAnsi" w:hAnsiTheme="minorHAnsi"/>
        </w:rPr>
      </w:pPr>
      <w:r w:rsidRPr="009B2D70">
        <w:rPr>
          <w:rFonts w:asciiTheme="minorHAnsi" w:hAnsiTheme="minorHAnsi"/>
        </w:rPr>
        <w:t>There is also strong interest in extending TVET delivery into the school system. It is therefore timely to consider the expansion of the existing TVET qualifications framework into a national qualifications framework and establishing pathways between schools, TVET, and higher education.</w:t>
      </w:r>
    </w:p>
    <w:p w14:paraId="69A75C60" w14:textId="77777777" w:rsidR="00A94481" w:rsidRPr="009B2D70" w:rsidRDefault="00A94481" w:rsidP="00D577C0">
      <w:pPr>
        <w:rPr>
          <w:rFonts w:asciiTheme="minorHAnsi" w:hAnsiTheme="minorHAnsi"/>
        </w:rPr>
      </w:pPr>
      <w:r w:rsidRPr="009B2D70">
        <w:rPr>
          <w:rFonts w:asciiTheme="minorHAnsi" w:hAnsiTheme="minorHAnsi"/>
        </w:rPr>
        <w:t>Specific activities will include:</w:t>
      </w:r>
    </w:p>
    <w:p w14:paraId="548FB9DF"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Continue to assist the VNTC establish a library of accredited courses with supporting teaching, learning and assessment materials that are relevant to the Skills Development Plans and ETF course requirements in Sanma and Malampa.</w:t>
      </w:r>
    </w:p>
    <w:p w14:paraId="28DA888A"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 xml:space="preserve">Under the provisions of the new Act, assist the collaborative development of a National Qualifications Framework incorporating equivalent levels and pathways between the school and post school education and training. </w:t>
      </w:r>
    </w:p>
    <w:p w14:paraId="62B4D884" w14:textId="77777777" w:rsidR="00A94481" w:rsidRPr="009B2D70" w:rsidRDefault="00705121" w:rsidP="00D577C0">
      <w:pPr>
        <w:pStyle w:val="Heading3"/>
        <w:rPr>
          <w:rFonts w:asciiTheme="minorHAnsi" w:hAnsiTheme="minorHAnsi"/>
          <w:lang w:val="en-GB"/>
        </w:rPr>
      </w:pPr>
      <w:bookmarkStart w:id="28" w:name="_Toc289265551"/>
      <w:bookmarkStart w:id="29" w:name="_Toc289265794"/>
      <w:bookmarkStart w:id="30" w:name="_Toc289376438"/>
      <w:bookmarkStart w:id="31" w:name="_Toc323399354"/>
      <w:r w:rsidRPr="009B2D70">
        <w:rPr>
          <w:rFonts w:asciiTheme="minorHAnsi" w:hAnsiTheme="minorHAnsi"/>
          <w:lang w:val="en-GB"/>
        </w:rPr>
        <w:t>2</w:t>
      </w:r>
      <w:r w:rsidR="00A94481" w:rsidRPr="009B2D70">
        <w:rPr>
          <w:rFonts w:asciiTheme="minorHAnsi" w:hAnsiTheme="minorHAnsi"/>
          <w:lang w:val="en-GB"/>
        </w:rPr>
        <w:t>.1.5</w:t>
      </w:r>
      <w:r w:rsidR="00A94481" w:rsidRPr="009B2D70">
        <w:rPr>
          <w:rFonts w:asciiTheme="minorHAnsi" w:hAnsiTheme="minorHAnsi"/>
          <w:lang w:val="en-GB"/>
        </w:rPr>
        <w:tab/>
      </w:r>
      <w:bookmarkEnd w:id="28"/>
      <w:bookmarkEnd w:id="29"/>
      <w:bookmarkEnd w:id="30"/>
      <w:r w:rsidR="00A94481" w:rsidRPr="009B2D70">
        <w:rPr>
          <w:rFonts w:asciiTheme="minorHAnsi" w:hAnsiTheme="minorHAnsi"/>
          <w:lang w:val="en-GB"/>
        </w:rPr>
        <w:t>Decentralised service delivery</w:t>
      </w:r>
      <w:bookmarkEnd w:id="31"/>
    </w:p>
    <w:p w14:paraId="4EE33D9B" w14:textId="77777777" w:rsidR="00A94481" w:rsidRPr="009B2D70" w:rsidRDefault="00A94481" w:rsidP="00D577C0">
      <w:pPr>
        <w:rPr>
          <w:rFonts w:asciiTheme="minorHAnsi" w:hAnsiTheme="minorHAnsi"/>
        </w:rPr>
      </w:pPr>
      <w:r w:rsidRPr="009B2D70">
        <w:rPr>
          <w:rFonts w:asciiTheme="minorHAnsi" w:hAnsiTheme="minorHAnsi"/>
        </w:rPr>
        <w:t xml:space="preserve">With the implementation of new structures in the </w:t>
      </w:r>
      <w:proofErr w:type="spellStart"/>
      <w:r w:rsidRPr="009B2D70">
        <w:rPr>
          <w:rFonts w:asciiTheme="minorHAnsi" w:hAnsiTheme="minorHAnsi"/>
        </w:rPr>
        <w:t>DoYDST</w:t>
      </w:r>
      <w:proofErr w:type="spellEnd"/>
      <w:r w:rsidRPr="009B2D70">
        <w:rPr>
          <w:rFonts w:asciiTheme="minorHAnsi" w:hAnsiTheme="minorHAnsi"/>
        </w:rPr>
        <w:t xml:space="preserve"> and the VNTC continuing emphasis will need to </w:t>
      </w:r>
      <w:r w:rsidR="00002952">
        <w:rPr>
          <w:rFonts w:asciiTheme="minorHAnsi" w:hAnsiTheme="minorHAnsi"/>
        </w:rPr>
        <w:t xml:space="preserve">be </w:t>
      </w:r>
      <w:r w:rsidRPr="009B2D70">
        <w:rPr>
          <w:rFonts w:asciiTheme="minorHAnsi" w:hAnsiTheme="minorHAnsi"/>
        </w:rPr>
        <w:t>placed on improved provincial service delivery and the role of PTBs.</w:t>
      </w:r>
    </w:p>
    <w:p w14:paraId="7EBF5499" w14:textId="77777777" w:rsidR="00A94481" w:rsidRPr="009B2D70" w:rsidRDefault="00A94481" w:rsidP="00D577C0">
      <w:pPr>
        <w:rPr>
          <w:rFonts w:asciiTheme="minorHAnsi" w:hAnsiTheme="minorHAnsi"/>
        </w:rPr>
      </w:pPr>
      <w:r w:rsidRPr="009B2D70">
        <w:rPr>
          <w:rFonts w:asciiTheme="minorHAnsi" w:hAnsiTheme="minorHAnsi"/>
        </w:rPr>
        <w:t>Specific activities will include:</w:t>
      </w:r>
    </w:p>
    <w:p w14:paraId="0D1D6400"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 xml:space="preserve">Work with the VNTC to implement the roles and responsibilities for Provincial Training </w:t>
      </w:r>
      <w:r w:rsidRPr="009B2D70">
        <w:rPr>
          <w:rFonts w:asciiTheme="minorHAnsi" w:hAnsiTheme="minorHAnsi"/>
        </w:rPr>
        <w:lastRenderedPageBreak/>
        <w:t>Boards as specified in the new Act</w:t>
      </w:r>
      <w:r w:rsidR="0033353D">
        <w:rPr>
          <w:rFonts w:asciiTheme="minorHAnsi" w:hAnsiTheme="minorHAnsi"/>
        </w:rPr>
        <w:t>.</w:t>
      </w:r>
    </w:p>
    <w:p w14:paraId="3B921590"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 xml:space="preserve">Support the </w:t>
      </w:r>
      <w:proofErr w:type="spellStart"/>
      <w:r w:rsidRPr="009B2D70">
        <w:rPr>
          <w:rFonts w:asciiTheme="minorHAnsi" w:hAnsiTheme="minorHAnsi"/>
        </w:rPr>
        <w:t>DoYDST</w:t>
      </w:r>
      <w:proofErr w:type="spellEnd"/>
      <w:r w:rsidRPr="009B2D70">
        <w:rPr>
          <w:rFonts w:asciiTheme="minorHAnsi" w:hAnsiTheme="minorHAnsi"/>
        </w:rPr>
        <w:t xml:space="preserve"> develop documentation related to the establishment of a national network of TVET Centres supporting the delivery of TVET services at the provincial level with direct advisory support from Provincial Training Boards</w:t>
      </w:r>
      <w:r w:rsidR="0033353D">
        <w:rPr>
          <w:rFonts w:asciiTheme="minorHAnsi" w:hAnsiTheme="minorHAnsi"/>
        </w:rPr>
        <w:t>.</w:t>
      </w:r>
    </w:p>
    <w:p w14:paraId="6E520CAD" w14:textId="77777777" w:rsidR="00A94481" w:rsidRPr="009B2D70" w:rsidRDefault="00A94481" w:rsidP="00D577C0">
      <w:pPr>
        <w:numPr>
          <w:ilvl w:val="0"/>
          <w:numId w:val="1"/>
        </w:numPr>
        <w:rPr>
          <w:rFonts w:asciiTheme="minorHAnsi" w:hAnsiTheme="minorHAnsi"/>
        </w:rPr>
      </w:pPr>
      <w:r w:rsidRPr="009B2D70">
        <w:rPr>
          <w:rFonts w:asciiTheme="minorHAnsi" w:hAnsiTheme="minorHAnsi"/>
        </w:rPr>
        <w:t>Continue national advocacy of the decentralised TVET Centre model.</w:t>
      </w:r>
    </w:p>
    <w:p w14:paraId="5CBD411B" w14:textId="77777777" w:rsidR="003F1663" w:rsidRPr="009B2D70" w:rsidRDefault="00705121" w:rsidP="00742596">
      <w:pPr>
        <w:pStyle w:val="Heading2"/>
        <w:rPr>
          <w:rFonts w:asciiTheme="minorHAnsi" w:hAnsiTheme="minorHAnsi"/>
          <w:lang w:val="en-GB"/>
        </w:rPr>
      </w:pPr>
      <w:bookmarkStart w:id="32" w:name="_Toc323399355"/>
      <w:bookmarkStart w:id="33" w:name="_Toc323462485"/>
      <w:r w:rsidRPr="009B2D70">
        <w:rPr>
          <w:rFonts w:asciiTheme="minorHAnsi" w:hAnsiTheme="minorHAnsi"/>
          <w:lang w:val="en-GB"/>
        </w:rPr>
        <w:t>2</w:t>
      </w:r>
      <w:r w:rsidR="00846D48" w:rsidRPr="009B2D70">
        <w:rPr>
          <w:rFonts w:asciiTheme="minorHAnsi" w:hAnsiTheme="minorHAnsi"/>
          <w:lang w:val="en-GB"/>
        </w:rPr>
        <w:t>.2</w:t>
      </w:r>
      <w:r w:rsidR="00846D48" w:rsidRPr="009B2D70">
        <w:rPr>
          <w:rFonts w:asciiTheme="minorHAnsi" w:hAnsiTheme="minorHAnsi"/>
          <w:lang w:val="en-GB"/>
        </w:rPr>
        <w:tab/>
        <w:t>Provincial Coordination</w:t>
      </w:r>
      <w:bookmarkEnd w:id="8"/>
      <w:bookmarkEnd w:id="9"/>
      <w:bookmarkEnd w:id="10"/>
      <w:bookmarkEnd w:id="32"/>
      <w:bookmarkEnd w:id="33"/>
    </w:p>
    <w:p w14:paraId="6377972D" w14:textId="77777777" w:rsidR="00846D48" w:rsidRPr="009B2D70" w:rsidRDefault="00705121" w:rsidP="00846D48">
      <w:pPr>
        <w:pStyle w:val="Heading3"/>
        <w:rPr>
          <w:rFonts w:asciiTheme="minorHAnsi" w:hAnsiTheme="minorHAnsi"/>
          <w:lang w:val="en-GB"/>
        </w:rPr>
      </w:pPr>
      <w:bookmarkStart w:id="34" w:name="_Toc289265553"/>
      <w:bookmarkStart w:id="35" w:name="_Toc289265796"/>
      <w:bookmarkStart w:id="36" w:name="_Toc289376440"/>
      <w:bookmarkStart w:id="37" w:name="_Toc323399356"/>
      <w:r w:rsidRPr="009B2D70">
        <w:rPr>
          <w:rFonts w:asciiTheme="minorHAnsi" w:hAnsiTheme="minorHAnsi"/>
          <w:lang w:val="en-GB"/>
        </w:rPr>
        <w:t>2</w:t>
      </w:r>
      <w:r w:rsidR="00846D48" w:rsidRPr="009B2D70">
        <w:rPr>
          <w:rFonts w:asciiTheme="minorHAnsi" w:hAnsiTheme="minorHAnsi"/>
          <w:lang w:val="en-GB"/>
        </w:rPr>
        <w:t>.2.1</w:t>
      </w:r>
      <w:r w:rsidR="00846D48" w:rsidRPr="009B2D70">
        <w:rPr>
          <w:rFonts w:asciiTheme="minorHAnsi" w:hAnsiTheme="minorHAnsi"/>
          <w:lang w:val="en-GB"/>
        </w:rPr>
        <w:tab/>
        <w:t>Coordinated Training Needs Analysis</w:t>
      </w:r>
      <w:bookmarkEnd w:id="34"/>
      <w:bookmarkEnd w:id="35"/>
      <w:bookmarkEnd w:id="36"/>
      <w:bookmarkEnd w:id="37"/>
    </w:p>
    <w:p w14:paraId="7DEF888A" w14:textId="77777777" w:rsidR="009B4847" w:rsidRPr="009B2D70" w:rsidRDefault="0018705E" w:rsidP="00846D48">
      <w:pPr>
        <w:rPr>
          <w:rFonts w:asciiTheme="minorHAnsi" w:hAnsiTheme="minorHAnsi"/>
        </w:rPr>
      </w:pPr>
      <w:r w:rsidRPr="009B2D70">
        <w:rPr>
          <w:rFonts w:asciiTheme="minorHAnsi" w:hAnsiTheme="minorHAnsi"/>
        </w:rPr>
        <w:t>The TVET Centres</w:t>
      </w:r>
      <w:r w:rsidR="009B4847" w:rsidRPr="009B2D70">
        <w:rPr>
          <w:rFonts w:asciiTheme="minorHAnsi" w:hAnsiTheme="minorHAnsi"/>
        </w:rPr>
        <w:t xml:space="preserve">, in partnership with the Provincial Training Boards (PTB), </w:t>
      </w:r>
      <w:r w:rsidR="00BE2136" w:rsidRPr="009B2D70">
        <w:rPr>
          <w:rFonts w:asciiTheme="minorHAnsi" w:hAnsiTheme="minorHAnsi"/>
        </w:rPr>
        <w:t>will continue to</w:t>
      </w:r>
      <w:r w:rsidR="009B4847" w:rsidRPr="009B2D70">
        <w:rPr>
          <w:rFonts w:asciiTheme="minorHAnsi" w:hAnsiTheme="minorHAnsi"/>
        </w:rPr>
        <w:t xml:space="preserve"> use the Sanma and Malampa provincial </w:t>
      </w:r>
      <w:r w:rsidR="009B4847" w:rsidRPr="009B2D70">
        <w:rPr>
          <w:rFonts w:asciiTheme="minorHAnsi" w:hAnsiTheme="minorHAnsi"/>
          <w:i/>
        </w:rPr>
        <w:t>Skil</w:t>
      </w:r>
      <w:r w:rsidR="0086157F" w:rsidRPr="009B2D70">
        <w:rPr>
          <w:rFonts w:asciiTheme="minorHAnsi" w:hAnsiTheme="minorHAnsi"/>
          <w:i/>
        </w:rPr>
        <w:t>ls Development Plans</w:t>
      </w:r>
      <w:r w:rsidR="009B4847" w:rsidRPr="009B2D70">
        <w:rPr>
          <w:rFonts w:asciiTheme="minorHAnsi" w:hAnsiTheme="minorHAnsi"/>
        </w:rPr>
        <w:t xml:space="preserve"> in determining provision of Accredited Trainings (AT) and Business Development Services (BDS) activity funded through the Employment and Training Fund (ETF). </w:t>
      </w:r>
    </w:p>
    <w:p w14:paraId="69560540" w14:textId="77777777" w:rsidR="00846D48" w:rsidRPr="009B2D70" w:rsidRDefault="00846D48" w:rsidP="00846D48">
      <w:pPr>
        <w:rPr>
          <w:rFonts w:asciiTheme="minorHAnsi" w:hAnsiTheme="minorHAnsi"/>
        </w:rPr>
      </w:pPr>
      <w:r w:rsidRPr="009B2D70">
        <w:rPr>
          <w:rFonts w:asciiTheme="minorHAnsi" w:hAnsiTheme="minorHAnsi"/>
        </w:rPr>
        <w:t>Continuing attention will be directed to raise awareness of TVET Centre operations among productive sector structures and focal people, as well as building local partnerships, to ensure that information regarding training needs for provi</w:t>
      </w:r>
      <w:r w:rsidR="0086157F" w:rsidRPr="009B2D70">
        <w:rPr>
          <w:rFonts w:asciiTheme="minorHAnsi" w:hAnsiTheme="minorHAnsi"/>
        </w:rPr>
        <w:t>ncial development is</w:t>
      </w:r>
      <w:r w:rsidRPr="009B2D70">
        <w:rPr>
          <w:rFonts w:asciiTheme="minorHAnsi" w:hAnsiTheme="minorHAnsi"/>
        </w:rPr>
        <w:t xml:space="preserve"> refined and built upon. </w:t>
      </w:r>
    </w:p>
    <w:p w14:paraId="2414507A" w14:textId="77777777" w:rsidR="00846D48" w:rsidRPr="009B2D70" w:rsidRDefault="00846D48" w:rsidP="00846D48">
      <w:pPr>
        <w:rPr>
          <w:rFonts w:asciiTheme="minorHAnsi" w:hAnsiTheme="minorHAnsi"/>
        </w:rPr>
      </w:pPr>
      <w:r w:rsidRPr="009B2D70">
        <w:rPr>
          <w:rFonts w:asciiTheme="minorHAnsi" w:hAnsiTheme="minorHAnsi"/>
        </w:rPr>
        <w:t>Specific activities will include:</w:t>
      </w:r>
    </w:p>
    <w:p w14:paraId="3A602533"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 xml:space="preserve">Ongoing initiation of TVET Centre ETF trainings and BDS activities in line with </w:t>
      </w:r>
      <w:r w:rsidRPr="009B2D70">
        <w:rPr>
          <w:rFonts w:asciiTheme="minorHAnsi" w:hAnsiTheme="minorHAnsi"/>
          <w:i/>
        </w:rPr>
        <w:t>Skills Development Plans</w:t>
      </w:r>
      <w:r w:rsidRPr="009B2D70">
        <w:rPr>
          <w:rFonts w:asciiTheme="minorHAnsi" w:hAnsiTheme="minorHAnsi"/>
        </w:rPr>
        <w:t xml:space="preserve"> and assessment of in</w:t>
      </w:r>
      <w:r w:rsidR="0086157F" w:rsidRPr="009B2D70">
        <w:rPr>
          <w:rFonts w:asciiTheme="minorHAnsi" w:hAnsiTheme="minorHAnsi"/>
        </w:rPr>
        <w:t>coming training requests based i</w:t>
      </w:r>
      <w:r w:rsidRPr="009B2D70">
        <w:rPr>
          <w:rFonts w:asciiTheme="minorHAnsi" w:hAnsiTheme="minorHAnsi"/>
        </w:rPr>
        <w:t>n alignment with these Plans.</w:t>
      </w:r>
    </w:p>
    <w:p w14:paraId="157FD6F1" w14:textId="77777777" w:rsidR="00002952" w:rsidRDefault="00846D48" w:rsidP="00846D48">
      <w:pPr>
        <w:numPr>
          <w:ilvl w:val="0"/>
          <w:numId w:val="1"/>
        </w:numPr>
        <w:rPr>
          <w:rFonts w:asciiTheme="minorHAnsi" w:hAnsiTheme="minorHAnsi"/>
        </w:rPr>
      </w:pPr>
      <w:r w:rsidRPr="009B2D70">
        <w:rPr>
          <w:rFonts w:asciiTheme="minorHAnsi" w:hAnsiTheme="minorHAnsi"/>
        </w:rPr>
        <w:t>Ongoing capacity support and targeted workshops with PTBs to assist members fulfil their skills advisory and sectoral coordination role as per the revised VNTC Terms of Reference.</w:t>
      </w:r>
    </w:p>
    <w:p w14:paraId="6465A4FB" w14:textId="77777777" w:rsidR="00846D48" w:rsidRPr="009B2D70" w:rsidRDefault="00002952" w:rsidP="00846D48">
      <w:pPr>
        <w:numPr>
          <w:ilvl w:val="0"/>
          <w:numId w:val="1"/>
        </w:numPr>
        <w:rPr>
          <w:rFonts w:asciiTheme="minorHAnsi" w:hAnsiTheme="minorHAnsi"/>
        </w:rPr>
      </w:pPr>
      <w:r>
        <w:rPr>
          <w:rFonts w:asciiTheme="minorHAnsi" w:hAnsiTheme="minorHAnsi"/>
        </w:rPr>
        <w:t>Recommendation that the revised VNTC Act stipulate that a representative from a Disabled People’s Organisation be a permanent member of the PTB to strengthen inclusiveness coordination processes.</w:t>
      </w:r>
    </w:p>
    <w:p w14:paraId="2A770B53"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Workshops to be held in both provinces with Area Secretaries and other key productive sector focal people to build their capacity to identify and coordinate training needs, particularly in rural and remote areas, which can then be met by TVET Centre services.</w:t>
      </w:r>
      <w:r w:rsidR="009B4847" w:rsidRPr="009B2D70">
        <w:rPr>
          <w:rFonts w:asciiTheme="minorHAnsi" w:hAnsiTheme="minorHAnsi"/>
        </w:rPr>
        <w:t xml:space="preserve"> Specific focus will be directed at strengthening the partnerships developed in Malampa province with </w:t>
      </w:r>
      <w:r w:rsidR="004D2BF6" w:rsidRPr="009B2D70">
        <w:rPr>
          <w:rFonts w:asciiTheme="minorHAnsi" w:hAnsiTheme="minorHAnsi"/>
        </w:rPr>
        <w:t>the Area Development Committees to both identify and validate priority training areas, as well as participant selection.</w:t>
      </w:r>
    </w:p>
    <w:p w14:paraId="33FA3656" w14:textId="77777777" w:rsidR="004D2BF6" w:rsidRPr="009B2D70" w:rsidRDefault="004D2BF6" w:rsidP="00846D48">
      <w:pPr>
        <w:numPr>
          <w:ilvl w:val="0"/>
          <w:numId w:val="1"/>
        </w:numPr>
        <w:rPr>
          <w:rFonts w:asciiTheme="minorHAnsi" w:hAnsiTheme="minorHAnsi"/>
        </w:rPr>
      </w:pPr>
      <w:r w:rsidRPr="009B2D70">
        <w:rPr>
          <w:rFonts w:asciiTheme="minorHAnsi" w:hAnsiTheme="minorHAnsi"/>
        </w:rPr>
        <w:t xml:space="preserve">Recruitment and mobilisation of a local consultant to undertake a review of the current </w:t>
      </w:r>
      <w:r w:rsidRPr="009B2D70">
        <w:rPr>
          <w:rFonts w:asciiTheme="minorHAnsi" w:hAnsiTheme="minorHAnsi"/>
          <w:i/>
        </w:rPr>
        <w:t>S</w:t>
      </w:r>
      <w:r w:rsidR="005D4DD7" w:rsidRPr="009B2D70">
        <w:rPr>
          <w:rFonts w:asciiTheme="minorHAnsi" w:hAnsiTheme="minorHAnsi"/>
          <w:i/>
        </w:rPr>
        <w:t xml:space="preserve">kills </w:t>
      </w:r>
      <w:r w:rsidRPr="009B2D70">
        <w:rPr>
          <w:rFonts w:asciiTheme="minorHAnsi" w:hAnsiTheme="minorHAnsi"/>
          <w:i/>
        </w:rPr>
        <w:t>D</w:t>
      </w:r>
      <w:r w:rsidR="005D4DD7" w:rsidRPr="009B2D70">
        <w:rPr>
          <w:rFonts w:asciiTheme="minorHAnsi" w:hAnsiTheme="minorHAnsi"/>
          <w:i/>
        </w:rPr>
        <w:t>evelopment Plans</w:t>
      </w:r>
      <w:r w:rsidRPr="009B2D70">
        <w:rPr>
          <w:rFonts w:asciiTheme="minorHAnsi" w:hAnsiTheme="minorHAnsi"/>
        </w:rPr>
        <w:t xml:space="preserve"> to ensure that at the commencement of the Phase 3 TVET Program, these critical “demand” identification/coordination documents are up to date.</w:t>
      </w:r>
      <w:bookmarkStart w:id="38" w:name="_Toc289265554"/>
      <w:bookmarkStart w:id="39" w:name="_Toc289265797"/>
      <w:bookmarkStart w:id="40" w:name="_Toc289376441"/>
    </w:p>
    <w:p w14:paraId="21034A26" w14:textId="77777777" w:rsidR="00846D48" w:rsidRPr="009B2D70" w:rsidRDefault="00705121" w:rsidP="00846D48">
      <w:pPr>
        <w:pStyle w:val="Heading3"/>
        <w:rPr>
          <w:rFonts w:asciiTheme="minorHAnsi" w:hAnsiTheme="minorHAnsi"/>
          <w:lang w:val="en-GB"/>
        </w:rPr>
      </w:pPr>
      <w:bookmarkStart w:id="41" w:name="_Toc323399357"/>
      <w:r w:rsidRPr="009B2D70">
        <w:rPr>
          <w:rFonts w:asciiTheme="minorHAnsi" w:hAnsiTheme="minorHAnsi"/>
          <w:lang w:val="en-GB"/>
        </w:rPr>
        <w:t>2</w:t>
      </w:r>
      <w:r w:rsidR="00846D48" w:rsidRPr="009B2D70">
        <w:rPr>
          <w:rFonts w:asciiTheme="minorHAnsi" w:hAnsiTheme="minorHAnsi"/>
          <w:lang w:val="en-GB"/>
        </w:rPr>
        <w:t>.2.2</w:t>
      </w:r>
      <w:r w:rsidR="00846D48" w:rsidRPr="009B2D70">
        <w:rPr>
          <w:rFonts w:asciiTheme="minorHAnsi" w:hAnsiTheme="minorHAnsi"/>
          <w:lang w:val="en-GB"/>
        </w:rPr>
        <w:tab/>
        <w:t>Coordination with other TVET Sector Stakeholders</w:t>
      </w:r>
      <w:bookmarkEnd w:id="38"/>
      <w:bookmarkEnd w:id="39"/>
      <w:bookmarkEnd w:id="40"/>
      <w:bookmarkEnd w:id="41"/>
    </w:p>
    <w:p w14:paraId="16406388" w14:textId="77777777" w:rsidR="00846D48" w:rsidRPr="009B2D70" w:rsidRDefault="00846D48" w:rsidP="00846D48">
      <w:pPr>
        <w:rPr>
          <w:rFonts w:asciiTheme="minorHAnsi" w:hAnsiTheme="minorHAnsi"/>
        </w:rPr>
      </w:pPr>
      <w:r w:rsidRPr="009B2D70">
        <w:rPr>
          <w:rFonts w:asciiTheme="minorHAnsi" w:hAnsiTheme="minorHAnsi"/>
        </w:rPr>
        <w:t xml:space="preserve">A key priority of this Annual Plan period will </w:t>
      </w:r>
      <w:r w:rsidR="005D4DD7" w:rsidRPr="009B2D70">
        <w:rPr>
          <w:rFonts w:asciiTheme="minorHAnsi" w:hAnsiTheme="minorHAnsi"/>
        </w:rPr>
        <w:t>be to continue to strengthen</w:t>
      </w:r>
      <w:r w:rsidRPr="009B2D70">
        <w:rPr>
          <w:rFonts w:asciiTheme="minorHAnsi" w:hAnsiTheme="minorHAnsi"/>
        </w:rPr>
        <w:t xml:space="preserve"> partnerships that have been established with TVET sector stakeholders</w:t>
      </w:r>
      <w:r w:rsidR="00770284" w:rsidRPr="009B2D70">
        <w:rPr>
          <w:rFonts w:asciiTheme="minorHAnsi" w:hAnsiTheme="minorHAnsi"/>
        </w:rPr>
        <w:t>. During the last Annual</w:t>
      </w:r>
      <w:r w:rsidR="00717296" w:rsidRPr="009B2D70">
        <w:rPr>
          <w:rFonts w:asciiTheme="minorHAnsi" w:hAnsiTheme="minorHAnsi"/>
        </w:rPr>
        <w:t xml:space="preserve"> Plan period, significant progress was made in deepening relationships with productive s</w:t>
      </w:r>
      <w:r w:rsidR="00770284" w:rsidRPr="009B2D70">
        <w:rPr>
          <w:rFonts w:asciiTheme="minorHAnsi" w:hAnsiTheme="minorHAnsi"/>
        </w:rPr>
        <w:t>e</w:t>
      </w:r>
      <w:r w:rsidR="00717296" w:rsidRPr="009B2D70">
        <w:rPr>
          <w:rFonts w:asciiTheme="minorHAnsi" w:hAnsiTheme="minorHAnsi"/>
        </w:rPr>
        <w:t xml:space="preserve">ctor Government departments (Forestry, Fisheries, Agriculture, </w:t>
      </w:r>
      <w:r w:rsidR="00E93BDF" w:rsidRPr="009B2D70">
        <w:rPr>
          <w:rFonts w:asciiTheme="minorHAnsi" w:hAnsiTheme="minorHAnsi"/>
        </w:rPr>
        <w:t>Tourism), which are no</w:t>
      </w:r>
      <w:r w:rsidR="00770284" w:rsidRPr="009B2D70">
        <w:rPr>
          <w:rFonts w:asciiTheme="minorHAnsi" w:hAnsiTheme="minorHAnsi"/>
        </w:rPr>
        <w:t>w seeing the TVET Centres as a k</w:t>
      </w:r>
      <w:r w:rsidR="00E93BDF" w:rsidRPr="009B2D70">
        <w:rPr>
          <w:rFonts w:asciiTheme="minorHAnsi" w:hAnsiTheme="minorHAnsi"/>
        </w:rPr>
        <w:t xml:space="preserve">ey coordination point for training delivery and pro-actively initiating activity for </w:t>
      </w:r>
      <w:r w:rsidR="00E93BDF" w:rsidRPr="009B2D70">
        <w:rPr>
          <w:rFonts w:asciiTheme="minorHAnsi" w:hAnsiTheme="minorHAnsi"/>
        </w:rPr>
        <w:lastRenderedPageBreak/>
        <w:t xml:space="preserve">collaboration. Relationships established with other Australian Government </w:t>
      </w:r>
      <w:r w:rsidR="00770284" w:rsidRPr="009B2D70">
        <w:rPr>
          <w:rFonts w:asciiTheme="minorHAnsi" w:hAnsiTheme="minorHAnsi"/>
        </w:rPr>
        <w:t>Programs, such as the Vanuatu Transport Sector Str</w:t>
      </w:r>
      <w:r w:rsidR="00973CB0" w:rsidRPr="009B2D70">
        <w:rPr>
          <w:rFonts w:asciiTheme="minorHAnsi" w:hAnsiTheme="minorHAnsi"/>
        </w:rPr>
        <w:t>engthening Program and the APTC, will also be</w:t>
      </w:r>
      <w:r w:rsidR="001E1B1F" w:rsidRPr="009B2D70">
        <w:rPr>
          <w:rFonts w:asciiTheme="minorHAnsi" w:hAnsiTheme="minorHAnsi"/>
        </w:rPr>
        <w:t xml:space="preserve"> consolidated, along with links with Disabled People’s Organisations.</w:t>
      </w:r>
    </w:p>
    <w:p w14:paraId="3F371613" w14:textId="77777777" w:rsidR="00846D48" w:rsidRPr="009B2D70" w:rsidRDefault="00846D48" w:rsidP="00846D48">
      <w:pPr>
        <w:rPr>
          <w:rFonts w:asciiTheme="minorHAnsi" w:hAnsiTheme="minorHAnsi"/>
        </w:rPr>
      </w:pPr>
      <w:r w:rsidRPr="009B2D70">
        <w:rPr>
          <w:rFonts w:asciiTheme="minorHAnsi" w:hAnsiTheme="minorHAnsi"/>
        </w:rPr>
        <w:t>Specific activities will include:</w:t>
      </w:r>
    </w:p>
    <w:p w14:paraId="3F569D2F" w14:textId="77777777" w:rsidR="00846D48" w:rsidRPr="009B2D70" w:rsidRDefault="00846D48" w:rsidP="00846D48">
      <w:pPr>
        <w:numPr>
          <w:ilvl w:val="0"/>
          <w:numId w:val="1"/>
        </w:numPr>
        <w:rPr>
          <w:rFonts w:asciiTheme="minorHAnsi" w:hAnsiTheme="minorHAnsi"/>
        </w:rPr>
      </w:pPr>
      <w:proofErr w:type="spellStart"/>
      <w:r w:rsidRPr="009B2D70">
        <w:rPr>
          <w:rFonts w:asciiTheme="minorHAnsi" w:hAnsiTheme="minorHAnsi"/>
        </w:rPr>
        <w:t>Ongoingaffiliation</w:t>
      </w:r>
      <w:proofErr w:type="spellEnd"/>
      <w:r w:rsidRPr="009B2D70">
        <w:rPr>
          <w:rFonts w:asciiTheme="minorHAnsi" w:hAnsiTheme="minorHAnsi"/>
        </w:rPr>
        <w:t xml:space="preserve"> with registered training pro</w:t>
      </w:r>
      <w:r w:rsidR="001E1B1F" w:rsidRPr="009B2D70">
        <w:rPr>
          <w:rFonts w:asciiTheme="minorHAnsi" w:hAnsiTheme="minorHAnsi"/>
        </w:rPr>
        <w:t xml:space="preserve">viders </w:t>
      </w:r>
      <w:r w:rsidRPr="009B2D70">
        <w:rPr>
          <w:rFonts w:asciiTheme="minorHAnsi" w:hAnsiTheme="minorHAnsi"/>
        </w:rPr>
        <w:t xml:space="preserve">of “TVET” </w:t>
      </w:r>
      <w:r w:rsidR="005D4DD7" w:rsidRPr="009B2D70">
        <w:rPr>
          <w:rFonts w:asciiTheme="minorHAnsi" w:hAnsiTheme="minorHAnsi"/>
        </w:rPr>
        <w:t>trainers from a range of organis</w:t>
      </w:r>
      <w:r w:rsidRPr="009B2D70">
        <w:rPr>
          <w:rFonts w:asciiTheme="minorHAnsi" w:hAnsiTheme="minorHAnsi"/>
        </w:rPr>
        <w:t>ations and sectors.</w:t>
      </w:r>
    </w:p>
    <w:p w14:paraId="78D8FC72" w14:textId="77777777" w:rsidR="00DB28E0" w:rsidRPr="009B2D70" w:rsidRDefault="00DB28E0" w:rsidP="00DB28E0">
      <w:pPr>
        <w:numPr>
          <w:ilvl w:val="0"/>
          <w:numId w:val="1"/>
        </w:numPr>
        <w:rPr>
          <w:rFonts w:asciiTheme="minorHAnsi" w:eastAsia="Arial Unicode MS" w:hAnsiTheme="minorHAnsi"/>
        </w:rPr>
      </w:pPr>
      <w:r w:rsidRPr="009B2D70">
        <w:rPr>
          <w:rFonts w:asciiTheme="minorHAnsi" w:hAnsiTheme="minorHAnsi"/>
        </w:rPr>
        <w:t xml:space="preserve">Building on the success of the “Agribusiness Forum” held in </w:t>
      </w:r>
      <w:proofErr w:type="spellStart"/>
      <w:r w:rsidRPr="009B2D70">
        <w:rPr>
          <w:rFonts w:asciiTheme="minorHAnsi" w:hAnsiTheme="minorHAnsi"/>
        </w:rPr>
        <w:t>Malekula</w:t>
      </w:r>
      <w:proofErr w:type="spellEnd"/>
      <w:r w:rsidRPr="009B2D70">
        <w:rPr>
          <w:rFonts w:asciiTheme="minorHAnsi" w:hAnsiTheme="minorHAnsi"/>
        </w:rPr>
        <w:t xml:space="preserve"> last November through collaboration between the TVET Centre, </w:t>
      </w:r>
      <w:r w:rsidRPr="009B2D70">
        <w:rPr>
          <w:rFonts w:asciiTheme="minorHAnsi" w:eastAsia="Arial Unicode MS" w:hAnsiTheme="minorHAnsi"/>
        </w:rPr>
        <w:t>VCCI, Department of Agriculture, Department of Quarantine and Livestock, Vanuatu Agriculture Bank, Department of Trade and Industry and the Vanuatu Agriculture College</w:t>
      </w:r>
      <w:r w:rsidR="00D577C0" w:rsidRPr="009B2D70">
        <w:rPr>
          <w:rFonts w:asciiTheme="minorHAnsi" w:eastAsia="Arial Unicode MS" w:hAnsiTheme="minorHAnsi"/>
        </w:rPr>
        <w:t xml:space="preserve">, </w:t>
      </w:r>
      <w:proofErr w:type="spellStart"/>
      <w:r w:rsidR="00D577C0" w:rsidRPr="009B2D70">
        <w:rPr>
          <w:rFonts w:asciiTheme="minorHAnsi" w:eastAsia="Arial Unicode MS" w:hAnsiTheme="minorHAnsi"/>
        </w:rPr>
        <w:t>conduct</w:t>
      </w:r>
      <w:r w:rsidRPr="009B2D70">
        <w:rPr>
          <w:rFonts w:asciiTheme="minorHAnsi" w:eastAsia="Arial Unicode MS" w:hAnsiTheme="minorHAnsi"/>
        </w:rPr>
        <w:t>a</w:t>
      </w:r>
      <w:proofErr w:type="spellEnd"/>
      <w:r w:rsidRPr="009B2D70">
        <w:rPr>
          <w:rFonts w:asciiTheme="minorHAnsi" w:eastAsia="Arial Unicode MS" w:hAnsiTheme="minorHAnsi"/>
        </w:rPr>
        <w:t xml:space="preserve"> follow-up seminar to assess progress against the Forum’s resolutions for concret</w:t>
      </w:r>
      <w:r w:rsidR="005D4DD7" w:rsidRPr="009B2D70">
        <w:rPr>
          <w:rFonts w:asciiTheme="minorHAnsi" w:eastAsia="Arial Unicode MS" w:hAnsiTheme="minorHAnsi"/>
        </w:rPr>
        <w:t>e</w:t>
      </w:r>
      <w:r w:rsidRPr="009B2D70">
        <w:rPr>
          <w:rFonts w:asciiTheme="minorHAnsi" w:eastAsia="Arial Unicode MS" w:hAnsiTheme="minorHAnsi"/>
        </w:rPr>
        <w:t xml:space="preserve"> steps to achieve increased commercial production through coordination of resources and targeted training.</w:t>
      </w:r>
    </w:p>
    <w:p w14:paraId="3759A297" w14:textId="77777777" w:rsidR="00DB28E0" w:rsidRPr="009B2D70" w:rsidRDefault="00DB28E0" w:rsidP="00DB28E0">
      <w:pPr>
        <w:numPr>
          <w:ilvl w:val="0"/>
          <w:numId w:val="1"/>
        </w:numPr>
        <w:rPr>
          <w:rFonts w:asciiTheme="minorHAnsi" w:eastAsia="Arial Unicode MS" w:hAnsiTheme="minorHAnsi"/>
        </w:rPr>
      </w:pPr>
      <w:r w:rsidRPr="009B2D70">
        <w:rPr>
          <w:rFonts w:asciiTheme="minorHAnsi" w:eastAsia="Arial Unicode MS" w:hAnsiTheme="minorHAnsi"/>
        </w:rPr>
        <w:t xml:space="preserve">Implementation of collaborative activities with the NGO, ACTIF, to a) support ACTIF’s clients who have received solar systems through training in installation and maintenance and b) </w:t>
      </w:r>
      <w:r w:rsidR="00610EB5" w:rsidRPr="009B2D70">
        <w:rPr>
          <w:rFonts w:asciiTheme="minorHAnsi" w:eastAsia="Arial Unicode MS" w:hAnsiTheme="minorHAnsi"/>
        </w:rPr>
        <w:t xml:space="preserve">linking targeted TVET Centre disabled clients </w:t>
      </w:r>
      <w:r w:rsidR="00E47665" w:rsidRPr="009B2D70">
        <w:rPr>
          <w:rFonts w:asciiTheme="minorHAnsi" w:eastAsia="Arial Unicode MS" w:hAnsiTheme="minorHAnsi"/>
        </w:rPr>
        <w:t xml:space="preserve">who will undertake training in </w:t>
      </w:r>
      <w:proofErr w:type="spellStart"/>
      <w:r w:rsidR="00E47665" w:rsidRPr="009B2D70">
        <w:rPr>
          <w:rFonts w:asciiTheme="minorHAnsi" w:eastAsia="Arial Unicode MS" w:hAnsiTheme="minorHAnsi"/>
        </w:rPr>
        <w:t>Natangura</w:t>
      </w:r>
      <w:proofErr w:type="spellEnd"/>
      <w:r w:rsidR="00E47665" w:rsidRPr="009B2D70">
        <w:rPr>
          <w:rFonts w:asciiTheme="minorHAnsi" w:eastAsia="Arial Unicode MS" w:hAnsiTheme="minorHAnsi"/>
        </w:rPr>
        <w:t xml:space="preserve"> curving </w:t>
      </w:r>
      <w:r w:rsidR="00610EB5" w:rsidRPr="009B2D70">
        <w:rPr>
          <w:rFonts w:asciiTheme="minorHAnsi" w:eastAsia="Arial Unicode MS" w:hAnsiTheme="minorHAnsi"/>
        </w:rPr>
        <w:t>with</w:t>
      </w:r>
      <w:r w:rsidR="00E47665" w:rsidRPr="009B2D70">
        <w:rPr>
          <w:rFonts w:asciiTheme="minorHAnsi" w:eastAsia="Arial Unicode MS" w:hAnsiTheme="minorHAnsi"/>
        </w:rPr>
        <w:t xml:space="preserve"> ACTIV’s established markets in this area.</w:t>
      </w:r>
    </w:p>
    <w:p w14:paraId="04BF5A65" w14:textId="77777777" w:rsidR="00E47665" w:rsidRPr="009B2D70" w:rsidRDefault="00E47665" w:rsidP="00846D48">
      <w:pPr>
        <w:numPr>
          <w:ilvl w:val="0"/>
          <w:numId w:val="1"/>
        </w:numPr>
        <w:rPr>
          <w:rFonts w:asciiTheme="minorHAnsi" w:hAnsiTheme="minorHAnsi"/>
        </w:rPr>
      </w:pPr>
      <w:r w:rsidRPr="009B2D70">
        <w:rPr>
          <w:rFonts w:asciiTheme="minorHAnsi" w:hAnsiTheme="minorHAnsi"/>
        </w:rPr>
        <w:t>Continue to support capacity building of Provincial Tourism Officers in the two provinces to improve coordination with VTO and develop effective marketing and promotional strategies with local and international stakeholders.</w:t>
      </w:r>
    </w:p>
    <w:p w14:paraId="3BFB7882" w14:textId="77777777" w:rsidR="00E47665" w:rsidRPr="009B2D70" w:rsidRDefault="00E47665" w:rsidP="00E47665">
      <w:pPr>
        <w:numPr>
          <w:ilvl w:val="0"/>
          <w:numId w:val="1"/>
        </w:numPr>
        <w:rPr>
          <w:rFonts w:asciiTheme="minorHAnsi" w:hAnsiTheme="minorHAnsi"/>
        </w:rPr>
      </w:pPr>
      <w:r w:rsidRPr="009B2D70">
        <w:rPr>
          <w:rFonts w:asciiTheme="minorHAnsi" w:hAnsiTheme="minorHAnsi"/>
        </w:rPr>
        <w:t>Progress partners</w:t>
      </w:r>
      <w:r w:rsidR="002E0536" w:rsidRPr="009B2D70">
        <w:rPr>
          <w:rFonts w:asciiTheme="minorHAnsi" w:hAnsiTheme="minorHAnsi"/>
        </w:rPr>
        <w:t>hip with the Department of Indus</w:t>
      </w:r>
      <w:r w:rsidRPr="009B2D70">
        <w:rPr>
          <w:rFonts w:asciiTheme="minorHAnsi" w:hAnsiTheme="minorHAnsi"/>
        </w:rPr>
        <w:t xml:space="preserve">try and Trade </w:t>
      </w:r>
      <w:r w:rsidR="009C14DE" w:rsidRPr="009B2D70">
        <w:rPr>
          <w:rFonts w:asciiTheme="minorHAnsi" w:hAnsiTheme="minorHAnsi"/>
        </w:rPr>
        <w:t xml:space="preserve">and Department of Agriculture </w:t>
      </w:r>
      <w:r w:rsidRPr="009B2D70">
        <w:rPr>
          <w:rFonts w:asciiTheme="minorHAnsi" w:hAnsiTheme="minorHAnsi"/>
        </w:rPr>
        <w:t xml:space="preserve">in coffee plantation in South West </w:t>
      </w:r>
      <w:proofErr w:type="spellStart"/>
      <w:r w:rsidRPr="009B2D70">
        <w:rPr>
          <w:rFonts w:asciiTheme="minorHAnsi" w:hAnsiTheme="minorHAnsi"/>
        </w:rPr>
        <w:t>Malekula</w:t>
      </w:r>
      <w:proofErr w:type="spellEnd"/>
      <w:r w:rsidRPr="009B2D70">
        <w:rPr>
          <w:rFonts w:asciiTheme="minorHAnsi" w:hAnsiTheme="minorHAnsi"/>
        </w:rPr>
        <w:t xml:space="preserve"> and strengthen coordination with the Cocoa Growers Association.</w:t>
      </w:r>
    </w:p>
    <w:p w14:paraId="394AE653" w14:textId="77777777" w:rsidR="002E0536" w:rsidRPr="009B2D70" w:rsidRDefault="002E0536" w:rsidP="00E47665">
      <w:pPr>
        <w:numPr>
          <w:ilvl w:val="0"/>
          <w:numId w:val="1"/>
        </w:numPr>
        <w:rPr>
          <w:rFonts w:asciiTheme="minorHAnsi" w:hAnsiTheme="minorHAnsi"/>
        </w:rPr>
      </w:pPr>
      <w:r w:rsidRPr="009B2D70">
        <w:rPr>
          <w:rFonts w:asciiTheme="minorHAnsi" w:hAnsiTheme="minorHAnsi"/>
        </w:rPr>
        <w:t>Progress partnership with the Department of Forestry to support the mobile saw mill operators to assist in implementation of, and compliance with, the Vanuatu Code of Logging Practice.</w:t>
      </w:r>
    </w:p>
    <w:p w14:paraId="0972C27E" w14:textId="77777777" w:rsidR="002E0536" w:rsidRPr="009B2D70" w:rsidRDefault="002E0536" w:rsidP="00E47665">
      <w:pPr>
        <w:numPr>
          <w:ilvl w:val="0"/>
          <w:numId w:val="1"/>
        </w:numPr>
        <w:rPr>
          <w:rFonts w:asciiTheme="minorHAnsi" w:hAnsiTheme="minorHAnsi"/>
        </w:rPr>
      </w:pPr>
      <w:r w:rsidRPr="009B2D70">
        <w:rPr>
          <w:rFonts w:asciiTheme="minorHAnsi" w:hAnsiTheme="minorHAnsi"/>
        </w:rPr>
        <w:t>Progress partnership with the Department of Fisheries in the implementation of their national Tilapia Fish Farming priority plan.</w:t>
      </w:r>
    </w:p>
    <w:p w14:paraId="129C0211" w14:textId="77777777" w:rsidR="007D4938" w:rsidRPr="009B2D70" w:rsidRDefault="007D4938" w:rsidP="00E47665">
      <w:pPr>
        <w:numPr>
          <w:ilvl w:val="0"/>
          <w:numId w:val="1"/>
        </w:numPr>
        <w:rPr>
          <w:rFonts w:asciiTheme="minorHAnsi" w:hAnsiTheme="minorHAnsi"/>
        </w:rPr>
      </w:pPr>
      <w:r w:rsidRPr="009B2D70">
        <w:rPr>
          <w:rFonts w:asciiTheme="minorHAnsi" w:hAnsiTheme="minorHAnsi"/>
        </w:rPr>
        <w:t>Work with Disabled People’s Organisations in the two provinces, in partnership with the Department of Cooperatives and World Vision to deliver a customised full course in Business Management with pre-vocational training in Literacy and Numeracy.</w:t>
      </w:r>
    </w:p>
    <w:p w14:paraId="0607F2B0" w14:textId="77777777" w:rsidR="002E0536" w:rsidRPr="009B2D70" w:rsidRDefault="007D4938" w:rsidP="00E47665">
      <w:pPr>
        <w:numPr>
          <w:ilvl w:val="0"/>
          <w:numId w:val="1"/>
        </w:numPr>
        <w:rPr>
          <w:rFonts w:asciiTheme="minorHAnsi" w:hAnsiTheme="minorHAnsi"/>
        </w:rPr>
      </w:pPr>
      <w:r w:rsidRPr="009B2D70">
        <w:rPr>
          <w:rFonts w:asciiTheme="minorHAnsi" w:hAnsiTheme="minorHAnsi"/>
        </w:rPr>
        <w:t>Build upon initial approaches made to APTC management to maximise coordination potential between the two Programs at the provincial level, particular with regard to trainee identification and effective communication processes.</w:t>
      </w:r>
    </w:p>
    <w:p w14:paraId="79F5F95D" w14:textId="77777777" w:rsidR="003F1663" w:rsidRPr="009B2D70" w:rsidRDefault="007D4938" w:rsidP="00846D48">
      <w:pPr>
        <w:numPr>
          <w:ilvl w:val="0"/>
          <w:numId w:val="1"/>
        </w:numPr>
        <w:rPr>
          <w:rFonts w:asciiTheme="minorHAnsi" w:hAnsiTheme="minorHAnsi"/>
        </w:rPr>
      </w:pPr>
      <w:r w:rsidRPr="009B2D70">
        <w:rPr>
          <w:rFonts w:asciiTheme="minorHAnsi" w:hAnsiTheme="minorHAnsi"/>
        </w:rPr>
        <w:t>Continue collaboration with AusAID’s Transport Program with regard to follow-up support to Island Based Contractors.</w:t>
      </w:r>
      <w:bookmarkStart w:id="42" w:name="_Toc289265555"/>
      <w:bookmarkStart w:id="43" w:name="_Toc289265798"/>
      <w:bookmarkStart w:id="44" w:name="_Toc289376442"/>
    </w:p>
    <w:p w14:paraId="6C6C6429" w14:textId="77777777" w:rsidR="00846D48" w:rsidRPr="009B2D70" w:rsidRDefault="00705121" w:rsidP="00846D48">
      <w:pPr>
        <w:pStyle w:val="Heading3"/>
        <w:rPr>
          <w:rFonts w:asciiTheme="minorHAnsi" w:hAnsiTheme="minorHAnsi"/>
          <w:lang w:val="en-GB"/>
        </w:rPr>
      </w:pPr>
      <w:bookmarkStart w:id="45" w:name="_Toc323399358"/>
      <w:r w:rsidRPr="009B2D70">
        <w:rPr>
          <w:rFonts w:asciiTheme="minorHAnsi" w:hAnsiTheme="minorHAnsi"/>
          <w:lang w:val="en-GB"/>
        </w:rPr>
        <w:t>2</w:t>
      </w:r>
      <w:r w:rsidR="00846D48" w:rsidRPr="009B2D70">
        <w:rPr>
          <w:rFonts w:asciiTheme="minorHAnsi" w:hAnsiTheme="minorHAnsi"/>
          <w:lang w:val="en-GB"/>
        </w:rPr>
        <w:t>.2.2</w:t>
      </w:r>
      <w:r w:rsidR="00846D48" w:rsidRPr="009B2D70">
        <w:rPr>
          <w:rFonts w:asciiTheme="minorHAnsi" w:hAnsiTheme="minorHAnsi"/>
          <w:lang w:val="en-GB"/>
        </w:rPr>
        <w:tab/>
        <w:t>Coordination with Provincial Government</w:t>
      </w:r>
      <w:bookmarkEnd w:id="42"/>
      <w:bookmarkEnd w:id="43"/>
      <w:bookmarkEnd w:id="44"/>
      <w:bookmarkEnd w:id="45"/>
    </w:p>
    <w:p w14:paraId="154B7102" w14:textId="77777777" w:rsidR="00846D48" w:rsidRPr="009B2D70" w:rsidRDefault="00846D48" w:rsidP="00846D48">
      <w:pPr>
        <w:rPr>
          <w:rFonts w:asciiTheme="minorHAnsi" w:hAnsiTheme="minorHAnsi"/>
        </w:rPr>
      </w:pPr>
      <w:r w:rsidRPr="009B2D70">
        <w:rPr>
          <w:rFonts w:asciiTheme="minorHAnsi" w:hAnsiTheme="minorHAnsi"/>
        </w:rPr>
        <w:t xml:space="preserve">The Program will continue to build upon the </w:t>
      </w:r>
      <w:r w:rsidR="003F1663" w:rsidRPr="009B2D70">
        <w:rPr>
          <w:rFonts w:asciiTheme="minorHAnsi" w:hAnsiTheme="minorHAnsi"/>
        </w:rPr>
        <w:t xml:space="preserve">partnership approach that is now well established in both provinces between the Program and the respective Provincial Governments. Due to the </w:t>
      </w:r>
      <w:r w:rsidR="003F1663" w:rsidRPr="009B2D70">
        <w:rPr>
          <w:rFonts w:asciiTheme="minorHAnsi" w:hAnsiTheme="minorHAnsi"/>
        </w:rPr>
        <w:lastRenderedPageBreak/>
        <w:t>current suspension of the Provincial Councils in both provinces, no direct contact will be made until further notice with these bodies.</w:t>
      </w:r>
    </w:p>
    <w:p w14:paraId="0A3B13CD" w14:textId="77777777" w:rsidR="00846D48" w:rsidRPr="009B2D70" w:rsidRDefault="00846D48" w:rsidP="00846D48">
      <w:pPr>
        <w:rPr>
          <w:rFonts w:asciiTheme="minorHAnsi" w:hAnsiTheme="minorHAnsi"/>
        </w:rPr>
      </w:pPr>
      <w:r w:rsidRPr="009B2D70">
        <w:rPr>
          <w:rFonts w:asciiTheme="minorHAnsi" w:hAnsiTheme="minorHAnsi"/>
        </w:rPr>
        <w:t>Specific activities will include:</w:t>
      </w:r>
    </w:p>
    <w:p w14:paraId="17734A2F"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Continuation of regular monthly briefings to each Secretary General to up</w:t>
      </w:r>
      <w:r w:rsidR="003F1663" w:rsidRPr="009B2D70">
        <w:rPr>
          <w:rFonts w:asciiTheme="minorHAnsi" w:hAnsiTheme="minorHAnsi"/>
        </w:rPr>
        <w:t>date key government officers</w:t>
      </w:r>
      <w:r w:rsidRPr="009B2D70">
        <w:rPr>
          <w:rFonts w:asciiTheme="minorHAnsi" w:hAnsiTheme="minorHAnsi"/>
        </w:rPr>
        <w:t xml:space="preserve"> on activities undertaken and planned by each TVET Centre.</w:t>
      </w:r>
    </w:p>
    <w:p w14:paraId="3CF1B515"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Continuation of monthly management meetings of Program leadership team, including the Provincial Planner.</w:t>
      </w:r>
    </w:p>
    <w:p w14:paraId="1FBCAF76"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Facilitation of provi</w:t>
      </w:r>
      <w:r w:rsidR="003F1663" w:rsidRPr="009B2D70">
        <w:rPr>
          <w:rFonts w:asciiTheme="minorHAnsi" w:hAnsiTheme="minorHAnsi"/>
        </w:rPr>
        <w:t>ncial government representatives</w:t>
      </w:r>
      <w:r w:rsidRPr="009B2D70">
        <w:rPr>
          <w:rFonts w:asciiTheme="minorHAnsi" w:hAnsiTheme="minorHAnsi"/>
        </w:rPr>
        <w:t xml:space="preserve"> taking lead role in capacity building/training needs assessment workshops with provincial Area Secretaries.</w:t>
      </w:r>
    </w:p>
    <w:p w14:paraId="24A40AA0" w14:textId="77777777" w:rsidR="003F1663" w:rsidRPr="009B2D70" w:rsidRDefault="00846D48" w:rsidP="00846D48">
      <w:pPr>
        <w:numPr>
          <w:ilvl w:val="0"/>
          <w:numId w:val="1"/>
        </w:numPr>
        <w:rPr>
          <w:rFonts w:asciiTheme="minorHAnsi" w:hAnsiTheme="minorHAnsi"/>
        </w:rPr>
      </w:pPr>
      <w:r w:rsidRPr="009B2D70">
        <w:rPr>
          <w:rFonts w:asciiTheme="minorHAnsi" w:hAnsiTheme="minorHAnsi"/>
        </w:rPr>
        <w:t>Specific liaison and briefing with the provincial government authorities as AusAID plans for TVET se</w:t>
      </w:r>
      <w:r w:rsidR="00BC10C8" w:rsidRPr="009B2D70">
        <w:rPr>
          <w:rFonts w:asciiTheme="minorHAnsi" w:hAnsiTheme="minorHAnsi"/>
        </w:rPr>
        <w:t>ctor support post December</w:t>
      </w:r>
      <w:r w:rsidRPr="009B2D70">
        <w:rPr>
          <w:rFonts w:asciiTheme="minorHAnsi" w:hAnsiTheme="minorHAnsi"/>
        </w:rPr>
        <w:t xml:space="preserve"> 2012 become clearer.</w:t>
      </w:r>
      <w:bookmarkStart w:id="46" w:name="_Toc289265556"/>
      <w:bookmarkStart w:id="47" w:name="_Toc289265799"/>
      <w:bookmarkStart w:id="48" w:name="_Toc289376443"/>
    </w:p>
    <w:p w14:paraId="44385DEA" w14:textId="77777777" w:rsidR="00846D48" w:rsidRPr="009B2D70" w:rsidRDefault="00705121" w:rsidP="00742596">
      <w:pPr>
        <w:pStyle w:val="Heading2"/>
        <w:rPr>
          <w:rFonts w:asciiTheme="minorHAnsi" w:hAnsiTheme="minorHAnsi"/>
          <w:lang w:val="en-GB"/>
        </w:rPr>
      </w:pPr>
      <w:bookmarkStart w:id="49" w:name="_Toc323399359"/>
      <w:bookmarkStart w:id="50" w:name="_Toc323462486"/>
      <w:r w:rsidRPr="009B2D70">
        <w:rPr>
          <w:rFonts w:asciiTheme="minorHAnsi" w:hAnsiTheme="minorHAnsi"/>
          <w:lang w:val="en-GB"/>
        </w:rPr>
        <w:t>2</w:t>
      </w:r>
      <w:r w:rsidR="00846D48" w:rsidRPr="009B2D70">
        <w:rPr>
          <w:rFonts w:asciiTheme="minorHAnsi" w:hAnsiTheme="minorHAnsi"/>
          <w:lang w:val="en-GB"/>
        </w:rPr>
        <w:t>.3</w:t>
      </w:r>
      <w:r w:rsidR="00846D48" w:rsidRPr="009B2D70">
        <w:rPr>
          <w:rFonts w:asciiTheme="minorHAnsi" w:hAnsiTheme="minorHAnsi"/>
          <w:lang w:val="en-GB"/>
        </w:rPr>
        <w:tab/>
        <w:t>TVET Centres</w:t>
      </w:r>
      <w:bookmarkEnd w:id="46"/>
      <w:bookmarkEnd w:id="47"/>
      <w:bookmarkEnd w:id="48"/>
      <w:bookmarkEnd w:id="49"/>
      <w:bookmarkEnd w:id="50"/>
    </w:p>
    <w:p w14:paraId="41779FEB" w14:textId="77777777" w:rsidR="003F1663" w:rsidRPr="009B2D70" w:rsidRDefault="003F1663" w:rsidP="00846D48">
      <w:pPr>
        <w:rPr>
          <w:rFonts w:asciiTheme="minorHAnsi" w:hAnsiTheme="minorHAnsi"/>
        </w:rPr>
      </w:pPr>
      <w:r w:rsidRPr="009B2D70">
        <w:rPr>
          <w:rFonts w:asciiTheme="minorHAnsi" w:hAnsiTheme="minorHAnsi"/>
        </w:rPr>
        <w:t xml:space="preserve">Since the mobilisation of the Team Leader to Port Vila during the last Annual Plan period, TVET Centre management staff have demonstrated </w:t>
      </w:r>
      <w:r w:rsidR="00A12925" w:rsidRPr="009B2D70">
        <w:rPr>
          <w:rFonts w:asciiTheme="minorHAnsi" w:hAnsiTheme="minorHAnsi"/>
        </w:rPr>
        <w:t xml:space="preserve">sound </w:t>
      </w:r>
      <w:r w:rsidRPr="009B2D70">
        <w:rPr>
          <w:rFonts w:asciiTheme="minorHAnsi" w:hAnsiTheme="minorHAnsi"/>
        </w:rPr>
        <w:t xml:space="preserve">capacity to manage the two TVET Centres with remote support </w:t>
      </w:r>
      <w:r w:rsidR="00A12925" w:rsidRPr="009B2D70">
        <w:rPr>
          <w:rFonts w:asciiTheme="minorHAnsi" w:hAnsiTheme="minorHAnsi"/>
        </w:rPr>
        <w:t xml:space="preserve">only </w:t>
      </w:r>
      <w:r w:rsidRPr="009B2D70">
        <w:rPr>
          <w:rFonts w:asciiTheme="minorHAnsi" w:hAnsiTheme="minorHAnsi"/>
        </w:rPr>
        <w:t>provided by the Team Leader. During this Annual Plan period, focus wil</w:t>
      </w:r>
      <w:r w:rsidR="00A12925" w:rsidRPr="009B2D70">
        <w:rPr>
          <w:rFonts w:asciiTheme="minorHAnsi" w:hAnsiTheme="minorHAnsi"/>
        </w:rPr>
        <w:t>l continue</w:t>
      </w:r>
      <w:r w:rsidRPr="009B2D70">
        <w:rPr>
          <w:rFonts w:asciiTheme="minorHAnsi" w:hAnsiTheme="minorHAnsi"/>
        </w:rPr>
        <w:t xml:space="preserve"> to </w:t>
      </w:r>
      <w:r w:rsidR="00A12925" w:rsidRPr="009B2D70">
        <w:rPr>
          <w:rFonts w:asciiTheme="minorHAnsi" w:hAnsiTheme="minorHAnsi"/>
        </w:rPr>
        <w:t xml:space="preserve">be </w:t>
      </w:r>
      <w:r w:rsidRPr="009B2D70">
        <w:rPr>
          <w:rFonts w:asciiTheme="minorHAnsi" w:hAnsiTheme="minorHAnsi"/>
        </w:rPr>
        <w:t xml:space="preserve">directed to strengthening the autonomous, but coordinated, operations of </w:t>
      </w:r>
      <w:r w:rsidR="00A12925" w:rsidRPr="009B2D70">
        <w:rPr>
          <w:rFonts w:asciiTheme="minorHAnsi" w:hAnsiTheme="minorHAnsi"/>
        </w:rPr>
        <w:t xml:space="preserve">the two Centres, in addition to </w:t>
      </w:r>
      <w:proofErr w:type="spellStart"/>
      <w:r w:rsidR="00A12925" w:rsidRPr="009B2D70">
        <w:rPr>
          <w:rFonts w:asciiTheme="minorHAnsi" w:hAnsiTheme="minorHAnsi"/>
        </w:rPr>
        <w:t>transitionalplanning</w:t>
      </w:r>
      <w:proofErr w:type="spellEnd"/>
      <w:r w:rsidRPr="009B2D70">
        <w:rPr>
          <w:rFonts w:asciiTheme="minorHAnsi" w:hAnsiTheme="minorHAnsi"/>
        </w:rPr>
        <w:t xml:space="preserve"> for the Phase 3 Pr</w:t>
      </w:r>
      <w:r w:rsidR="00A12925" w:rsidRPr="009B2D70">
        <w:rPr>
          <w:rFonts w:asciiTheme="minorHAnsi" w:hAnsiTheme="minorHAnsi"/>
        </w:rPr>
        <w:t xml:space="preserve">ogram and expansion into other </w:t>
      </w:r>
      <w:r w:rsidRPr="009B2D70">
        <w:rPr>
          <w:rFonts w:asciiTheme="minorHAnsi" w:hAnsiTheme="minorHAnsi"/>
        </w:rPr>
        <w:t xml:space="preserve">provinces. </w:t>
      </w:r>
      <w:r w:rsidR="00A12925" w:rsidRPr="009B2D70">
        <w:rPr>
          <w:rFonts w:asciiTheme="minorHAnsi" w:hAnsiTheme="minorHAnsi"/>
        </w:rPr>
        <w:t xml:space="preserve">The current quantum of service delivery through the Accredited Trainings and BDS will continue until October after which training activity will slow down, to ensure conduct of all follow-up activity (validation of completion reports, M&amp;E data finalisation, financial acquittals) can be completed before mobilisation of the Phase 3 Program currently scheduled for January 2013. </w:t>
      </w:r>
      <w:r w:rsidR="00283EF1" w:rsidRPr="009B2D70">
        <w:rPr>
          <w:rFonts w:asciiTheme="minorHAnsi" w:hAnsiTheme="minorHAnsi"/>
        </w:rPr>
        <w:t>It is also recommended that, following rel</w:t>
      </w:r>
      <w:r w:rsidR="002A2D29" w:rsidRPr="009B2D70">
        <w:rPr>
          <w:rFonts w:asciiTheme="minorHAnsi" w:hAnsiTheme="minorHAnsi"/>
        </w:rPr>
        <w:t>e</w:t>
      </w:r>
      <w:r w:rsidR="00283EF1" w:rsidRPr="009B2D70">
        <w:rPr>
          <w:rFonts w:asciiTheme="minorHAnsi" w:hAnsiTheme="minorHAnsi"/>
        </w:rPr>
        <w:t>ase of the Phase 3 Design, preli</w:t>
      </w:r>
      <w:r w:rsidR="00BC10C8" w:rsidRPr="009B2D70">
        <w:rPr>
          <w:rFonts w:asciiTheme="minorHAnsi" w:hAnsiTheme="minorHAnsi"/>
        </w:rPr>
        <w:t>minary activity be</w:t>
      </w:r>
      <w:r w:rsidR="002A2D29" w:rsidRPr="009B2D70">
        <w:rPr>
          <w:rFonts w:asciiTheme="minorHAnsi" w:hAnsiTheme="minorHAnsi"/>
        </w:rPr>
        <w:t xml:space="preserve"> undertaken to facilitate selection of/mobilisation to other potential TVET Centre sites, as well as mapping of future staffing needs. </w:t>
      </w:r>
      <w:r w:rsidR="00A12925" w:rsidRPr="009B2D70">
        <w:rPr>
          <w:rFonts w:asciiTheme="minorHAnsi" w:hAnsiTheme="minorHAnsi"/>
        </w:rPr>
        <w:t>Specific activity will include:</w:t>
      </w:r>
    </w:p>
    <w:p w14:paraId="253EBFE8" w14:textId="77777777" w:rsidR="00846D48" w:rsidRPr="009B2D70" w:rsidRDefault="00705121" w:rsidP="00846D48">
      <w:pPr>
        <w:pStyle w:val="Heading3"/>
        <w:rPr>
          <w:rFonts w:asciiTheme="minorHAnsi" w:hAnsiTheme="minorHAnsi"/>
          <w:lang w:val="en-GB"/>
        </w:rPr>
      </w:pPr>
      <w:bookmarkStart w:id="51" w:name="_Toc289265557"/>
      <w:bookmarkStart w:id="52" w:name="_Toc289265800"/>
      <w:bookmarkStart w:id="53" w:name="_Toc289376444"/>
      <w:bookmarkStart w:id="54" w:name="_Toc323399360"/>
      <w:r w:rsidRPr="009B2D70">
        <w:rPr>
          <w:rFonts w:asciiTheme="minorHAnsi" w:hAnsiTheme="minorHAnsi"/>
          <w:lang w:val="en-GB"/>
        </w:rPr>
        <w:t>2</w:t>
      </w:r>
      <w:r w:rsidR="00846D48" w:rsidRPr="009B2D70">
        <w:rPr>
          <w:rFonts w:asciiTheme="minorHAnsi" w:hAnsiTheme="minorHAnsi"/>
          <w:lang w:val="en-GB"/>
        </w:rPr>
        <w:t>.3</w:t>
      </w:r>
      <w:r w:rsidR="009052AE" w:rsidRPr="009B2D70">
        <w:rPr>
          <w:rFonts w:asciiTheme="minorHAnsi" w:hAnsiTheme="minorHAnsi"/>
          <w:lang w:val="en-GB"/>
        </w:rPr>
        <w:t>.1</w:t>
      </w:r>
      <w:r w:rsidR="009052AE" w:rsidRPr="009B2D70">
        <w:rPr>
          <w:rFonts w:asciiTheme="minorHAnsi" w:hAnsiTheme="minorHAnsi"/>
          <w:lang w:val="en-GB"/>
        </w:rPr>
        <w:tab/>
        <w:t>Accredited Trainings (AT</w:t>
      </w:r>
      <w:r w:rsidR="00846D48" w:rsidRPr="009B2D70">
        <w:rPr>
          <w:rFonts w:asciiTheme="minorHAnsi" w:hAnsiTheme="minorHAnsi"/>
          <w:lang w:val="en-GB"/>
        </w:rPr>
        <w:t>)</w:t>
      </w:r>
      <w:bookmarkEnd w:id="51"/>
      <w:bookmarkEnd w:id="52"/>
      <w:bookmarkEnd w:id="53"/>
      <w:bookmarkEnd w:id="54"/>
    </w:p>
    <w:p w14:paraId="7354F055" w14:textId="77777777" w:rsidR="000135A1" w:rsidRPr="009B2D70" w:rsidRDefault="00A12925" w:rsidP="00846D48">
      <w:pPr>
        <w:numPr>
          <w:ilvl w:val="0"/>
          <w:numId w:val="1"/>
        </w:numPr>
        <w:rPr>
          <w:rFonts w:asciiTheme="minorHAnsi" w:hAnsiTheme="minorHAnsi"/>
        </w:rPr>
      </w:pPr>
      <w:r w:rsidRPr="009B2D70">
        <w:rPr>
          <w:rFonts w:asciiTheme="minorHAnsi" w:hAnsiTheme="minorHAnsi"/>
        </w:rPr>
        <w:t xml:space="preserve">Implementation of </w:t>
      </w:r>
      <w:r w:rsidR="009052AE" w:rsidRPr="009B2D70">
        <w:rPr>
          <w:rFonts w:asciiTheme="minorHAnsi" w:hAnsiTheme="minorHAnsi"/>
        </w:rPr>
        <w:t xml:space="preserve">accredited </w:t>
      </w:r>
      <w:r w:rsidRPr="009B2D70">
        <w:rPr>
          <w:rFonts w:asciiTheme="minorHAnsi" w:hAnsiTheme="minorHAnsi"/>
        </w:rPr>
        <w:t>training plan</w:t>
      </w:r>
      <w:r w:rsidR="00BC10C8" w:rsidRPr="009B2D70">
        <w:rPr>
          <w:rFonts w:asciiTheme="minorHAnsi" w:hAnsiTheme="minorHAnsi"/>
        </w:rPr>
        <w:t>s which have</w:t>
      </w:r>
      <w:r w:rsidRPr="009B2D70">
        <w:rPr>
          <w:rFonts w:asciiTheme="minorHAnsi" w:hAnsiTheme="minorHAnsi"/>
        </w:rPr>
        <w:t xml:space="preserve"> been established by the two Centre</w:t>
      </w:r>
      <w:r w:rsidR="00BC10C8" w:rsidRPr="009B2D70">
        <w:rPr>
          <w:rFonts w:asciiTheme="minorHAnsi" w:hAnsiTheme="minorHAnsi"/>
        </w:rPr>
        <w:t>s</w:t>
      </w:r>
      <w:r w:rsidRPr="009B2D70">
        <w:rPr>
          <w:rFonts w:asciiTheme="minorHAnsi" w:hAnsiTheme="minorHAnsi"/>
        </w:rPr>
        <w:t xml:space="preserve"> in collaboration with Registered Training Providers (RTPs) and</w:t>
      </w:r>
      <w:r w:rsidR="000135A1" w:rsidRPr="009B2D70">
        <w:rPr>
          <w:rFonts w:asciiTheme="minorHAnsi" w:hAnsiTheme="minorHAnsi"/>
        </w:rPr>
        <w:t xml:space="preserve"> the PTBs in line with the provincial Skills Development Plans.</w:t>
      </w:r>
    </w:p>
    <w:p w14:paraId="1C94F0E8" w14:textId="77777777" w:rsidR="00656713" w:rsidRPr="009B2D70" w:rsidRDefault="00846D48" w:rsidP="00846D48">
      <w:pPr>
        <w:numPr>
          <w:ilvl w:val="0"/>
          <w:numId w:val="1"/>
        </w:numPr>
        <w:rPr>
          <w:rFonts w:asciiTheme="minorHAnsi" w:hAnsiTheme="minorHAnsi"/>
        </w:rPr>
      </w:pPr>
      <w:r w:rsidRPr="009B2D70">
        <w:rPr>
          <w:rFonts w:asciiTheme="minorHAnsi" w:hAnsiTheme="minorHAnsi"/>
        </w:rPr>
        <w:t xml:space="preserve">Continue to address current blockages with regard to </w:t>
      </w:r>
      <w:r w:rsidR="000135A1" w:rsidRPr="009B2D70">
        <w:rPr>
          <w:rFonts w:asciiTheme="minorHAnsi" w:hAnsiTheme="minorHAnsi"/>
        </w:rPr>
        <w:t>lack of training supply to meet training demand primarily through a) ongoing capacity development of RTC to access the ETF; b) advocacy of benefits of local, part-time trainer affiliation with established RTPs</w:t>
      </w:r>
      <w:r w:rsidR="00656713" w:rsidRPr="009B2D70">
        <w:rPr>
          <w:rFonts w:asciiTheme="minorHAnsi" w:hAnsiTheme="minorHAnsi"/>
        </w:rPr>
        <w:t>.</w:t>
      </w:r>
    </w:p>
    <w:p w14:paraId="18EAA9DC"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Provide support to ETF training providers, such as the Department of Cooperatives, that have expressed desire to undertake follow-up and coaching of their trainees post-training.</w:t>
      </w:r>
    </w:p>
    <w:p w14:paraId="7D830B86" w14:textId="77777777" w:rsidR="00846D48" w:rsidRPr="009B2D70" w:rsidRDefault="00656713" w:rsidP="00846D48">
      <w:pPr>
        <w:numPr>
          <w:ilvl w:val="0"/>
          <w:numId w:val="1"/>
        </w:numPr>
        <w:rPr>
          <w:rFonts w:asciiTheme="minorHAnsi" w:hAnsiTheme="minorHAnsi"/>
        </w:rPr>
      </w:pPr>
      <w:r w:rsidRPr="009B2D70">
        <w:rPr>
          <w:rFonts w:asciiTheme="minorHAnsi" w:hAnsiTheme="minorHAnsi"/>
        </w:rPr>
        <w:t>Coordinate the conduct of accredited pre-vocational literacy and numeracy trainings with targeted TVET Centre clients to maximise impact of other TVET training delivery.</w:t>
      </w:r>
    </w:p>
    <w:p w14:paraId="275E1322" w14:textId="77777777" w:rsidR="009052AE" w:rsidRPr="009B2D70" w:rsidRDefault="009052AE" w:rsidP="00846D48">
      <w:pPr>
        <w:numPr>
          <w:ilvl w:val="0"/>
          <w:numId w:val="1"/>
        </w:numPr>
        <w:rPr>
          <w:rFonts w:asciiTheme="minorHAnsi" w:hAnsiTheme="minorHAnsi"/>
        </w:rPr>
      </w:pPr>
      <w:r w:rsidRPr="009B2D70">
        <w:rPr>
          <w:rFonts w:asciiTheme="minorHAnsi" w:hAnsiTheme="minorHAnsi"/>
        </w:rPr>
        <w:t xml:space="preserve">Following collaborative resolution between the VNTC and the TVET Program of new module/course accreditation in line with the priorities of the </w:t>
      </w:r>
      <w:r w:rsidR="00B85BFD" w:rsidRPr="009B2D70">
        <w:rPr>
          <w:rFonts w:asciiTheme="minorHAnsi" w:hAnsiTheme="minorHAnsi"/>
        </w:rPr>
        <w:t>Skills Development Plans</w:t>
      </w:r>
      <w:r w:rsidRPr="009B2D70">
        <w:rPr>
          <w:rFonts w:asciiTheme="minorHAnsi" w:hAnsiTheme="minorHAnsi"/>
        </w:rPr>
        <w:t xml:space="preserve"> </w:t>
      </w:r>
      <w:proofErr w:type="spellStart"/>
      <w:r w:rsidRPr="009B2D70">
        <w:rPr>
          <w:rFonts w:asciiTheme="minorHAnsi" w:hAnsiTheme="minorHAnsi"/>
        </w:rPr>
        <w:t>and</w:t>
      </w:r>
      <w:r w:rsidR="00B85BFD" w:rsidRPr="009B2D70">
        <w:rPr>
          <w:rFonts w:asciiTheme="minorHAnsi" w:hAnsiTheme="minorHAnsi"/>
        </w:rPr>
        <w:t>,</w:t>
      </w:r>
      <w:r w:rsidRPr="009B2D70">
        <w:rPr>
          <w:rFonts w:asciiTheme="minorHAnsi" w:hAnsiTheme="minorHAnsi"/>
        </w:rPr>
        <w:t>building</w:t>
      </w:r>
      <w:proofErr w:type="spellEnd"/>
      <w:r w:rsidRPr="009B2D70">
        <w:rPr>
          <w:rFonts w:asciiTheme="minorHAnsi" w:hAnsiTheme="minorHAnsi"/>
        </w:rPr>
        <w:t xml:space="preserve"> upon the work of the Curriculum Advisor, conduct first-time delivery of </w:t>
      </w:r>
      <w:r w:rsidRPr="009B2D70">
        <w:rPr>
          <w:rFonts w:asciiTheme="minorHAnsi" w:hAnsiTheme="minorHAnsi"/>
        </w:rPr>
        <w:lastRenderedPageBreak/>
        <w:t>accredited trainings in these key areas</w:t>
      </w:r>
      <w:r w:rsidR="00B85BFD" w:rsidRPr="009B2D70">
        <w:rPr>
          <w:rFonts w:asciiTheme="minorHAnsi" w:hAnsiTheme="minorHAnsi"/>
        </w:rPr>
        <w:t>.</w:t>
      </w:r>
    </w:p>
    <w:p w14:paraId="5F10D824" w14:textId="77777777" w:rsidR="00656713" w:rsidRPr="009B2D70" w:rsidRDefault="00656713" w:rsidP="00846D48">
      <w:pPr>
        <w:numPr>
          <w:ilvl w:val="0"/>
          <w:numId w:val="1"/>
        </w:numPr>
        <w:rPr>
          <w:rFonts w:asciiTheme="minorHAnsi" w:hAnsiTheme="minorHAnsi"/>
        </w:rPr>
      </w:pPr>
      <w:r w:rsidRPr="009B2D70">
        <w:rPr>
          <w:rFonts w:asciiTheme="minorHAnsi" w:hAnsiTheme="minorHAnsi"/>
        </w:rPr>
        <w:t>Continue to ensure representation of disabled people in all mainstream TVET Centre trainings where possible, as well as coordinate specific module and full course delivery to targeted disabled participants.</w:t>
      </w:r>
    </w:p>
    <w:p w14:paraId="2440C049" w14:textId="77777777" w:rsidR="00846D48" w:rsidRPr="009B2D70" w:rsidRDefault="00705121" w:rsidP="00846D48">
      <w:pPr>
        <w:pStyle w:val="Heading3"/>
        <w:rPr>
          <w:rFonts w:asciiTheme="minorHAnsi" w:hAnsiTheme="minorHAnsi"/>
          <w:lang w:val="en-GB"/>
        </w:rPr>
      </w:pPr>
      <w:bookmarkStart w:id="55" w:name="_Toc289265558"/>
      <w:bookmarkStart w:id="56" w:name="_Toc289265801"/>
      <w:bookmarkStart w:id="57" w:name="_Toc289376445"/>
      <w:bookmarkStart w:id="58" w:name="_Toc323399361"/>
      <w:r w:rsidRPr="009B2D70">
        <w:rPr>
          <w:rFonts w:asciiTheme="minorHAnsi" w:hAnsiTheme="minorHAnsi"/>
          <w:lang w:val="en-GB"/>
        </w:rPr>
        <w:t>2</w:t>
      </w:r>
      <w:r w:rsidR="00846D48" w:rsidRPr="009B2D70">
        <w:rPr>
          <w:rFonts w:asciiTheme="minorHAnsi" w:hAnsiTheme="minorHAnsi"/>
          <w:lang w:val="en-GB"/>
        </w:rPr>
        <w:t>.3.2</w:t>
      </w:r>
      <w:r w:rsidR="00846D48" w:rsidRPr="009B2D70">
        <w:rPr>
          <w:rFonts w:asciiTheme="minorHAnsi" w:hAnsiTheme="minorHAnsi"/>
          <w:lang w:val="en-GB"/>
        </w:rPr>
        <w:tab/>
        <w:t>Business Development Services (BDS)</w:t>
      </w:r>
      <w:bookmarkEnd w:id="55"/>
      <w:bookmarkEnd w:id="56"/>
      <w:bookmarkEnd w:id="57"/>
      <w:bookmarkEnd w:id="58"/>
    </w:p>
    <w:p w14:paraId="631D76E0" w14:textId="77777777" w:rsidR="009052AE" w:rsidRPr="009B2D70" w:rsidRDefault="009052AE" w:rsidP="00846D48">
      <w:pPr>
        <w:numPr>
          <w:ilvl w:val="0"/>
          <w:numId w:val="1"/>
        </w:numPr>
        <w:rPr>
          <w:rFonts w:asciiTheme="minorHAnsi" w:hAnsiTheme="minorHAnsi"/>
        </w:rPr>
      </w:pPr>
      <w:r w:rsidRPr="009B2D70">
        <w:rPr>
          <w:rFonts w:asciiTheme="minorHAnsi" w:hAnsiTheme="minorHAnsi"/>
        </w:rPr>
        <w:t>Implement planned workshop programs in partnership with key government departments across the Forestry (Saw Milling), Fisheries (Tilapia), Agriculture (Cocoa plantation and Agribusiness)</w:t>
      </w:r>
      <w:r w:rsidR="00EA214C" w:rsidRPr="009B2D70">
        <w:rPr>
          <w:rFonts w:asciiTheme="minorHAnsi" w:hAnsiTheme="minorHAnsi"/>
        </w:rPr>
        <w:t xml:space="preserve"> and Tourism (Bungalow Owners and Tour Operators) sectors.</w:t>
      </w:r>
    </w:p>
    <w:p w14:paraId="7C665EB7" w14:textId="77777777" w:rsidR="00EA214C" w:rsidRPr="009B2D70" w:rsidRDefault="00EA214C" w:rsidP="00846D48">
      <w:pPr>
        <w:numPr>
          <w:ilvl w:val="0"/>
          <w:numId w:val="1"/>
        </w:numPr>
        <w:rPr>
          <w:rFonts w:asciiTheme="minorHAnsi" w:hAnsiTheme="minorHAnsi"/>
        </w:rPr>
      </w:pPr>
      <w:r w:rsidRPr="009B2D70">
        <w:rPr>
          <w:rFonts w:asciiTheme="minorHAnsi" w:hAnsiTheme="minorHAnsi"/>
        </w:rPr>
        <w:t xml:space="preserve">Conduct of “Agribusiness Seminar” in </w:t>
      </w:r>
      <w:proofErr w:type="spellStart"/>
      <w:r w:rsidRPr="009B2D70">
        <w:rPr>
          <w:rFonts w:asciiTheme="minorHAnsi" w:hAnsiTheme="minorHAnsi"/>
        </w:rPr>
        <w:t>Malekula</w:t>
      </w:r>
      <w:proofErr w:type="spellEnd"/>
      <w:r w:rsidRPr="009B2D70">
        <w:rPr>
          <w:rFonts w:asciiTheme="minorHAnsi" w:hAnsiTheme="minorHAnsi"/>
        </w:rPr>
        <w:t xml:space="preserve"> (as per 6.2.2).</w:t>
      </w:r>
    </w:p>
    <w:p w14:paraId="7E4C8F88" w14:textId="77777777" w:rsidR="00846D48" w:rsidRPr="009B2D70" w:rsidRDefault="00EA214C" w:rsidP="00846D48">
      <w:pPr>
        <w:numPr>
          <w:ilvl w:val="0"/>
          <w:numId w:val="1"/>
        </w:numPr>
        <w:rPr>
          <w:rFonts w:asciiTheme="minorHAnsi" w:hAnsiTheme="minorHAnsi"/>
        </w:rPr>
      </w:pPr>
      <w:r w:rsidRPr="009B2D70">
        <w:rPr>
          <w:rFonts w:asciiTheme="minorHAnsi" w:hAnsiTheme="minorHAnsi"/>
        </w:rPr>
        <w:t xml:space="preserve">Continue individualised coaching for the Centres’ BDS existing clients based on </w:t>
      </w:r>
      <w:r w:rsidR="00846D48" w:rsidRPr="009B2D70">
        <w:rPr>
          <w:rFonts w:asciiTheme="minorHAnsi" w:hAnsiTheme="minorHAnsi"/>
        </w:rPr>
        <w:t>recommendations of BDS providers</w:t>
      </w:r>
      <w:r w:rsidRPr="009B2D70">
        <w:rPr>
          <w:rFonts w:asciiTheme="minorHAnsi" w:hAnsiTheme="minorHAnsi"/>
        </w:rPr>
        <w:t xml:space="preserve"> to maximise sustainability of BDS workshops.</w:t>
      </w:r>
    </w:p>
    <w:p w14:paraId="5A2B5AC0"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Conduct tailored business management workshops for registered training providers to assist them to operate with a more business-oriented focus</w:t>
      </w:r>
      <w:r w:rsidR="00EA214C" w:rsidRPr="009B2D70">
        <w:rPr>
          <w:rFonts w:asciiTheme="minorHAnsi" w:hAnsiTheme="minorHAnsi"/>
        </w:rPr>
        <w:t>, with</w:t>
      </w:r>
      <w:r w:rsidR="009530E8" w:rsidRPr="009B2D70">
        <w:rPr>
          <w:rFonts w:asciiTheme="minorHAnsi" w:hAnsiTheme="minorHAnsi"/>
        </w:rPr>
        <w:t xml:space="preserve"> particular attention to building</w:t>
      </w:r>
      <w:r w:rsidRPr="009B2D70">
        <w:rPr>
          <w:rFonts w:asciiTheme="minorHAnsi" w:hAnsiTheme="minorHAnsi"/>
        </w:rPr>
        <w:t xml:space="preserve"> organizational management capacity building </w:t>
      </w:r>
      <w:r w:rsidR="009530E8" w:rsidRPr="009B2D70">
        <w:rPr>
          <w:rFonts w:asciiTheme="minorHAnsi" w:hAnsiTheme="minorHAnsi"/>
        </w:rPr>
        <w:t>of RTCs, in consultation with VRDTCA.</w:t>
      </w:r>
    </w:p>
    <w:p w14:paraId="4C456BD0" w14:textId="77777777" w:rsidR="009530E8" w:rsidRPr="009B2D70" w:rsidRDefault="009530E8" w:rsidP="00846D48">
      <w:pPr>
        <w:numPr>
          <w:ilvl w:val="0"/>
          <w:numId w:val="1"/>
        </w:numPr>
        <w:rPr>
          <w:rFonts w:asciiTheme="minorHAnsi" w:hAnsiTheme="minorHAnsi"/>
        </w:rPr>
      </w:pPr>
      <w:r w:rsidRPr="009B2D70">
        <w:rPr>
          <w:rFonts w:asciiTheme="minorHAnsi" w:hAnsiTheme="minorHAnsi"/>
        </w:rPr>
        <w:t>Work with relevant stakeholders to establish business associations in key sectoral areas to support mutually supportive growth (</w:t>
      </w:r>
      <w:proofErr w:type="spellStart"/>
      <w:r w:rsidRPr="009B2D70">
        <w:rPr>
          <w:rFonts w:asciiTheme="minorHAnsi" w:hAnsiTheme="minorHAnsi"/>
        </w:rPr>
        <w:t>ie</w:t>
      </w:r>
      <w:proofErr w:type="spellEnd"/>
      <w:r w:rsidRPr="009B2D70">
        <w:rPr>
          <w:rFonts w:asciiTheme="minorHAnsi" w:hAnsiTheme="minorHAnsi"/>
        </w:rPr>
        <w:t>: Saw Milling Association).</w:t>
      </w:r>
    </w:p>
    <w:p w14:paraId="1E45F244" w14:textId="77777777" w:rsidR="009530E8" w:rsidRPr="009B2D70" w:rsidRDefault="009530E8" w:rsidP="00846D48">
      <w:pPr>
        <w:numPr>
          <w:ilvl w:val="0"/>
          <w:numId w:val="1"/>
        </w:numPr>
        <w:rPr>
          <w:rFonts w:asciiTheme="minorHAnsi" w:hAnsiTheme="minorHAnsi"/>
        </w:rPr>
      </w:pPr>
      <w:r w:rsidRPr="009B2D70">
        <w:rPr>
          <w:rFonts w:asciiTheme="minorHAnsi" w:hAnsiTheme="minorHAnsi"/>
        </w:rPr>
        <w:t>Work with Department of Tourism and other relevant stakeholders to support the development of a Sanma Call Centre, based on the successful model established in Malampa.</w:t>
      </w:r>
    </w:p>
    <w:p w14:paraId="7C6BDD29" w14:textId="77777777" w:rsidR="00846D48" w:rsidRPr="009B2D70" w:rsidRDefault="009530E8" w:rsidP="00846D48">
      <w:pPr>
        <w:numPr>
          <w:ilvl w:val="0"/>
          <w:numId w:val="1"/>
        </w:numPr>
        <w:rPr>
          <w:rFonts w:asciiTheme="minorHAnsi" w:hAnsiTheme="minorHAnsi"/>
        </w:rPr>
      </w:pPr>
      <w:r w:rsidRPr="009B2D70">
        <w:rPr>
          <w:rFonts w:asciiTheme="minorHAnsi" w:hAnsiTheme="minorHAnsi"/>
        </w:rPr>
        <w:t>Continue</w:t>
      </w:r>
      <w:r w:rsidR="00846D48" w:rsidRPr="009B2D70">
        <w:rPr>
          <w:rFonts w:asciiTheme="minorHAnsi" w:hAnsiTheme="minorHAnsi"/>
        </w:rPr>
        <w:t xml:space="preserve"> to support the Department of Cooperatives in their</w:t>
      </w:r>
      <w:r w:rsidRPr="009B2D70">
        <w:rPr>
          <w:rFonts w:asciiTheme="minorHAnsi" w:hAnsiTheme="minorHAnsi"/>
        </w:rPr>
        <w:t xml:space="preserve"> establishment of </w:t>
      </w:r>
      <w:r w:rsidR="00846D48" w:rsidRPr="009B2D70">
        <w:rPr>
          <w:rFonts w:asciiTheme="minorHAnsi" w:hAnsiTheme="minorHAnsi"/>
        </w:rPr>
        <w:t>Loans and Saving Scheme</w:t>
      </w:r>
      <w:r w:rsidRPr="009B2D70">
        <w:rPr>
          <w:rFonts w:asciiTheme="minorHAnsi" w:hAnsiTheme="minorHAnsi"/>
        </w:rPr>
        <w:t>s</w:t>
      </w:r>
      <w:r w:rsidR="00846D48" w:rsidRPr="009B2D70">
        <w:rPr>
          <w:rFonts w:asciiTheme="minorHAnsi" w:hAnsiTheme="minorHAnsi"/>
        </w:rPr>
        <w:t xml:space="preserve"> for remotely based farmers in Sanma and Malampa where geographic and infrastructure constraints prevent access to banks. Proactively explore with the Department of Cooperatives ways in which the Centres’ BDS can support the development and implementation of the emergent Micro, Small and Medium Enterprise sector policy and strategy.</w:t>
      </w:r>
    </w:p>
    <w:p w14:paraId="51107284" w14:textId="77777777" w:rsidR="00846D48" w:rsidRPr="009B2D70" w:rsidRDefault="00705121" w:rsidP="00846D48">
      <w:pPr>
        <w:pStyle w:val="Heading3"/>
        <w:rPr>
          <w:rFonts w:asciiTheme="minorHAnsi" w:hAnsiTheme="minorHAnsi"/>
          <w:lang w:val="en-GB"/>
        </w:rPr>
      </w:pPr>
      <w:bookmarkStart w:id="59" w:name="_Toc289265559"/>
      <w:bookmarkStart w:id="60" w:name="_Toc289265802"/>
      <w:bookmarkStart w:id="61" w:name="_Toc289376446"/>
      <w:bookmarkStart w:id="62" w:name="_Toc323399362"/>
      <w:r w:rsidRPr="009B2D70">
        <w:rPr>
          <w:rFonts w:asciiTheme="minorHAnsi" w:hAnsiTheme="minorHAnsi"/>
          <w:lang w:val="en-GB"/>
        </w:rPr>
        <w:t>2</w:t>
      </w:r>
      <w:r w:rsidR="00846D48" w:rsidRPr="009B2D70">
        <w:rPr>
          <w:rFonts w:asciiTheme="minorHAnsi" w:hAnsiTheme="minorHAnsi"/>
          <w:lang w:val="en-GB"/>
        </w:rPr>
        <w:t>.3.3</w:t>
      </w:r>
      <w:r w:rsidR="00846D48" w:rsidRPr="009B2D70">
        <w:rPr>
          <w:rFonts w:asciiTheme="minorHAnsi" w:hAnsiTheme="minorHAnsi"/>
          <w:lang w:val="en-GB"/>
        </w:rPr>
        <w:tab/>
        <w:t>Training Provider Support Services</w:t>
      </w:r>
      <w:bookmarkEnd w:id="59"/>
      <w:bookmarkEnd w:id="60"/>
      <w:bookmarkEnd w:id="61"/>
      <w:bookmarkEnd w:id="62"/>
    </w:p>
    <w:p w14:paraId="7F061F45" w14:textId="77777777" w:rsidR="00485D54" w:rsidRPr="009B2D70" w:rsidRDefault="00485D54" w:rsidP="00846D48">
      <w:pPr>
        <w:numPr>
          <w:ilvl w:val="0"/>
          <w:numId w:val="1"/>
        </w:numPr>
        <w:rPr>
          <w:rFonts w:asciiTheme="minorHAnsi" w:hAnsiTheme="minorHAnsi"/>
        </w:rPr>
      </w:pPr>
      <w:r w:rsidRPr="009B2D70">
        <w:rPr>
          <w:rFonts w:asciiTheme="minorHAnsi" w:hAnsiTheme="minorHAnsi"/>
        </w:rPr>
        <w:t>In collaboration with VRDTCA, complete capacity building workshop program with all RTCs across the country to build capacity to access the ETF and provide follow-up support as necessary in training proposal prepar</w:t>
      </w:r>
      <w:r w:rsidR="00B85BFD" w:rsidRPr="009B2D70">
        <w:rPr>
          <w:rFonts w:asciiTheme="minorHAnsi" w:hAnsiTheme="minorHAnsi"/>
        </w:rPr>
        <w:t>ation, training deli</w:t>
      </w:r>
      <w:r w:rsidRPr="009B2D70">
        <w:rPr>
          <w:rFonts w:asciiTheme="minorHAnsi" w:hAnsiTheme="minorHAnsi"/>
        </w:rPr>
        <w:t>very (through joint conduct with more experience RTPs and trainers) and access to teaching and learning materials.</w:t>
      </w:r>
    </w:p>
    <w:p w14:paraId="28EA9ACC" w14:textId="77777777" w:rsidR="002C77DE" w:rsidRPr="009B2D70" w:rsidRDefault="002C77DE" w:rsidP="00846D48">
      <w:pPr>
        <w:numPr>
          <w:ilvl w:val="0"/>
          <w:numId w:val="1"/>
        </w:numPr>
        <w:rPr>
          <w:rFonts w:asciiTheme="minorHAnsi" w:hAnsiTheme="minorHAnsi"/>
        </w:rPr>
      </w:pPr>
      <w:r w:rsidRPr="009B2D70">
        <w:rPr>
          <w:rFonts w:asciiTheme="minorHAnsi" w:hAnsiTheme="minorHAnsi"/>
        </w:rPr>
        <w:t>Support the VNTC to provide follow-up to RTPs subsequent to the Quality Assurance Workshop conducted in March to assist in implementation of national quality standards.</w:t>
      </w:r>
    </w:p>
    <w:p w14:paraId="4B4139FC" w14:textId="77777777" w:rsidR="00485D54" w:rsidRPr="009B2D70" w:rsidRDefault="00485D54" w:rsidP="00846D48">
      <w:pPr>
        <w:numPr>
          <w:ilvl w:val="0"/>
          <w:numId w:val="1"/>
        </w:numPr>
        <w:rPr>
          <w:rFonts w:asciiTheme="minorHAnsi" w:hAnsiTheme="minorHAnsi"/>
        </w:rPr>
      </w:pPr>
      <w:r w:rsidRPr="009B2D70">
        <w:rPr>
          <w:rFonts w:asciiTheme="minorHAnsi" w:hAnsiTheme="minorHAnsi"/>
        </w:rPr>
        <w:t>In partnership with the VNTC, package newly developed Units of Competency in priority skill areas into courses for accreditation and facilitate appropriate training providers to deliver the trainings in line with VNTC processes and regulations.</w:t>
      </w:r>
    </w:p>
    <w:p w14:paraId="205A4307" w14:textId="77777777" w:rsidR="002C77DE" w:rsidRPr="009B2D70" w:rsidRDefault="002C77DE" w:rsidP="00846D48">
      <w:pPr>
        <w:numPr>
          <w:ilvl w:val="0"/>
          <w:numId w:val="1"/>
        </w:numPr>
        <w:rPr>
          <w:rFonts w:asciiTheme="minorHAnsi" w:hAnsiTheme="minorHAnsi"/>
        </w:rPr>
      </w:pPr>
      <w:r w:rsidRPr="009B2D70">
        <w:rPr>
          <w:rFonts w:asciiTheme="minorHAnsi" w:hAnsiTheme="minorHAnsi"/>
        </w:rPr>
        <w:t>In partnership with the VNTC, support the development of new Units of Competency in priority skill areas.</w:t>
      </w:r>
    </w:p>
    <w:p w14:paraId="41CA2C26" w14:textId="77777777" w:rsidR="00846D48" w:rsidRPr="009B2D70" w:rsidRDefault="00485D54" w:rsidP="00485D54">
      <w:pPr>
        <w:numPr>
          <w:ilvl w:val="0"/>
          <w:numId w:val="1"/>
        </w:numPr>
        <w:rPr>
          <w:rFonts w:asciiTheme="minorHAnsi" w:hAnsiTheme="minorHAnsi"/>
        </w:rPr>
      </w:pPr>
      <w:r w:rsidRPr="009B2D70">
        <w:rPr>
          <w:rFonts w:asciiTheme="minorHAnsi" w:hAnsiTheme="minorHAnsi"/>
        </w:rPr>
        <w:lastRenderedPageBreak/>
        <w:t>Support the VNTC to train relevant TVET sector stakeholders in the design of teaching and learning material to accompany the newly accredited units and courses.</w:t>
      </w:r>
    </w:p>
    <w:p w14:paraId="040C8806" w14:textId="77777777" w:rsidR="00846D48" w:rsidRPr="009B2D70" w:rsidRDefault="009D1D55" w:rsidP="00846D48">
      <w:pPr>
        <w:numPr>
          <w:ilvl w:val="0"/>
          <w:numId w:val="1"/>
        </w:numPr>
        <w:rPr>
          <w:rFonts w:asciiTheme="minorHAnsi" w:hAnsiTheme="minorHAnsi"/>
        </w:rPr>
      </w:pPr>
      <w:r w:rsidRPr="009B2D70">
        <w:rPr>
          <w:rFonts w:asciiTheme="minorHAnsi" w:hAnsiTheme="minorHAnsi"/>
        </w:rPr>
        <w:t>In consultation with the VNTC, identify feasible options to ensure the conduct of at least one more “Train the Trainer” course at CVTA level, with consideration of</w:t>
      </w:r>
      <w:r w:rsidR="00B85BFD" w:rsidRPr="009B2D70">
        <w:rPr>
          <w:rFonts w:asciiTheme="minorHAnsi" w:hAnsiTheme="minorHAnsi"/>
        </w:rPr>
        <w:t xml:space="preserve"> the current capacity constraints</w:t>
      </w:r>
      <w:r w:rsidRPr="009B2D70">
        <w:rPr>
          <w:rFonts w:asciiTheme="minorHAnsi" w:hAnsiTheme="minorHAnsi"/>
        </w:rPr>
        <w:t xml:space="preserve"> of VIT and VRDTCA, including conduct of the </w:t>
      </w:r>
      <w:r w:rsidR="00B85BFD" w:rsidRPr="009B2D70">
        <w:rPr>
          <w:rFonts w:asciiTheme="minorHAnsi" w:hAnsiTheme="minorHAnsi"/>
        </w:rPr>
        <w:t>course by qualified TVET Program</w:t>
      </w:r>
      <w:r w:rsidRPr="009B2D70">
        <w:rPr>
          <w:rFonts w:asciiTheme="minorHAnsi" w:hAnsiTheme="minorHAnsi"/>
        </w:rPr>
        <w:t xml:space="preserve"> staff, affiliated with VIT, and/or contracting of the APTC.</w:t>
      </w:r>
    </w:p>
    <w:p w14:paraId="6FCAF5F7" w14:textId="77777777" w:rsidR="009D1D55" w:rsidRPr="009B2D70" w:rsidRDefault="009D1D55" w:rsidP="00846D48">
      <w:pPr>
        <w:numPr>
          <w:ilvl w:val="0"/>
          <w:numId w:val="1"/>
        </w:numPr>
        <w:rPr>
          <w:rFonts w:asciiTheme="minorHAnsi" w:hAnsiTheme="minorHAnsi"/>
        </w:rPr>
      </w:pPr>
      <w:r w:rsidRPr="009B2D70">
        <w:rPr>
          <w:rFonts w:asciiTheme="minorHAnsi" w:hAnsiTheme="minorHAnsi"/>
        </w:rPr>
        <w:t>Support the VNTC in its revision of the TVET trainers</w:t>
      </w:r>
      <w:r w:rsidR="00B85BFD" w:rsidRPr="009B2D70">
        <w:rPr>
          <w:rFonts w:asciiTheme="minorHAnsi" w:hAnsiTheme="minorHAnsi"/>
        </w:rPr>
        <w:t>’</w:t>
      </w:r>
      <w:r w:rsidRPr="009B2D70">
        <w:rPr>
          <w:rFonts w:asciiTheme="minorHAnsi" w:hAnsiTheme="minorHAnsi"/>
        </w:rPr>
        <w:t xml:space="preserve"> qualification framework and current course content and levels.</w:t>
      </w:r>
    </w:p>
    <w:p w14:paraId="584AEFE0" w14:textId="77777777" w:rsidR="009D1D55" w:rsidRPr="009B2D70" w:rsidRDefault="009D1D55" w:rsidP="00846D48">
      <w:pPr>
        <w:numPr>
          <w:ilvl w:val="0"/>
          <w:numId w:val="1"/>
        </w:numPr>
        <w:rPr>
          <w:rFonts w:asciiTheme="minorHAnsi" w:hAnsiTheme="minorHAnsi"/>
        </w:rPr>
      </w:pPr>
      <w:r w:rsidRPr="009B2D70">
        <w:rPr>
          <w:rFonts w:asciiTheme="minorHAnsi" w:hAnsiTheme="minorHAnsi"/>
        </w:rPr>
        <w:t>Work with RTPs to facilitate qualified local, part-time trainers to be affiliated under their scope of registration and assist with trainer induction programs.</w:t>
      </w:r>
    </w:p>
    <w:p w14:paraId="4DE15AFC" w14:textId="77777777" w:rsidR="009D1D55" w:rsidRPr="009B2D70" w:rsidRDefault="00B85BFD" w:rsidP="00846D48">
      <w:pPr>
        <w:numPr>
          <w:ilvl w:val="0"/>
          <w:numId w:val="1"/>
        </w:numPr>
        <w:rPr>
          <w:rFonts w:asciiTheme="minorHAnsi" w:hAnsiTheme="minorHAnsi"/>
        </w:rPr>
      </w:pPr>
      <w:r w:rsidRPr="009B2D70">
        <w:rPr>
          <w:rFonts w:asciiTheme="minorHAnsi" w:hAnsiTheme="minorHAnsi"/>
        </w:rPr>
        <w:t>Support the VNTC in systematis</w:t>
      </w:r>
      <w:r w:rsidR="002C77DE" w:rsidRPr="009B2D70">
        <w:rPr>
          <w:rFonts w:asciiTheme="minorHAnsi" w:hAnsiTheme="minorHAnsi"/>
        </w:rPr>
        <w:t>ing key data to improve its communication processes and systems.</w:t>
      </w:r>
    </w:p>
    <w:p w14:paraId="596C63FD" w14:textId="77777777" w:rsidR="00283EF1" w:rsidRPr="009B2D70" w:rsidRDefault="002C77DE" w:rsidP="00846D48">
      <w:pPr>
        <w:numPr>
          <w:ilvl w:val="0"/>
          <w:numId w:val="1"/>
        </w:numPr>
        <w:rPr>
          <w:rFonts w:asciiTheme="minorHAnsi" w:hAnsiTheme="minorHAnsi"/>
        </w:rPr>
      </w:pPr>
      <w:r w:rsidRPr="009B2D70">
        <w:rPr>
          <w:rFonts w:asciiTheme="minorHAnsi" w:hAnsiTheme="minorHAnsi"/>
        </w:rPr>
        <w:t xml:space="preserve">Work with the </w:t>
      </w:r>
      <w:proofErr w:type="spellStart"/>
      <w:r w:rsidRPr="009B2D70">
        <w:rPr>
          <w:rFonts w:asciiTheme="minorHAnsi" w:hAnsiTheme="minorHAnsi"/>
        </w:rPr>
        <w:t>Mavea</w:t>
      </w:r>
      <w:proofErr w:type="spellEnd"/>
      <w:r w:rsidRPr="009B2D70">
        <w:rPr>
          <w:rFonts w:asciiTheme="minorHAnsi" w:hAnsiTheme="minorHAnsi"/>
        </w:rPr>
        <w:t xml:space="preserve"> community in </w:t>
      </w:r>
      <w:proofErr w:type="spellStart"/>
      <w:r w:rsidRPr="009B2D70">
        <w:rPr>
          <w:rFonts w:asciiTheme="minorHAnsi" w:hAnsiTheme="minorHAnsi"/>
        </w:rPr>
        <w:t>Sanma</w:t>
      </w:r>
      <w:proofErr w:type="spellEnd"/>
      <w:r w:rsidRPr="009B2D70">
        <w:rPr>
          <w:rFonts w:asciiTheme="minorHAnsi" w:hAnsiTheme="minorHAnsi"/>
        </w:rPr>
        <w:t>, in consultation with VNTC and VRDTCA, to support the establishment of a RTC.</w:t>
      </w:r>
      <w:bookmarkStart w:id="63" w:name="_Toc289265560"/>
      <w:bookmarkStart w:id="64" w:name="_Toc289265803"/>
      <w:bookmarkStart w:id="65" w:name="_Toc289376447"/>
    </w:p>
    <w:p w14:paraId="2E44D713" w14:textId="77777777" w:rsidR="00846D48" w:rsidRPr="009B2D70" w:rsidRDefault="00705121" w:rsidP="00846D48">
      <w:pPr>
        <w:pStyle w:val="Heading3"/>
        <w:rPr>
          <w:rFonts w:asciiTheme="minorHAnsi" w:hAnsiTheme="minorHAnsi"/>
          <w:lang w:val="en-GB"/>
        </w:rPr>
      </w:pPr>
      <w:bookmarkStart w:id="66" w:name="_Toc323399363"/>
      <w:r w:rsidRPr="009B2D70">
        <w:rPr>
          <w:rFonts w:asciiTheme="minorHAnsi" w:hAnsiTheme="minorHAnsi"/>
          <w:lang w:val="en-GB"/>
        </w:rPr>
        <w:t>2</w:t>
      </w:r>
      <w:r w:rsidR="00846D48" w:rsidRPr="009B2D70">
        <w:rPr>
          <w:rFonts w:asciiTheme="minorHAnsi" w:hAnsiTheme="minorHAnsi"/>
          <w:lang w:val="en-GB"/>
        </w:rPr>
        <w:t>.3.4</w:t>
      </w:r>
      <w:r w:rsidR="00846D48" w:rsidRPr="009B2D70">
        <w:rPr>
          <w:rFonts w:asciiTheme="minorHAnsi" w:hAnsiTheme="minorHAnsi"/>
          <w:lang w:val="en-GB"/>
        </w:rPr>
        <w:tab/>
        <w:t>Information Technology Services (ITS)</w:t>
      </w:r>
      <w:bookmarkEnd w:id="63"/>
      <w:bookmarkEnd w:id="64"/>
      <w:bookmarkEnd w:id="65"/>
      <w:bookmarkEnd w:id="66"/>
    </w:p>
    <w:p w14:paraId="21FBB88A" w14:textId="77777777" w:rsidR="00846D48" w:rsidRPr="009B2D70" w:rsidRDefault="00283EF1" w:rsidP="00846D48">
      <w:pPr>
        <w:numPr>
          <w:ilvl w:val="0"/>
          <w:numId w:val="1"/>
        </w:numPr>
        <w:rPr>
          <w:rFonts w:asciiTheme="minorHAnsi" w:hAnsiTheme="minorHAnsi"/>
        </w:rPr>
      </w:pPr>
      <w:r w:rsidRPr="009B2D70">
        <w:rPr>
          <w:rFonts w:asciiTheme="minorHAnsi" w:hAnsiTheme="minorHAnsi"/>
        </w:rPr>
        <w:t>Continue coordination of accredited IT courses to targeted TVET Centre clients to maximise impact of other TVET Centre interventions.</w:t>
      </w:r>
    </w:p>
    <w:p w14:paraId="50E3484B" w14:textId="77777777" w:rsidR="00283EF1" w:rsidRPr="009B2D70" w:rsidRDefault="00846D48" w:rsidP="00846D48">
      <w:pPr>
        <w:numPr>
          <w:ilvl w:val="0"/>
          <w:numId w:val="1"/>
        </w:numPr>
        <w:rPr>
          <w:rFonts w:asciiTheme="minorHAnsi" w:hAnsiTheme="minorHAnsi"/>
        </w:rPr>
      </w:pPr>
      <w:r w:rsidRPr="009B2D70">
        <w:rPr>
          <w:rFonts w:asciiTheme="minorHAnsi" w:hAnsiTheme="minorHAnsi"/>
        </w:rPr>
        <w:t>Conduct of IT-related professional development trainings for TVET Centre staff.</w:t>
      </w:r>
      <w:bookmarkStart w:id="67" w:name="_Toc289265561"/>
      <w:bookmarkStart w:id="68" w:name="_Toc289265804"/>
      <w:bookmarkStart w:id="69" w:name="_Toc289376448"/>
    </w:p>
    <w:p w14:paraId="3A594DFF" w14:textId="77777777" w:rsidR="00846D48" w:rsidRPr="009B2D70" w:rsidRDefault="00705121" w:rsidP="00846D48">
      <w:pPr>
        <w:pStyle w:val="Heading3"/>
        <w:rPr>
          <w:rFonts w:asciiTheme="minorHAnsi" w:hAnsiTheme="minorHAnsi"/>
          <w:lang w:val="en-GB"/>
        </w:rPr>
      </w:pPr>
      <w:bookmarkStart w:id="70" w:name="_Toc323399364"/>
      <w:r w:rsidRPr="009B2D70">
        <w:rPr>
          <w:rFonts w:asciiTheme="minorHAnsi" w:hAnsiTheme="minorHAnsi"/>
          <w:lang w:val="en-GB"/>
        </w:rPr>
        <w:t>2</w:t>
      </w:r>
      <w:r w:rsidR="00846D48" w:rsidRPr="009B2D70">
        <w:rPr>
          <w:rFonts w:asciiTheme="minorHAnsi" w:hAnsiTheme="minorHAnsi"/>
          <w:lang w:val="en-GB"/>
        </w:rPr>
        <w:t>.3.5</w:t>
      </w:r>
      <w:r w:rsidR="00846D48" w:rsidRPr="009B2D70">
        <w:rPr>
          <w:rFonts w:asciiTheme="minorHAnsi" w:hAnsiTheme="minorHAnsi"/>
          <w:lang w:val="en-GB"/>
        </w:rPr>
        <w:tab/>
        <w:t>TVET Centre Staff Capacity Building</w:t>
      </w:r>
      <w:bookmarkEnd w:id="67"/>
      <w:bookmarkEnd w:id="68"/>
      <w:bookmarkEnd w:id="69"/>
      <w:r w:rsidR="00283EF1" w:rsidRPr="009B2D70">
        <w:rPr>
          <w:rFonts w:asciiTheme="minorHAnsi" w:hAnsiTheme="minorHAnsi"/>
          <w:lang w:val="en-GB"/>
        </w:rPr>
        <w:t xml:space="preserve"> and Recruitment</w:t>
      </w:r>
      <w:bookmarkEnd w:id="70"/>
    </w:p>
    <w:p w14:paraId="0F1206EE" w14:textId="77777777" w:rsidR="00846D48" w:rsidRPr="009B2D70" w:rsidRDefault="00846D48" w:rsidP="00846D48">
      <w:pPr>
        <w:numPr>
          <w:ilvl w:val="0"/>
          <w:numId w:val="1"/>
        </w:numPr>
        <w:rPr>
          <w:rFonts w:asciiTheme="minorHAnsi" w:hAnsiTheme="minorHAnsi"/>
        </w:rPr>
      </w:pPr>
      <w:r w:rsidRPr="009B2D70">
        <w:rPr>
          <w:rFonts w:asciiTheme="minorHAnsi" w:hAnsiTheme="minorHAnsi"/>
        </w:rPr>
        <w:t>Continuation of quarterly whole-of-team capacity building and strategic planning workshops.</w:t>
      </w:r>
    </w:p>
    <w:p w14:paraId="41A0A364" w14:textId="77777777" w:rsidR="00283EF1" w:rsidRPr="009B2D70" w:rsidRDefault="00283EF1" w:rsidP="00846D48">
      <w:pPr>
        <w:numPr>
          <w:ilvl w:val="0"/>
          <w:numId w:val="1"/>
        </w:numPr>
        <w:rPr>
          <w:rFonts w:asciiTheme="minorHAnsi" w:hAnsiTheme="minorHAnsi"/>
        </w:rPr>
      </w:pPr>
      <w:r w:rsidRPr="009B2D70">
        <w:rPr>
          <w:rFonts w:asciiTheme="minorHAnsi" w:hAnsiTheme="minorHAnsi"/>
        </w:rPr>
        <w:t>Continuation of monthly senior management meetings to ensure coordination of activity and to provide direction and advice on planning and implementation of priority goals.</w:t>
      </w:r>
    </w:p>
    <w:p w14:paraId="4AA8FF61" w14:textId="77777777" w:rsidR="00283EF1" w:rsidRPr="009B2D70" w:rsidRDefault="00283EF1" w:rsidP="00846D48">
      <w:pPr>
        <w:numPr>
          <w:ilvl w:val="0"/>
          <w:numId w:val="1"/>
        </w:numPr>
        <w:rPr>
          <w:rFonts w:asciiTheme="minorHAnsi" w:hAnsiTheme="minorHAnsi"/>
        </w:rPr>
      </w:pPr>
      <w:r w:rsidRPr="009B2D70">
        <w:rPr>
          <w:rFonts w:asciiTheme="minorHAnsi" w:hAnsiTheme="minorHAnsi"/>
        </w:rPr>
        <w:t xml:space="preserve">Commence recruitment for replacement of Program Coordinator post June and ensure recruitment of local consultant for the </w:t>
      </w:r>
      <w:r w:rsidR="002A2D29" w:rsidRPr="009B2D70">
        <w:rPr>
          <w:rFonts w:asciiTheme="minorHAnsi" w:hAnsiTheme="minorHAnsi"/>
        </w:rPr>
        <w:t>revision</w:t>
      </w:r>
      <w:r w:rsidRPr="009B2D70">
        <w:rPr>
          <w:rFonts w:asciiTheme="minorHAnsi" w:hAnsiTheme="minorHAnsi"/>
        </w:rPr>
        <w:t xml:space="preserve"> of the Skills Development Plan takes in</w:t>
      </w:r>
      <w:r w:rsidR="002A2D29" w:rsidRPr="009B2D70">
        <w:rPr>
          <w:rFonts w:asciiTheme="minorHAnsi" w:hAnsiTheme="minorHAnsi"/>
        </w:rPr>
        <w:t>t</w:t>
      </w:r>
      <w:r w:rsidRPr="009B2D70">
        <w:rPr>
          <w:rFonts w:asciiTheme="minorHAnsi" w:hAnsiTheme="minorHAnsi"/>
        </w:rPr>
        <w:t xml:space="preserve">o account possible undertaking of BDS Manager role post </w:t>
      </w:r>
      <w:r w:rsidR="00B85BFD" w:rsidRPr="009B2D70">
        <w:rPr>
          <w:rFonts w:asciiTheme="minorHAnsi" w:hAnsiTheme="minorHAnsi"/>
        </w:rPr>
        <w:t xml:space="preserve">likely </w:t>
      </w:r>
      <w:r w:rsidRPr="009B2D70">
        <w:rPr>
          <w:rFonts w:asciiTheme="minorHAnsi" w:hAnsiTheme="minorHAnsi"/>
        </w:rPr>
        <w:t>departure of current BDS Manager.</w:t>
      </w:r>
    </w:p>
    <w:p w14:paraId="505A1417" w14:textId="77777777" w:rsidR="00283EF1" w:rsidRPr="009B2D70" w:rsidRDefault="00283EF1" w:rsidP="00846D48">
      <w:pPr>
        <w:numPr>
          <w:ilvl w:val="0"/>
          <w:numId w:val="1"/>
        </w:numPr>
        <w:rPr>
          <w:rFonts w:asciiTheme="minorHAnsi" w:hAnsiTheme="minorHAnsi"/>
        </w:rPr>
      </w:pPr>
      <w:r w:rsidRPr="009B2D70">
        <w:rPr>
          <w:rFonts w:asciiTheme="minorHAnsi" w:hAnsiTheme="minorHAnsi"/>
        </w:rPr>
        <w:t xml:space="preserve">Undertake performance assessment </w:t>
      </w:r>
      <w:proofErr w:type="spellStart"/>
      <w:r w:rsidRPr="009B2D70">
        <w:rPr>
          <w:rFonts w:asciiTheme="minorHAnsi" w:hAnsiTheme="minorHAnsi"/>
        </w:rPr>
        <w:t>ofall</w:t>
      </w:r>
      <w:proofErr w:type="spellEnd"/>
      <w:r w:rsidRPr="009B2D70">
        <w:rPr>
          <w:rFonts w:asciiTheme="minorHAnsi" w:hAnsiTheme="minorHAnsi"/>
        </w:rPr>
        <w:t xml:space="preserve"> staff prior to end of Phase 2 Program to determine </w:t>
      </w:r>
      <w:r w:rsidR="002A2D29" w:rsidRPr="009B2D70">
        <w:rPr>
          <w:rFonts w:asciiTheme="minorHAnsi" w:hAnsiTheme="minorHAnsi"/>
        </w:rPr>
        <w:t>suitability for continuation into the Phase 3 Program and identify additional future staff resourcing needs.</w:t>
      </w:r>
    </w:p>
    <w:p w14:paraId="2AC186C1" w14:textId="77777777" w:rsidR="00846D48" w:rsidRPr="009B2D70" w:rsidRDefault="00705121" w:rsidP="00742596">
      <w:pPr>
        <w:pStyle w:val="Heading2"/>
        <w:rPr>
          <w:rFonts w:asciiTheme="minorHAnsi" w:hAnsiTheme="minorHAnsi"/>
          <w:lang w:val="en-GB"/>
        </w:rPr>
      </w:pPr>
      <w:bookmarkStart w:id="71" w:name="_Toc289265562"/>
      <w:bookmarkStart w:id="72" w:name="_Toc289265805"/>
      <w:bookmarkStart w:id="73" w:name="_Toc289376449"/>
      <w:bookmarkStart w:id="74" w:name="_Toc323399365"/>
      <w:bookmarkStart w:id="75" w:name="_Toc323462487"/>
      <w:r w:rsidRPr="009B2D70">
        <w:rPr>
          <w:rFonts w:asciiTheme="minorHAnsi" w:hAnsiTheme="minorHAnsi"/>
          <w:lang w:val="en-GB"/>
        </w:rPr>
        <w:t>2</w:t>
      </w:r>
      <w:r w:rsidR="00846D48" w:rsidRPr="009B2D70">
        <w:rPr>
          <w:rFonts w:asciiTheme="minorHAnsi" w:hAnsiTheme="minorHAnsi"/>
          <w:lang w:val="en-GB"/>
        </w:rPr>
        <w:t>.4</w:t>
      </w:r>
      <w:r w:rsidR="00846D48" w:rsidRPr="009B2D70">
        <w:rPr>
          <w:rFonts w:asciiTheme="minorHAnsi" w:hAnsiTheme="minorHAnsi"/>
          <w:lang w:val="en-GB"/>
        </w:rPr>
        <w:tab/>
        <w:t>Cross-Cutting Program Activity</w:t>
      </w:r>
      <w:bookmarkEnd w:id="71"/>
      <w:bookmarkEnd w:id="72"/>
      <w:bookmarkEnd w:id="73"/>
      <w:bookmarkEnd w:id="74"/>
      <w:bookmarkEnd w:id="75"/>
    </w:p>
    <w:p w14:paraId="5D5B7021" w14:textId="77777777" w:rsidR="00846D48" w:rsidRPr="009B2D70" w:rsidRDefault="00705121" w:rsidP="00846D48">
      <w:pPr>
        <w:pStyle w:val="Heading3"/>
        <w:rPr>
          <w:rFonts w:asciiTheme="minorHAnsi" w:hAnsiTheme="minorHAnsi"/>
          <w:lang w:val="en-GB"/>
        </w:rPr>
      </w:pPr>
      <w:bookmarkStart w:id="76" w:name="_Toc289265563"/>
      <w:bookmarkStart w:id="77" w:name="_Toc289265806"/>
      <w:bookmarkStart w:id="78" w:name="_Toc289376450"/>
      <w:bookmarkStart w:id="79" w:name="_Toc323399366"/>
      <w:r w:rsidRPr="009B2D70">
        <w:rPr>
          <w:rFonts w:asciiTheme="minorHAnsi" w:hAnsiTheme="minorHAnsi"/>
          <w:lang w:val="en-GB"/>
        </w:rPr>
        <w:t>2</w:t>
      </w:r>
      <w:r w:rsidR="00846D48" w:rsidRPr="009B2D70">
        <w:rPr>
          <w:rFonts w:asciiTheme="minorHAnsi" w:hAnsiTheme="minorHAnsi"/>
          <w:lang w:val="en-GB"/>
        </w:rPr>
        <w:t>.4.1</w:t>
      </w:r>
      <w:r w:rsidR="00846D48" w:rsidRPr="009B2D70">
        <w:rPr>
          <w:rFonts w:asciiTheme="minorHAnsi" w:hAnsiTheme="minorHAnsi"/>
          <w:lang w:val="en-GB"/>
        </w:rPr>
        <w:tab/>
        <w:t>Program Management</w:t>
      </w:r>
      <w:bookmarkEnd w:id="76"/>
      <w:bookmarkEnd w:id="77"/>
      <w:bookmarkEnd w:id="78"/>
      <w:bookmarkEnd w:id="79"/>
    </w:p>
    <w:p w14:paraId="17E98FE9" w14:textId="77777777" w:rsidR="00846D48" w:rsidRPr="009B2D70" w:rsidRDefault="002A2D29" w:rsidP="00846D48">
      <w:pPr>
        <w:numPr>
          <w:ilvl w:val="0"/>
          <w:numId w:val="1"/>
        </w:numPr>
        <w:rPr>
          <w:rFonts w:asciiTheme="minorHAnsi" w:hAnsiTheme="minorHAnsi"/>
          <w:lang w:val="en-GB"/>
        </w:rPr>
      </w:pPr>
      <w:bookmarkStart w:id="80" w:name="_Toc289265564"/>
      <w:bookmarkStart w:id="81" w:name="_Toc289265807"/>
      <w:r w:rsidRPr="009B2D70">
        <w:rPr>
          <w:rFonts w:asciiTheme="minorHAnsi" w:hAnsiTheme="minorHAnsi"/>
          <w:lang w:val="en-GB"/>
        </w:rPr>
        <w:t>Continue to update the Program Management Manual to ensure that it reflects current best practice and contextual realities.</w:t>
      </w:r>
    </w:p>
    <w:p w14:paraId="7642A306" w14:textId="77777777" w:rsidR="00846D48" w:rsidRPr="009B2D70" w:rsidRDefault="00C942A9" w:rsidP="00846D48">
      <w:pPr>
        <w:numPr>
          <w:ilvl w:val="0"/>
          <w:numId w:val="1"/>
        </w:numPr>
        <w:rPr>
          <w:rFonts w:asciiTheme="minorHAnsi" w:hAnsiTheme="minorHAnsi"/>
          <w:lang w:val="en-GB"/>
        </w:rPr>
      </w:pPr>
      <w:r w:rsidRPr="009B2D70">
        <w:rPr>
          <w:rFonts w:asciiTheme="minorHAnsi" w:hAnsiTheme="minorHAnsi"/>
          <w:lang w:val="en-GB"/>
        </w:rPr>
        <w:t>Provide regular</w:t>
      </w:r>
      <w:r w:rsidR="008F3C55">
        <w:rPr>
          <w:rFonts w:asciiTheme="minorHAnsi" w:hAnsiTheme="minorHAnsi"/>
          <w:lang w:val="en-GB"/>
        </w:rPr>
        <w:t xml:space="preserve"> </w:t>
      </w:r>
      <w:r w:rsidR="00D01507" w:rsidRPr="009B2D70">
        <w:rPr>
          <w:rFonts w:asciiTheme="minorHAnsi" w:hAnsiTheme="minorHAnsi"/>
          <w:lang w:val="en-GB"/>
        </w:rPr>
        <w:t xml:space="preserve">monthly </w:t>
      </w:r>
      <w:r w:rsidR="002A2D29" w:rsidRPr="009B2D70">
        <w:rPr>
          <w:rFonts w:asciiTheme="minorHAnsi" w:hAnsiTheme="minorHAnsi"/>
          <w:lang w:val="en-GB"/>
        </w:rPr>
        <w:t>reporting o</w:t>
      </w:r>
      <w:r w:rsidRPr="009B2D70">
        <w:rPr>
          <w:rFonts w:asciiTheme="minorHAnsi" w:hAnsiTheme="minorHAnsi"/>
          <w:lang w:val="en-GB"/>
        </w:rPr>
        <w:t xml:space="preserve">n Operational and </w:t>
      </w:r>
      <w:proofErr w:type="spellStart"/>
      <w:r w:rsidRPr="009B2D70">
        <w:rPr>
          <w:rFonts w:asciiTheme="minorHAnsi" w:hAnsiTheme="minorHAnsi"/>
          <w:lang w:val="en-GB"/>
        </w:rPr>
        <w:t>Imprest</w:t>
      </w:r>
      <w:proofErr w:type="spellEnd"/>
      <w:r w:rsidRPr="009B2D70">
        <w:rPr>
          <w:rFonts w:asciiTheme="minorHAnsi" w:hAnsiTheme="minorHAnsi"/>
          <w:lang w:val="en-GB"/>
        </w:rPr>
        <w:t xml:space="preserve"> expend</w:t>
      </w:r>
      <w:r w:rsidR="002A2D29" w:rsidRPr="009B2D70">
        <w:rPr>
          <w:rFonts w:asciiTheme="minorHAnsi" w:hAnsiTheme="minorHAnsi"/>
          <w:lang w:val="en-GB"/>
        </w:rPr>
        <w:t xml:space="preserve">iture to ensure full and appropriate disbursement and acquittal of Program funding by the end of the Phase 2 </w:t>
      </w:r>
      <w:r w:rsidR="002A2D29" w:rsidRPr="009B2D70">
        <w:rPr>
          <w:rFonts w:asciiTheme="minorHAnsi" w:hAnsiTheme="minorHAnsi"/>
          <w:lang w:val="en-GB"/>
        </w:rPr>
        <w:lastRenderedPageBreak/>
        <w:t>Program.</w:t>
      </w:r>
    </w:p>
    <w:p w14:paraId="75752506" w14:textId="77777777" w:rsidR="002A2D29" w:rsidRPr="009B2D70" w:rsidRDefault="002A2D29" w:rsidP="002A2D29">
      <w:pPr>
        <w:numPr>
          <w:ilvl w:val="0"/>
          <w:numId w:val="1"/>
        </w:numPr>
        <w:rPr>
          <w:rFonts w:asciiTheme="minorHAnsi" w:hAnsiTheme="minorHAnsi"/>
        </w:rPr>
      </w:pPr>
      <w:r w:rsidRPr="009B2D70">
        <w:rPr>
          <w:rFonts w:asciiTheme="minorHAnsi" w:hAnsiTheme="minorHAnsi"/>
        </w:rPr>
        <w:t xml:space="preserve">Ensure all </w:t>
      </w:r>
      <w:r w:rsidR="00C942A9" w:rsidRPr="009B2D70">
        <w:rPr>
          <w:rFonts w:asciiTheme="minorHAnsi" w:hAnsiTheme="minorHAnsi"/>
        </w:rPr>
        <w:t xml:space="preserve">in-country </w:t>
      </w:r>
      <w:r w:rsidRPr="009B2D70">
        <w:rPr>
          <w:rFonts w:asciiTheme="minorHAnsi" w:hAnsiTheme="minorHAnsi"/>
        </w:rPr>
        <w:t>fi</w:t>
      </w:r>
      <w:r w:rsidR="00C942A9" w:rsidRPr="009B2D70">
        <w:rPr>
          <w:rFonts w:asciiTheme="minorHAnsi" w:hAnsiTheme="minorHAnsi"/>
        </w:rPr>
        <w:t xml:space="preserve">ling of all </w:t>
      </w:r>
      <w:proofErr w:type="spellStart"/>
      <w:r w:rsidR="00C942A9" w:rsidRPr="009B2D70">
        <w:rPr>
          <w:rFonts w:asciiTheme="minorHAnsi" w:hAnsiTheme="minorHAnsi"/>
        </w:rPr>
        <w:t>Imprest</w:t>
      </w:r>
      <w:proofErr w:type="spellEnd"/>
      <w:r w:rsidR="00C942A9" w:rsidRPr="009B2D70">
        <w:rPr>
          <w:rFonts w:asciiTheme="minorHAnsi" w:hAnsiTheme="minorHAnsi"/>
        </w:rPr>
        <w:t xml:space="preserve"> grant activity and expenditure</w:t>
      </w:r>
      <w:r w:rsidRPr="009B2D70">
        <w:rPr>
          <w:rFonts w:asciiTheme="minorHAnsi" w:hAnsiTheme="minorHAnsi"/>
        </w:rPr>
        <w:t xml:space="preserve"> throughout the planning/ implementation/</w:t>
      </w:r>
      <w:r w:rsidR="00C942A9" w:rsidRPr="009B2D70">
        <w:rPr>
          <w:rFonts w:asciiTheme="minorHAnsi" w:hAnsiTheme="minorHAnsi"/>
        </w:rPr>
        <w:t xml:space="preserve"> evaluation cycle is i</w:t>
      </w:r>
      <w:r w:rsidRPr="009B2D70">
        <w:rPr>
          <w:rFonts w:asciiTheme="minorHAnsi" w:hAnsiTheme="minorHAnsi"/>
        </w:rPr>
        <w:t>n order.</w:t>
      </w:r>
    </w:p>
    <w:p w14:paraId="2A1A3D29" w14:textId="77777777" w:rsidR="002A2D29" w:rsidRPr="009B2D70" w:rsidRDefault="00C942A9" w:rsidP="00846D48">
      <w:pPr>
        <w:numPr>
          <w:ilvl w:val="0"/>
          <w:numId w:val="1"/>
        </w:numPr>
        <w:rPr>
          <w:rFonts w:asciiTheme="minorHAnsi" w:hAnsiTheme="minorHAnsi"/>
          <w:lang w:val="en-GB"/>
        </w:rPr>
      </w:pPr>
      <w:r w:rsidRPr="009B2D70">
        <w:rPr>
          <w:rFonts w:asciiTheme="minorHAnsi" w:hAnsiTheme="minorHAnsi"/>
          <w:lang w:val="en-GB"/>
        </w:rPr>
        <w:t>Continue to regularly update the asset register across the three Program sites.</w:t>
      </w:r>
    </w:p>
    <w:p w14:paraId="4BA9099D" w14:textId="77777777" w:rsidR="002A2D29" w:rsidRDefault="00846D48" w:rsidP="002A2D29">
      <w:pPr>
        <w:numPr>
          <w:ilvl w:val="0"/>
          <w:numId w:val="1"/>
        </w:numPr>
        <w:rPr>
          <w:rFonts w:asciiTheme="minorHAnsi" w:hAnsiTheme="minorHAnsi"/>
          <w:lang w:val="en-GB"/>
        </w:rPr>
      </w:pPr>
      <w:r w:rsidRPr="009B2D70">
        <w:rPr>
          <w:rFonts w:asciiTheme="minorHAnsi" w:hAnsiTheme="minorHAnsi"/>
          <w:lang w:val="en-GB"/>
        </w:rPr>
        <w:t>W</w:t>
      </w:r>
      <w:r w:rsidR="00C942A9" w:rsidRPr="009B2D70">
        <w:rPr>
          <w:rFonts w:asciiTheme="minorHAnsi" w:hAnsiTheme="minorHAnsi"/>
          <w:lang w:val="en-GB"/>
        </w:rPr>
        <w:t>ork with the M&amp;E Adviser and Program</w:t>
      </w:r>
      <w:r w:rsidRPr="009B2D70">
        <w:rPr>
          <w:rFonts w:asciiTheme="minorHAnsi" w:hAnsiTheme="minorHAnsi"/>
          <w:lang w:val="en-GB"/>
        </w:rPr>
        <w:t xml:space="preserve"> stakeholders to </w:t>
      </w:r>
      <w:r w:rsidR="00C942A9" w:rsidRPr="009B2D70">
        <w:rPr>
          <w:rFonts w:asciiTheme="minorHAnsi" w:hAnsiTheme="minorHAnsi"/>
          <w:lang w:val="en-GB"/>
        </w:rPr>
        <w:t>prepare the Program Completion Report.</w:t>
      </w:r>
    </w:p>
    <w:p w14:paraId="2EE29CF6" w14:textId="77777777" w:rsidR="008F3C55" w:rsidRPr="009B2D70" w:rsidRDefault="008F3C55" w:rsidP="002A2D29">
      <w:pPr>
        <w:numPr>
          <w:ilvl w:val="0"/>
          <w:numId w:val="1"/>
        </w:numPr>
        <w:rPr>
          <w:rFonts w:asciiTheme="minorHAnsi" w:hAnsiTheme="minorHAnsi"/>
          <w:lang w:val="en-GB"/>
        </w:rPr>
      </w:pPr>
      <w:r>
        <w:rPr>
          <w:rFonts w:asciiTheme="minorHAnsi" w:hAnsiTheme="minorHAnsi"/>
          <w:lang w:val="en-GB"/>
        </w:rPr>
        <w:t xml:space="preserve">Purchase new Team Leader vehicle to replace Phase 1 </w:t>
      </w:r>
      <w:proofErr w:type="spellStart"/>
      <w:r>
        <w:rPr>
          <w:rFonts w:asciiTheme="minorHAnsi" w:hAnsiTheme="minorHAnsi"/>
          <w:lang w:val="en-GB"/>
        </w:rPr>
        <w:t>vechicle</w:t>
      </w:r>
      <w:proofErr w:type="spellEnd"/>
      <w:r>
        <w:rPr>
          <w:rFonts w:asciiTheme="minorHAnsi" w:hAnsiTheme="minorHAnsi"/>
          <w:lang w:val="en-GB"/>
        </w:rPr>
        <w:t>.</w:t>
      </w:r>
    </w:p>
    <w:p w14:paraId="46AC4370" w14:textId="77777777" w:rsidR="002A2D29" w:rsidRPr="009B2D70" w:rsidRDefault="00C942A9" w:rsidP="00D577C0">
      <w:pPr>
        <w:numPr>
          <w:ilvl w:val="0"/>
          <w:numId w:val="1"/>
        </w:numPr>
        <w:rPr>
          <w:rFonts w:asciiTheme="minorHAnsi" w:hAnsiTheme="minorHAnsi"/>
          <w:lang w:val="en-GB"/>
        </w:rPr>
      </w:pPr>
      <w:r w:rsidRPr="009B2D70">
        <w:rPr>
          <w:rFonts w:asciiTheme="minorHAnsi" w:hAnsiTheme="minorHAnsi"/>
          <w:lang w:val="en-GB"/>
        </w:rPr>
        <w:t xml:space="preserve">In consultation with AusAID and </w:t>
      </w:r>
      <w:proofErr w:type="spellStart"/>
      <w:r w:rsidRPr="009B2D70">
        <w:rPr>
          <w:rFonts w:asciiTheme="minorHAnsi" w:hAnsiTheme="minorHAnsi"/>
          <w:lang w:val="en-GB"/>
        </w:rPr>
        <w:t>GoV</w:t>
      </w:r>
      <w:proofErr w:type="spellEnd"/>
      <w:r w:rsidRPr="009B2D70">
        <w:rPr>
          <w:rFonts w:asciiTheme="minorHAnsi" w:hAnsiTheme="minorHAnsi"/>
          <w:lang w:val="en-GB"/>
        </w:rPr>
        <w:t xml:space="preserve"> stakeholders develop a handover plan including development of a policy for the appropriate delegation of Program assets and accessible archiving of Program do</w:t>
      </w:r>
      <w:r w:rsidR="0086157F" w:rsidRPr="009B2D70">
        <w:rPr>
          <w:rFonts w:asciiTheme="minorHAnsi" w:hAnsiTheme="minorHAnsi"/>
          <w:lang w:val="en-GB"/>
        </w:rPr>
        <w:t>cumentation, as well as hand-over of Phase 1 tools.</w:t>
      </w:r>
    </w:p>
    <w:p w14:paraId="59A3F0C2" w14:textId="77777777" w:rsidR="001B2AE9" w:rsidRPr="009B2D70" w:rsidRDefault="00705121" w:rsidP="001B2AE9">
      <w:pPr>
        <w:pStyle w:val="Heading3"/>
        <w:rPr>
          <w:rFonts w:asciiTheme="minorHAnsi" w:hAnsiTheme="minorHAnsi"/>
          <w:lang w:val="en-GB"/>
        </w:rPr>
      </w:pPr>
      <w:bookmarkStart w:id="82" w:name="_Toc323399367"/>
      <w:r w:rsidRPr="009B2D70">
        <w:rPr>
          <w:rFonts w:asciiTheme="minorHAnsi" w:hAnsiTheme="minorHAnsi"/>
          <w:lang w:val="en-GB"/>
        </w:rPr>
        <w:t>2</w:t>
      </w:r>
      <w:r w:rsidR="002A2D29" w:rsidRPr="009B2D70">
        <w:rPr>
          <w:rFonts w:asciiTheme="minorHAnsi" w:hAnsiTheme="minorHAnsi"/>
          <w:lang w:val="en-GB"/>
        </w:rPr>
        <w:t>.4.2</w:t>
      </w:r>
      <w:r w:rsidR="002A2D29" w:rsidRPr="009B2D70">
        <w:rPr>
          <w:rFonts w:asciiTheme="minorHAnsi" w:hAnsiTheme="minorHAnsi"/>
          <w:lang w:val="en-GB"/>
        </w:rPr>
        <w:tab/>
        <w:t>Media and Communications</w:t>
      </w:r>
      <w:bookmarkEnd w:id="82"/>
    </w:p>
    <w:p w14:paraId="015830DA" w14:textId="77777777" w:rsidR="001B2AE9" w:rsidRPr="009B2D70" w:rsidRDefault="00364578" w:rsidP="001B2AE9">
      <w:pPr>
        <w:rPr>
          <w:rFonts w:asciiTheme="minorHAnsi" w:hAnsiTheme="minorHAnsi"/>
          <w:lang w:val="en-GB"/>
        </w:rPr>
      </w:pPr>
      <w:r w:rsidRPr="009B2D70">
        <w:rPr>
          <w:rFonts w:asciiTheme="minorHAnsi" w:hAnsiTheme="minorHAnsi"/>
          <w:lang w:val="en-GB"/>
        </w:rPr>
        <w:t xml:space="preserve">The mobilisation during the last Annual Plan period of an Australian Youth Ambassador for Development (AYAD) with expertise in Communications has significantly assisted with improving the Centres’ communication processes and media profile. Focus during this next Annual Plan period will be directed towards ensuring that Program staff sustain these improvements to ensure </w:t>
      </w:r>
      <w:proofErr w:type="spellStart"/>
      <w:r w:rsidRPr="009B2D70">
        <w:rPr>
          <w:rFonts w:asciiTheme="minorHAnsi" w:hAnsiTheme="minorHAnsi"/>
          <w:lang w:val="en-GB"/>
        </w:rPr>
        <w:t>ongoing</w:t>
      </w:r>
      <w:proofErr w:type="spellEnd"/>
      <w:r w:rsidRPr="009B2D70">
        <w:rPr>
          <w:rFonts w:asciiTheme="minorHAnsi" w:hAnsiTheme="minorHAnsi"/>
          <w:lang w:val="en-GB"/>
        </w:rPr>
        <w:t xml:space="preserve"> and constructive communication between the Centres and its key stakeholders. Specific activities will include:</w:t>
      </w:r>
    </w:p>
    <w:p w14:paraId="2F56BDAA" w14:textId="77777777" w:rsidR="001B2AE9" w:rsidRPr="009B2D70" w:rsidRDefault="001B2AE9" w:rsidP="00364578">
      <w:pPr>
        <w:numPr>
          <w:ilvl w:val="0"/>
          <w:numId w:val="3"/>
        </w:numPr>
        <w:rPr>
          <w:rFonts w:asciiTheme="minorHAnsi" w:hAnsiTheme="minorHAnsi"/>
          <w:lang w:val="en-GB"/>
        </w:rPr>
      </w:pPr>
      <w:r w:rsidRPr="009B2D70">
        <w:rPr>
          <w:rFonts w:asciiTheme="minorHAnsi" w:hAnsiTheme="minorHAnsi"/>
          <w:lang w:val="en-GB"/>
        </w:rPr>
        <w:t xml:space="preserve">Training </w:t>
      </w:r>
      <w:r w:rsidR="00E0077B" w:rsidRPr="009B2D70">
        <w:rPr>
          <w:rFonts w:asciiTheme="minorHAnsi" w:hAnsiTheme="minorHAnsi"/>
          <w:lang w:val="en-GB"/>
        </w:rPr>
        <w:t xml:space="preserve">and on-going coaching </w:t>
      </w:r>
      <w:r w:rsidR="00364578" w:rsidRPr="009B2D70">
        <w:rPr>
          <w:rFonts w:asciiTheme="minorHAnsi" w:hAnsiTheme="minorHAnsi"/>
          <w:lang w:val="en-GB"/>
        </w:rPr>
        <w:t xml:space="preserve">by the Team Leader </w:t>
      </w:r>
      <w:r w:rsidRPr="009B2D70">
        <w:rPr>
          <w:rFonts w:asciiTheme="minorHAnsi" w:hAnsiTheme="minorHAnsi"/>
          <w:lang w:val="en-GB"/>
        </w:rPr>
        <w:t xml:space="preserve">of </w:t>
      </w:r>
      <w:r w:rsidR="00364578" w:rsidRPr="009B2D70">
        <w:rPr>
          <w:rFonts w:asciiTheme="minorHAnsi" w:hAnsiTheme="minorHAnsi"/>
          <w:lang w:val="en-GB"/>
        </w:rPr>
        <w:t xml:space="preserve">all </w:t>
      </w:r>
      <w:r w:rsidRPr="009B2D70">
        <w:rPr>
          <w:rFonts w:asciiTheme="minorHAnsi" w:hAnsiTheme="minorHAnsi"/>
          <w:lang w:val="en-GB"/>
        </w:rPr>
        <w:t xml:space="preserve">staff in all aspects of </w:t>
      </w:r>
      <w:r w:rsidR="00364578" w:rsidRPr="009B2D70">
        <w:rPr>
          <w:rFonts w:asciiTheme="minorHAnsi" w:hAnsiTheme="minorHAnsi"/>
          <w:lang w:val="en-GB"/>
        </w:rPr>
        <w:t xml:space="preserve">the Program’s external communications strategy – website </w:t>
      </w:r>
      <w:r w:rsidR="009C14DE" w:rsidRPr="009B2D70">
        <w:rPr>
          <w:rFonts w:asciiTheme="minorHAnsi" w:hAnsiTheme="minorHAnsi"/>
          <w:lang w:val="en-GB"/>
        </w:rPr>
        <w:t>updating and promotion, ra</w:t>
      </w:r>
      <w:r w:rsidR="00E0077B" w:rsidRPr="009B2D70">
        <w:rPr>
          <w:rFonts w:asciiTheme="minorHAnsi" w:hAnsiTheme="minorHAnsi"/>
          <w:lang w:val="en-GB"/>
        </w:rPr>
        <w:t>dio show production, press liaison.</w:t>
      </w:r>
    </w:p>
    <w:p w14:paraId="2DB6EB84" w14:textId="77777777" w:rsidR="00E0077B" w:rsidRPr="009B2D70" w:rsidRDefault="00DA0F50" w:rsidP="00364578">
      <w:pPr>
        <w:numPr>
          <w:ilvl w:val="0"/>
          <w:numId w:val="3"/>
        </w:numPr>
        <w:rPr>
          <w:rFonts w:asciiTheme="minorHAnsi" w:hAnsiTheme="minorHAnsi"/>
          <w:lang w:val="en-GB"/>
        </w:rPr>
      </w:pPr>
      <w:r w:rsidRPr="009B2D70">
        <w:rPr>
          <w:rFonts w:asciiTheme="minorHAnsi" w:hAnsiTheme="minorHAnsi"/>
          <w:lang w:val="en-GB"/>
        </w:rPr>
        <w:t>On-going engagement of trainees and productive sector representatives in the TVET Centre radio show.</w:t>
      </w:r>
    </w:p>
    <w:p w14:paraId="5D75F43D" w14:textId="77777777" w:rsidR="00DA0F50" w:rsidRPr="009B2D70" w:rsidRDefault="00DA0F50" w:rsidP="00364578">
      <w:pPr>
        <w:numPr>
          <w:ilvl w:val="0"/>
          <w:numId w:val="3"/>
        </w:numPr>
        <w:rPr>
          <w:rFonts w:asciiTheme="minorHAnsi" w:hAnsiTheme="minorHAnsi"/>
          <w:lang w:val="en-GB"/>
        </w:rPr>
      </w:pPr>
      <w:r w:rsidRPr="009B2D70">
        <w:rPr>
          <w:rFonts w:asciiTheme="minorHAnsi" w:hAnsiTheme="minorHAnsi"/>
          <w:lang w:val="en-GB"/>
        </w:rPr>
        <w:t xml:space="preserve">Launch of new DVD focused on demonstration of successful approaches for TVET to support </w:t>
      </w:r>
      <w:proofErr w:type="spellStart"/>
      <w:r w:rsidRPr="009B2D70">
        <w:rPr>
          <w:rFonts w:asciiTheme="minorHAnsi" w:hAnsiTheme="minorHAnsi"/>
          <w:lang w:val="en-GB"/>
        </w:rPr>
        <w:t>sectoral</w:t>
      </w:r>
      <w:proofErr w:type="spellEnd"/>
      <w:r w:rsidRPr="009B2D70">
        <w:rPr>
          <w:rFonts w:asciiTheme="minorHAnsi" w:hAnsiTheme="minorHAnsi"/>
          <w:lang w:val="en-GB"/>
        </w:rPr>
        <w:t xml:space="preserve"> development. </w:t>
      </w:r>
    </w:p>
    <w:p w14:paraId="1127C315" w14:textId="77777777" w:rsidR="00846D48" w:rsidRPr="009B2D70" w:rsidRDefault="00525232" w:rsidP="002A2D29">
      <w:pPr>
        <w:numPr>
          <w:ilvl w:val="0"/>
          <w:numId w:val="3"/>
        </w:numPr>
        <w:rPr>
          <w:rFonts w:asciiTheme="minorHAnsi" w:hAnsiTheme="minorHAnsi"/>
          <w:lang w:val="en-GB"/>
        </w:rPr>
      </w:pPr>
      <w:r w:rsidRPr="009B2D70">
        <w:rPr>
          <w:rFonts w:asciiTheme="minorHAnsi" w:hAnsiTheme="minorHAnsi"/>
          <w:lang w:val="en-GB"/>
        </w:rPr>
        <w:t>Compilation</w:t>
      </w:r>
      <w:r w:rsidR="00DA0F50" w:rsidRPr="009B2D70">
        <w:rPr>
          <w:rFonts w:asciiTheme="minorHAnsi" w:hAnsiTheme="minorHAnsi"/>
          <w:lang w:val="en-GB"/>
        </w:rPr>
        <w:t xml:space="preserve"> and distribution of all Cent</w:t>
      </w:r>
      <w:r w:rsidRPr="009B2D70">
        <w:rPr>
          <w:rFonts w:asciiTheme="minorHAnsi" w:hAnsiTheme="minorHAnsi"/>
          <w:lang w:val="en-GB"/>
        </w:rPr>
        <w:t>re monthly reports in preparation</w:t>
      </w:r>
      <w:r w:rsidR="00DA0F50" w:rsidRPr="009B2D70">
        <w:rPr>
          <w:rFonts w:asciiTheme="minorHAnsi" w:hAnsiTheme="minorHAnsi"/>
          <w:lang w:val="en-GB"/>
        </w:rPr>
        <w:t xml:space="preserve"> for end of Phase 2 Program.</w:t>
      </w:r>
    </w:p>
    <w:p w14:paraId="3D73C29D" w14:textId="77777777" w:rsidR="00846D48" w:rsidRPr="009B2D70" w:rsidRDefault="00705121" w:rsidP="00846D48">
      <w:pPr>
        <w:pStyle w:val="Heading3"/>
        <w:rPr>
          <w:rFonts w:asciiTheme="minorHAnsi" w:hAnsiTheme="minorHAnsi"/>
          <w:lang w:val="en-GB"/>
        </w:rPr>
      </w:pPr>
      <w:bookmarkStart w:id="83" w:name="_Toc289376451"/>
      <w:bookmarkStart w:id="84" w:name="_Toc323399368"/>
      <w:r w:rsidRPr="009B2D70">
        <w:rPr>
          <w:rFonts w:asciiTheme="minorHAnsi" w:hAnsiTheme="minorHAnsi"/>
          <w:lang w:val="en-GB"/>
        </w:rPr>
        <w:t>2</w:t>
      </w:r>
      <w:r w:rsidR="002A2D29" w:rsidRPr="009B2D70">
        <w:rPr>
          <w:rFonts w:asciiTheme="minorHAnsi" w:hAnsiTheme="minorHAnsi"/>
          <w:lang w:val="en-GB"/>
        </w:rPr>
        <w:t>.4.3</w:t>
      </w:r>
      <w:r w:rsidR="00846D48" w:rsidRPr="009B2D70">
        <w:rPr>
          <w:rFonts w:asciiTheme="minorHAnsi" w:hAnsiTheme="minorHAnsi"/>
          <w:lang w:val="en-GB"/>
        </w:rPr>
        <w:tab/>
        <w:t>Monitoring and Evaluation</w:t>
      </w:r>
      <w:bookmarkEnd w:id="80"/>
      <w:bookmarkEnd w:id="81"/>
      <w:bookmarkEnd w:id="83"/>
      <w:bookmarkEnd w:id="84"/>
    </w:p>
    <w:p w14:paraId="1CFDCD8A" w14:textId="77777777" w:rsidR="00846D48" w:rsidRPr="009B2D70" w:rsidRDefault="00846D48" w:rsidP="00846D48">
      <w:pPr>
        <w:rPr>
          <w:rFonts w:asciiTheme="minorHAnsi" w:hAnsiTheme="minorHAnsi"/>
        </w:rPr>
      </w:pPr>
      <w:r w:rsidRPr="009B2D70">
        <w:rPr>
          <w:rFonts w:asciiTheme="minorHAnsi" w:hAnsiTheme="minorHAnsi"/>
        </w:rPr>
        <w:t xml:space="preserve">During this annual planning period, monitoring and evaluation will focus on consolidation and refinement of the M&amp;E System </w:t>
      </w:r>
      <w:r w:rsidR="00525232" w:rsidRPr="009B2D70">
        <w:rPr>
          <w:rFonts w:asciiTheme="minorHAnsi" w:hAnsiTheme="minorHAnsi"/>
        </w:rPr>
        <w:t>to assist in transition to the Phase 3 Program, as well as collection</w:t>
      </w:r>
      <w:r w:rsidRPr="009B2D70">
        <w:rPr>
          <w:rFonts w:asciiTheme="minorHAnsi" w:hAnsiTheme="minorHAnsi"/>
        </w:rPr>
        <w:t xml:space="preserve"> and</w:t>
      </w:r>
      <w:r w:rsidR="00D01507" w:rsidRPr="009B2D70">
        <w:rPr>
          <w:rFonts w:asciiTheme="minorHAnsi" w:hAnsiTheme="minorHAnsi"/>
        </w:rPr>
        <w:t xml:space="preserve"> analysis of data for the </w:t>
      </w:r>
      <w:r w:rsidRPr="009B2D70">
        <w:rPr>
          <w:rFonts w:asciiTheme="minorHAnsi" w:hAnsiTheme="minorHAnsi"/>
        </w:rPr>
        <w:t>Program</w:t>
      </w:r>
      <w:r w:rsidR="00D01507" w:rsidRPr="009B2D70">
        <w:rPr>
          <w:rFonts w:asciiTheme="minorHAnsi" w:hAnsiTheme="minorHAnsi"/>
        </w:rPr>
        <w:t>’s Final E</w:t>
      </w:r>
      <w:r w:rsidRPr="009B2D70">
        <w:rPr>
          <w:rFonts w:asciiTheme="minorHAnsi" w:hAnsiTheme="minorHAnsi"/>
        </w:rPr>
        <w:t>valuation.</w:t>
      </w:r>
    </w:p>
    <w:p w14:paraId="4FC2EC11" w14:textId="77777777" w:rsidR="00846D48" w:rsidRPr="009B2D70" w:rsidRDefault="00846D48" w:rsidP="00846D48">
      <w:pPr>
        <w:rPr>
          <w:rFonts w:asciiTheme="minorHAnsi" w:hAnsiTheme="minorHAnsi"/>
        </w:rPr>
      </w:pPr>
      <w:r w:rsidRPr="009B2D70">
        <w:rPr>
          <w:rFonts w:asciiTheme="minorHAnsi" w:hAnsiTheme="minorHAnsi"/>
        </w:rPr>
        <w:t>Key activities include:</w:t>
      </w:r>
    </w:p>
    <w:p w14:paraId="03E72637" w14:textId="77777777" w:rsidR="00846D48" w:rsidRPr="009B2D70" w:rsidRDefault="00525232" w:rsidP="00846D48">
      <w:pPr>
        <w:numPr>
          <w:ilvl w:val="0"/>
          <w:numId w:val="2"/>
        </w:numPr>
        <w:rPr>
          <w:rFonts w:asciiTheme="minorHAnsi" w:hAnsiTheme="minorHAnsi"/>
        </w:rPr>
      </w:pPr>
      <w:r w:rsidRPr="009B2D70">
        <w:rPr>
          <w:rFonts w:asciiTheme="minorHAnsi" w:hAnsiTheme="minorHAnsi"/>
        </w:rPr>
        <w:t>Ongoing liaison with the National Statistics Office (NSO) to further align Program M&amp;E data collection processes with national systems.</w:t>
      </w:r>
    </w:p>
    <w:p w14:paraId="55B1BDE2" w14:textId="77777777" w:rsidR="00846D48" w:rsidRPr="009B2D70" w:rsidRDefault="00525232" w:rsidP="00846D48">
      <w:pPr>
        <w:numPr>
          <w:ilvl w:val="0"/>
          <w:numId w:val="1"/>
        </w:numPr>
        <w:rPr>
          <w:rFonts w:asciiTheme="minorHAnsi" w:hAnsiTheme="minorHAnsi"/>
        </w:rPr>
      </w:pPr>
      <w:r w:rsidRPr="009B2D70">
        <w:rPr>
          <w:rFonts w:asciiTheme="minorHAnsi" w:hAnsiTheme="minorHAnsi"/>
        </w:rPr>
        <w:t>Preparation of TVET Centre M&amp;E training manual to assist with transition to Phase 3 Program and potential involvement of new local staff.</w:t>
      </w:r>
    </w:p>
    <w:p w14:paraId="1ECE5FE5" w14:textId="77777777" w:rsidR="00123204" w:rsidRDefault="00525232" w:rsidP="00123204">
      <w:pPr>
        <w:numPr>
          <w:ilvl w:val="0"/>
          <w:numId w:val="1"/>
        </w:numPr>
        <w:rPr>
          <w:rFonts w:asciiTheme="minorHAnsi" w:hAnsiTheme="minorHAnsi"/>
        </w:rPr>
      </w:pPr>
      <w:r w:rsidRPr="009B2D70">
        <w:rPr>
          <w:rFonts w:asciiTheme="minorHAnsi" w:hAnsiTheme="minorHAnsi"/>
        </w:rPr>
        <w:t xml:space="preserve">Data collection across all Program components of the M&amp;E Framework </w:t>
      </w:r>
      <w:r w:rsidR="0086157F" w:rsidRPr="009B2D70">
        <w:rPr>
          <w:rFonts w:asciiTheme="minorHAnsi" w:hAnsiTheme="minorHAnsi"/>
        </w:rPr>
        <w:t>and preparation of the</w:t>
      </w:r>
      <w:r w:rsidRPr="009B2D70">
        <w:rPr>
          <w:rFonts w:asciiTheme="minorHAnsi" w:hAnsiTheme="minorHAnsi"/>
        </w:rPr>
        <w:t xml:space="preserve"> Final Evaluation</w:t>
      </w:r>
      <w:r w:rsidR="00F71749">
        <w:rPr>
          <w:rFonts w:asciiTheme="minorHAnsi" w:hAnsiTheme="minorHAnsi"/>
        </w:rPr>
        <w:t xml:space="preserve"> report.</w:t>
      </w:r>
    </w:p>
    <w:p w14:paraId="6E419108" w14:textId="77777777" w:rsidR="00F71749" w:rsidRPr="00F71749" w:rsidRDefault="00F71749" w:rsidP="00123204">
      <w:pPr>
        <w:numPr>
          <w:ilvl w:val="0"/>
          <w:numId w:val="1"/>
        </w:numPr>
        <w:rPr>
          <w:rFonts w:asciiTheme="minorHAnsi" w:hAnsiTheme="minorHAnsi"/>
        </w:rPr>
        <w:sectPr w:rsidR="00F71749" w:rsidRPr="00F71749" w:rsidSect="00384F26">
          <w:headerReference w:type="even" r:id="rId19"/>
          <w:headerReference w:type="default" r:id="rId20"/>
          <w:footerReference w:type="default" r:id="rId21"/>
          <w:headerReference w:type="first" r:id="rId22"/>
          <w:pgSz w:w="12240" w:h="15840"/>
          <w:pgMar w:top="1440" w:right="1440" w:bottom="1440" w:left="1440" w:header="720" w:footer="720" w:gutter="0"/>
          <w:pgNumType w:start="1"/>
          <w:cols w:space="720"/>
          <w:docGrid w:linePitch="360"/>
        </w:sectPr>
      </w:pPr>
    </w:p>
    <w:p w14:paraId="6465CCA0" w14:textId="77777777" w:rsidR="00FC0F02" w:rsidRPr="009B2D70" w:rsidRDefault="00705121" w:rsidP="00742596">
      <w:pPr>
        <w:pStyle w:val="Heading1"/>
        <w:rPr>
          <w:rFonts w:asciiTheme="minorHAnsi" w:hAnsiTheme="minorHAnsi"/>
          <w:lang w:val="en-GB"/>
        </w:rPr>
      </w:pPr>
      <w:bookmarkStart w:id="85" w:name="_Toc323399369"/>
      <w:bookmarkStart w:id="86" w:name="_Toc323462488"/>
      <w:r w:rsidRPr="009B2D70">
        <w:rPr>
          <w:rFonts w:asciiTheme="minorHAnsi" w:hAnsiTheme="minorHAnsi"/>
          <w:lang w:val="en-GB"/>
        </w:rPr>
        <w:lastRenderedPageBreak/>
        <w:t>3</w:t>
      </w:r>
      <w:r w:rsidR="00FC0F02" w:rsidRPr="009B2D70">
        <w:rPr>
          <w:rFonts w:asciiTheme="minorHAnsi" w:hAnsiTheme="minorHAnsi"/>
          <w:lang w:val="en-GB"/>
        </w:rPr>
        <w:t>.0</w:t>
      </w:r>
      <w:r w:rsidR="00FC0F02" w:rsidRPr="009B2D70">
        <w:rPr>
          <w:rFonts w:asciiTheme="minorHAnsi" w:hAnsiTheme="minorHAnsi"/>
          <w:lang w:val="en-GB"/>
        </w:rPr>
        <w:tab/>
        <w:t>Cost Schedules</w:t>
      </w:r>
      <w:bookmarkEnd w:id="85"/>
      <w:bookmarkEnd w:id="86"/>
    </w:p>
    <w:p w14:paraId="3068058B" w14:textId="77777777" w:rsidR="00262BBF" w:rsidRPr="00F727A5" w:rsidRDefault="00262BBF" w:rsidP="00262BBF">
      <w:pPr>
        <w:pStyle w:val="Heading2"/>
        <w:spacing w:before="0"/>
        <w:rPr>
          <w:rFonts w:asciiTheme="minorHAnsi" w:hAnsiTheme="minorHAnsi"/>
          <w:lang w:val="en-GB"/>
        </w:rPr>
      </w:pPr>
      <w:bookmarkStart w:id="87" w:name="_Toc323399370"/>
      <w:bookmarkStart w:id="88" w:name="_Toc323408634"/>
      <w:bookmarkStart w:id="89" w:name="_Toc323399371"/>
      <w:bookmarkStart w:id="90" w:name="_Toc323462490"/>
      <w:r w:rsidRPr="009B2D70">
        <w:rPr>
          <w:rFonts w:asciiTheme="minorHAnsi" w:hAnsiTheme="minorHAnsi"/>
          <w:lang w:val="en-GB"/>
        </w:rPr>
        <w:t>3.1</w:t>
      </w:r>
      <w:r w:rsidRPr="009B2D70">
        <w:rPr>
          <w:rFonts w:asciiTheme="minorHAnsi" w:hAnsiTheme="minorHAnsi"/>
          <w:lang w:val="en-GB"/>
        </w:rPr>
        <w:tab/>
      </w:r>
      <w:proofErr w:type="spellStart"/>
      <w:r w:rsidRPr="009B2D70">
        <w:rPr>
          <w:rFonts w:asciiTheme="minorHAnsi" w:hAnsiTheme="minorHAnsi"/>
          <w:lang w:val="en-GB"/>
        </w:rPr>
        <w:t>Reimbursables</w:t>
      </w:r>
      <w:proofErr w:type="spellEnd"/>
      <w:r w:rsidRPr="009B2D70">
        <w:rPr>
          <w:rFonts w:asciiTheme="minorHAnsi" w:hAnsiTheme="minorHAnsi"/>
          <w:lang w:val="en-GB"/>
        </w:rPr>
        <w:t xml:space="preserve"> and </w:t>
      </w:r>
      <w:proofErr w:type="spellStart"/>
      <w:r w:rsidRPr="009B2D70">
        <w:rPr>
          <w:rFonts w:asciiTheme="minorHAnsi" w:hAnsiTheme="minorHAnsi"/>
          <w:lang w:val="en-GB"/>
        </w:rPr>
        <w:t>Imprest</w:t>
      </w:r>
      <w:proofErr w:type="spellEnd"/>
      <w:r w:rsidRPr="009B2D70">
        <w:rPr>
          <w:rFonts w:asciiTheme="minorHAnsi" w:hAnsiTheme="minorHAnsi"/>
          <w:lang w:val="en-GB"/>
        </w:rPr>
        <w:t xml:space="preserve"> Budget (June – December 2012)</w:t>
      </w:r>
      <w:bookmarkEnd w:id="87"/>
      <w:bookmarkEnd w:id="88"/>
    </w:p>
    <w:tbl>
      <w:tblPr>
        <w:tblW w:w="13071" w:type="dxa"/>
        <w:tblInd w:w="78" w:type="dxa"/>
        <w:tblLayout w:type="fixed"/>
        <w:tblLook w:val="0000" w:firstRow="0" w:lastRow="0" w:firstColumn="0" w:lastColumn="0" w:noHBand="0" w:noVBand="0"/>
      </w:tblPr>
      <w:tblGrid>
        <w:gridCol w:w="3288"/>
        <w:gridCol w:w="1020"/>
        <w:gridCol w:w="850"/>
        <w:gridCol w:w="850"/>
        <w:gridCol w:w="850"/>
        <w:gridCol w:w="850"/>
        <w:gridCol w:w="1020"/>
        <w:gridCol w:w="850"/>
        <w:gridCol w:w="850"/>
        <w:gridCol w:w="850"/>
        <w:gridCol w:w="801"/>
        <w:gridCol w:w="992"/>
      </w:tblGrid>
      <w:tr w:rsidR="00262BBF" w:rsidRPr="009B2D70" w14:paraId="6304CB67" w14:textId="77777777" w:rsidTr="008F3C55">
        <w:trPr>
          <w:trHeight w:val="113"/>
        </w:trPr>
        <w:tc>
          <w:tcPr>
            <w:tcW w:w="3288" w:type="dxa"/>
            <w:tcBorders>
              <w:top w:val="nil"/>
              <w:left w:val="nil"/>
              <w:bottom w:val="nil"/>
              <w:right w:val="nil"/>
            </w:tcBorders>
          </w:tcPr>
          <w:p w14:paraId="21A9832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p>
        </w:tc>
        <w:tc>
          <w:tcPr>
            <w:tcW w:w="1020" w:type="dxa"/>
            <w:tcBorders>
              <w:top w:val="nil"/>
              <w:left w:val="nil"/>
              <w:bottom w:val="nil"/>
              <w:right w:val="nil"/>
            </w:tcBorders>
            <w:shd w:val="clear" w:color="auto" w:fill="auto"/>
          </w:tcPr>
          <w:p w14:paraId="7F197151"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p>
        </w:tc>
        <w:tc>
          <w:tcPr>
            <w:tcW w:w="850" w:type="dxa"/>
            <w:tcBorders>
              <w:top w:val="nil"/>
              <w:left w:val="nil"/>
              <w:bottom w:val="nil"/>
              <w:right w:val="nil"/>
            </w:tcBorders>
            <w:shd w:val="clear" w:color="auto" w:fill="auto"/>
          </w:tcPr>
          <w:p w14:paraId="0E1D1DD3"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850" w:type="dxa"/>
            <w:tcBorders>
              <w:top w:val="nil"/>
              <w:left w:val="nil"/>
              <w:bottom w:val="nil"/>
              <w:right w:val="nil"/>
            </w:tcBorders>
            <w:shd w:val="clear" w:color="auto" w:fill="auto"/>
          </w:tcPr>
          <w:p w14:paraId="0E0DE2A0"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850" w:type="dxa"/>
            <w:tcBorders>
              <w:top w:val="nil"/>
              <w:left w:val="nil"/>
              <w:bottom w:val="nil"/>
              <w:right w:val="nil"/>
            </w:tcBorders>
            <w:shd w:val="clear" w:color="auto" w:fill="auto"/>
          </w:tcPr>
          <w:p w14:paraId="45BBC5BA"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850" w:type="dxa"/>
            <w:tcBorders>
              <w:top w:val="nil"/>
              <w:left w:val="nil"/>
              <w:bottom w:val="nil"/>
              <w:right w:val="nil"/>
            </w:tcBorders>
            <w:shd w:val="clear" w:color="auto" w:fill="auto"/>
          </w:tcPr>
          <w:p w14:paraId="4F9D53DA"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1020" w:type="dxa"/>
            <w:tcBorders>
              <w:top w:val="nil"/>
              <w:left w:val="nil"/>
              <w:bottom w:val="nil"/>
              <w:right w:val="nil"/>
            </w:tcBorders>
            <w:shd w:val="clear" w:color="auto" w:fill="auto"/>
          </w:tcPr>
          <w:p w14:paraId="61A69F8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p>
        </w:tc>
        <w:tc>
          <w:tcPr>
            <w:tcW w:w="850" w:type="dxa"/>
            <w:tcBorders>
              <w:top w:val="nil"/>
              <w:left w:val="nil"/>
              <w:bottom w:val="nil"/>
              <w:right w:val="nil"/>
            </w:tcBorders>
            <w:shd w:val="clear" w:color="auto" w:fill="auto"/>
          </w:tcPr>
          <w:p w14:paraId="50429C8A"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850" w:type="dxa"/>
            <w:tcBorders>
              <w:top w:val="nil"/>
              <w:left w:val="nil"/>
              <w:bottom w:val="nil"/>
              <w:right w:val="nil"/>
            </w:tcBorders>
            <w:shd w:val="clear" w:color="auto" w:fill="auto"/>
          </w:tcPr>
          <w:p w14:paraId="267C3134"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850" w:type="dxa"/>
            <w:tcBorders>
              <w:top w:val="nil"/>
              <w:left w:val="nil"/>
              <w:bottom w:val="nil"/>
              <w:right w:val="nil"/>
            </w:tcBorders>
            <w:shd w:val="clear" w:color="auto" w:fill="auto"/>
          </w:tcPr>
          <w:p w14:paraId="05784DEB"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801" w:type="dxa"/>
            <w:tcBorders>
              <w:top w:val="nil"/>
              <w:left w:val="nil"/>
              <w:bottom w:val="nil"/>
              <w:right w:val="nil"/>
            </w:tcBorders>
          </w:tcPr>
          <w:p w14:paraId="7351E26C"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Budget</w:t>
            </w:r>
          </w:p>
        </w:tc>
        <w:tc>
          <w:tcPr>
            <w:tcW w:w="992" w:type="dxa"/>
            <w:tcBorders>
              <w:top w:val="nil"/>
              <w:left w:val="nil"/>
              <w:bottom w:val="nil"/>
              <w:right w:val="nil"/>
            </w:tcBorders>
            <w:shd w:val="clear" w:color="auto" w:fill="auto"/>
          </w:tcPr>
          <w:p w14:paraId="27682FF7"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w:color w:val="000000"/>
                <w:sz w:val="16"/>
                <w:szCs w:val="16"/>
                <w:lang w:eastAsia="en-AU"/>
              </w:rPr>
            </w:pPr>
          </w:p>
        </w:tc>
      </w:tr>
      <w:tr w:rsidR="00262BBF" w:rsidRPr="009B2D70" w14:paraId="0EA8F2FA" w14:textId="77777777" w:rsidTr="008F3C55">
        <w:trPr>
          <w:trHeight w:val="113"/>
        </w:trPr>
        <w:tc>
          <w:tcPr>
            <w:tcW w:w="3288" w:type="dxa"/>
            <w:tcBorders>
              <w:top w:val="single" w:sz="6" w:space="0" w:color="auto"/>
              <w:left w:val="single" w:sz="6" w:space="0" w:color="auto"/>
              <w:bottom w:val="single" w:sz="6" w:space="0" w:color="auto"/>
              <w:right w:val="single" w:sz="6" w:space="0" w:color="auto"/>
            </w:tcBorders>
          </w:tcPr>
          <w:p w14:paraId="49FC22DB"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Activity</w:t>
            </w:r>
          </w:p>
        </w:tc>
        <w:tc>
          <w:tcPr>
            <w:tcW w:w="102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8D20FBC"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 Contract Value (Amend. 3)</w:t>
            </w: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DB299E1"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Jun-12</w:t>
            </w: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C62CE0"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Jul-12</w:t>
            </w: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8B44292"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Aug-12</w:t>
            </w: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66AD9E5"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Sep-12</w:t>
            </w:r>
          </w:p>
        </w:tc>
        <w:tc>
          <w:tcPr>
            <w:tcW w:w="102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C35ED99"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 Contract Value (Amend. 4)</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7BE8E464"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Oct-12</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308EBA0E"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Nov-12</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E8469F3"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Dec-12</w:t>
            </w:r>
          </w:p>
        </w:tc>
        <w:tc>
          <w:tcPr>
            <w:tcW w:w="801" w:type="dxa"/>
            <w:tcBorders>
              <w:top w:val="single" w:sz="6" w:space="0" w:color="auto"/>
              <w:left w:val="single" w:sz="6" w:space="0" w:color="auto"/>
              <w:bottom w:val="single" w:sz="6" w:space="0" w:color="auto"/>
              <w:right w:val="single" w:sz="6" w:space="0" w:color="auto"/>
            </w:tcBorders>
            <w:shd w:val="clear" w:color="auto" w:fill="FFFDD6"/>
          </w:tcPr>
          <w:p w14:paraId="68E17853"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Pr>
                <w:rFonts w:asciiTheme="minorHAnsi" w:eastAsia="Calibri" w:hAnsiTheme="minorHAnsi" w:cs="Arial Narrow"/>
                <w:b/>
                <w:bCs/>
                <w:color w:val="000000"/>
                <w:sz w:val="16"/>
                <w:szCs w:val="16"/>
                <w:lang w:eastAsia="en-AU"/>
              </w:rPr>
              <w:t>Jan-13</w:t>
            </w:r>
          </w:p>
        </w:tc>
        <w:tc>
          <w:tcPr>
            <w:tcW w:w="992"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CD1FB78"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 Contract Value (Amend. 5)</w:t>
            </w:r>
          </w:p>
        </w:tc>
      </w:tr>
      <w:tr w:rsidR="00262BBF" w:rsidRPr="009B2D70" w14:paraId="0DF3DCCD" w14:textId="77777777" w:rsidTr="008F3C55">
        <w:trPr>
          <w:trHeight w:val="113"/>
        </w:trPr>
        <w:tc>
          <w:tcPr>
            <w:tcW w:w="3288" w:type="dxa"/>
            <w:tcBorders>
              <w:top w:val="single" w:sz="6" w:space="0" w:color="auto"/>
              <w:left w:val="single" w:sz="6" w:space="0" w:color="auto"/>
              <w:bottom w:val="single" w:sz="6" w:space="0" w:color="auto"/>
              <w:right w:val="single" w:sz="6" w:space="0" w:color="auto"/>
            </w:tcBorders>
          </w:tcPr>
          <w:p w14:paraId="027E2622"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Materials Production</w:t>
            </w:r>
          </w:p>
        </w:tc>
        <w:tc>
          <w:tcPr>
            <w:tcW w:w="102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C899A81"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5F90A88"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15A859"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FE826DC"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27BF87"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102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EB96AD"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40055A0"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1BE18862"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3639E65A"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801" w:type="dxa"/>
            <w:tcBorders>
              <w:top w:val="single" w:sz="6" w:space="0" w:color="auto"/>
              <w:left w:val="single" w:sz="6" w:space="0" w:color="auto"/>
              <w:bottom w:val="single" w:sz="6" w:space="0" w:color="auto"/>
              <w:right w:val="single" w:sz="6" w:space="0" w:color="auto"/>
            </w:tcBorders>
            <w:shd w:val="clear" w:color="auto" w:fill="FFFDD6"/>
          </w:tcPr>
          <w:p w14:paraId="6646E0DC"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482D53C7" w14:textId="77777777" w:rsidR="00262BBF" w:rsidRPr="009B2D70" w:rsidRDefault="00262BBF" w:rsidP="008F3C55">
            <w:pPr>
              <w:widowControl/>
              <w:autoSpaceDE w:val="0"/>
              <w:autoSpaceDN w:val="0"/>
              <w:adjustRightInd w:val="0"/>
              <w:spacing w:before="0" w:after="0"/>
              <w:jc w:val="center"/>
              <w:rPr>
                <w:rFonts w:asciiTheme="minorHAnsi" w:eastAsia="Calibri" w:hAnsiTheme="minorHAnsi" w:cs="Arial Narrow"/>
                <w:b/>
                <w:bCs/>
                <w:color w:val="000000"/>
                <w:sz w:val="16"/>
                <w:szCs w:val="16"/>
                <w:lang w:eastAsia="en-AU"/>
              </w:rPr>
            </w:pPr>
          </w:p>
        </w:tc>
      </w:tr>
      <w:tr w:rsidR="00262BBF" w:rsidRPr="009B2D70" w14:paraId="0468344E" w14:textId="77777777" w:rsidTr="008F3C55">
        <w:trPr>
          <w:trHeight w:val="113"/>
        </w:trPr>
        <w:tc>
          <w:tcPr>
            <w:tcW w:w="3288" w:type="dxa"/>
            <w:tcBorders>
              <w:top w:val="single" w:sz="6" w:space="0" w:color="auto"/>
              <w:left w:val="single" w:sz="6" w:space="0" w:color="auto"/>
              <w:bottom w:val="single" w:sz="6" w:space="0" w:color="C0C0C0"/>
              <w:right w:val="single" w:sz="6" w:space="0" w:color="auto"/>
            </w:tcBorders>
          </w:tcPr>
          <w:p w14:paraId="5F6A6057"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TVET Centres information/marketing materials</w:t>
            </w:r>
          </w:p>
        </w:tc>
        <w:tc>
          <w:tcPr>
            <w:tcW w:w="1020" w:type="dxa"/>
            <w:tcBorders>
              <w:top w:val="nil"/>
              <w:left w:val="single" w:sz="6" w:space="0" w:color="auto"/>
              <w:bottom w:val="nil"/>
              <w:right w:val="single" w:sz="6" w:space="0" w:color="auto"/>
            </w:tcBorders>
            <w:shd w:val="clear" w:color="auto" w:fill="EAF1DD" w:themeFill="accent3" w:themeFillTint="33"/>
          </w:tcPr>
          <w:p w14:paraId="0EFEC87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50,000</w:t>
            </w:r>
          </w:p>
        </w:tc>
        <w:tc>
          <w:tcPr>
            <w:tcW w:w="850" w:type="dxa"/>
            <w:tcBorders>
              <w:top w:val="single" w:sz="6" w:space="0" w:color="auto"/>
              <w:left w:val="single" w:sz="6" w:space="0" w:color="auto"/>
              <w:bottom w:val="single" w:sz="6" w:space="0" w:color="C0C0C0"/>
              <w:right w:val="single" w:sz="6" w:space="0" w:color="auto"/>
            </w:tcBorders>
            <w:shd w:val="clear" w:color="auto" w:fill="DBE5F1" w:themeFill="accent1" w:themeFillTint="33"/>
          </w:tcPr>
          <w:p w14:paraId="5F5D556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2,000 </w:t>
            </w:r>
          </w:p>
        </w:tc>
        <w:tc>
          <w:tcPr>
            <w:tcW w:w="850" w:type="dxa"/>
            <w:tcBorders>
              <w:top w:val="nil"/>
              <w:left w:val="single" w:sz="6" w:space="0" w:color="auto"/>
              <w:bottom w:val="nil"/>
              <w:right w:val="single" w:sz="6" w:space="0" w:color="auto"/>
            </w:tcBorders>
            <w:shd w:val="clear" w:color="auto" w:fill="DBE5F1" w:themeFill="accent1" w:themeFillTint="33"/>
          </w:tcPr>
          <w:p w14:paraId="1AA2E20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2,000 </w:t>
            </w:r>
          </w:p>
        </w:tc>
        <w:tc>
          <w:tcPr>
            <w:tcW w:w="850" w:type="dxa"/>
            <w:tcBorders>
              <w:top w:val="nil"/>
              <w:left w:val="single" w:sz="6" w:space="0" w:color="auto"/>
              <w:bottom w:val="nil"/>
              <w:right w:val="single" w:sz="6" w:space="0" w:color="auto"/>
            </w:tcBorders>
            <w:shd w:val="clear" w:color="auto" w:fill="DBE5F1" w:themeFill="accent1" w:themeFillTint="33"/>
          </w:tcPr>
          <w:p w14:paraId="75C71A6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1,000 </w:t>
            </w:r>
          </w:p>
        </w:tc>
        <w:tc>
          <w:tcPr>
            <w:tcW w:w="850" w:type="dxa"/>
            <w:tcBorders>
              <w:top w:val="nil"/>
              <w:left w:val="single" w:sz="6" w:space="0" w:color="auto"/>
              <w:bottom w:val="nil"/>
              <w:right w:val="single" w:sz="6" w:space="0" w:color="auto"/>
            </w:tcBorders>
            <w:shd w:val="clear" w:color="auto" w:fill="DBE5F1" w:themeFill="accent1" w:themeFillTint="33"/>
          </w:tcPr>
          <w:p w14:paraId="724D1A7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1,000 </w:t>
            </w:r>
          </w:p>
        </w:tc>
        <w:tc>
          <w:tcPr>
            <w:tcW w:w="1020" w:type="dxa"/>
            <w:tcBorders>
              <w:top w:val="nil"/>
              <w:left w:val="single" w:sz="6" w:space="0" w:color="auto"/>
              <w:bottom w:val="nil"/>
              <w:right w:val="single" w:sz="6" w:space="0" w:color="auto"/>
            </w:tcBorders>
            <w:shd w:val="clear" w:color="auto" w:fill="DBE5F1" w:themeFill="accent1" w:themeFillTint="33"/>
          </w:tcPr>
          <w:p w14:paraId="12FE206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50,000</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3A2EC88B"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2,000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2FD05942"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1,000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66FD0DDE"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1,000 </w:t>
            </w:r>
          </w:p>
        </w:tc>
        <w:tc>
          <w:tcPr>
            <w:tcW w:w="801" w:type="dxa"/>
            <w:tcBorders>
              <w:top w:val="nil"/>
              <w:left w:val="single" w:sz="6" w:space="0" w:color="auto"/>
              <w:bottom w:val="nil"/>
              <w:right w:val="single" w:sz="6" w:space="0" w:color="auto"/>
            </w:tcBorders>
            <w:shd w:val="clear" w:color="auto" w:fill="FFFDD6"/>
          </w:tcPr>
          <w:p w14:paraId="1509F62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3A345330"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54,000 </w:t>
            </w:r>
          </w:p>
        </w:tc>
      </w:tr>
      <w:tr w:rsidR="00262BBF" w:rsidRPr="009B2D70" w14:paraId="7D8568F1" w14:textId="77777777" w:rsidTr="008F3C55">
        <w:trPr>
          <w:trHeight w:val="113"/>
        </w:trPr>
        <w:tc>
          <w:tcPr>
            <w:tcW w:w="3288" w:type="dxa"/>
            <w:tcBorders>
              <w:top w:val="single" w:sz="6" w:space="0" w:color="C0C0C0"/>
              <w:left w:val="single" w:sz="6" w:space="0" w:color="auto"/>
              <w:bottom w:val="single" w:sz="6" w:space="0" w:color="C0C0C0"/>
              <w:right w:val="single" w:sz="6" w:space="0" w:color="auto"/>
            </w:tcBorders>
          </w:tcPr>
          <w:p w14:paraId="2CAB3BF9"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Training Provider Support Materials</w:t>
            </w:r>
          </w:p>
        </w:tc>
        <w:tc>
          <w:tcPr>
            <w:tcW w:w="1020" w:type="dxa"/>
            <w:tcBorders>
              <w:top w:val="nil"/>
              <w:left w:val="single" w:sz="6" w:space="0" w:color="auto"/>
              <w:bottom w:val="nil"/>
              <w:right w:val="single" w:sz="6" w:space="0" w:color="auto"/>
            </w:tcBorders>
            <w:shd w:val="clear" w:color="auto" w:fill="EAF1DD" w:themeFill="accent3" w:themeFillTint="33"/>
          </w:tcPr>
          <w:p w14:paraId="40289CA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150,000</w:t>
            </w:r>
          </w:p>
        </w:tc>
        <w:tc>
          <w:tcPr>
            <w:tcW w:w="850" w:type="dxa"/>
            <w:tcBorders>
              <w:top w:val="single" w:sz="6" w:space="0" w:color="C0C0C0"/>
              <w:left w:val="single" w:sz="6" w:space="0" w:color="auto"/>
              <w:bottom w:val="single" w:sz="6" w:space="0" w:color="C0C0C0"/>
              <w:right w:val="single" w:sz="6" w:space="0" w:color="auto"/>
            </w:tcBorders>
            <w:shd w:val="clear" w:color="auto" w:fill="DBE5F1" w:themeFill="accent1" w:themeFillTint="33"/>
          </w:tcPr>
          <w:p w14:paraId="710F247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10,000 </w:t>
            </w:r>
          </w:p>
        </w:tc>
        <w:tc>
          <w:tcPr>
            <w:tcW w:w="850" w:type="dxa"/>
            <w:tcBorders>
              <w:top w:val="nil"/>
              <w:left w:val="single" w:sz="6" w:space="0" w:color="auto"/>
              <w:bottom w:val="nil"/>
              <w:right w:val="single" w:sz="6" w:space="0" w:color="auto"/>
            </w:tcBorders>
            <w:shd w:val="clear" w:color="auto" w:fill="DBE5F1" w:themeFill="accent1" w:themeFillTint="33"/>
          </w:tcPr>
          <w:p w14:paraId="6CF6A2A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5,000 </w:t>
            </w:r>
          </w:p>
        </w:tc>
        <w:tc>
          <w:tcPr>
            <w:tcW w:w="850" w:type="dxa"/>
            <w:tcBorders>
              <w:top w:val="nil"/>
              <w:left w:val="single" w:sz="6" w:space="0" w:color="auto"/>
              <w:bottom w:val="nil"/>
              <w:right w:val="single" w:sz="6" w:space="0" w:color="auto"/>
            </w:tcBorders>
            <w:shd w:val="clear" w:color="auto" w:fill="DBE5F1" w:themeFill="accent1" w:themeFillTint="33"/>
          </w:tcPr>
          <w:p w14:paraId="4CC9B35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5,000 </w:t>
            </w:r>
          </w:p>
        </w:tc>
        <w:tc>
          <w:tcPr>
            <w:tcW w:w="850" w:type="dxa"/>
            <w:tcBorders>
              <w:top w:val="nil"/>
              <w:left w:val="single" w:sz="6" w:space="0" w:color="auto"/>
              <w:bottom w:val="nil"/>
              <w:right w:val="single" w:sz="6" w:space="0" w:color="auto"/>
            </w:tcBorders>
            <w:shd w:val="clear" w:color="auto" w:fill="DBE5F1" w:themeFill="accent1" w:themeFillTint="33"/>
          </w:tcPr>
          <w:p w14:paraId="70F2A52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5,000 </w:t>
            </w:r>
          </w:p>
        </w:tc>
        <w:tc>
          <w:tcPr>
            <w:tcW w:w="1020" w:type="dxa"/>
            <w:tcBorders>
              <w:top w:val="nil"/>
              <w:left w:val="single" w:sz="6" w:space="0" w:color="auto"/>
              <w:bottom w:val="nil"/>
              <w:right w:val="single" w:sz="6" w:space="0" w:color="auto"/>
            </w:tcBorders>
            <w:shd w:val="clear" w:color="auto" w:fill="DBE5F1" w:themeFill="accent1" w:themeFillTint="33"/>
          </w:tcPr>
          <w:p w14:paraId="27B726C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150,000</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38589211"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15,000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38E858DD"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15,000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44A5E316"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5,000 </w:t>
            </w:r>
          </w:p>
        </w:tc>
        <w:tc>
          <w:tcPr>
            <w:tcW w:w="801" w:type="dxa"/>
            <w:tcBorders>
              <w:top w:val="nil"/>
              <w:left w:val="single" w:sz="6" w:space="0" w:color="auto"/>
              <w:bottom w:val="nil"/>
              <w:right w:val="single" w:sz="6" w:space="0" w:color="auto"/>
            </w:tcBorders>
            <w:shd w:val="clear" w:color="auto" w:fill="FFFDD6"/>
          </w:tcPr>
          <w:p w14:paraId="2B05A3C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1269BD07"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185,000 </w:t>
            </w:r>
          </w:p>
        </w:tc>
      </w:tr>
      <w:tr w:rsidR="00262BBF" w:rsidRPr="009B2D70" w14:paraId="419303DB" w14:textId="77777777" w:rsidTr="008F3C55">
        <w:trPr>
          <w:trHeight w:val="113"/>
        </w:trPr>
        <w:tc>
          <w:tcPr>
            <w:tcW w:w="3288" w:type="dxa"/>
            <w:tcBorders>
              <w:top w:val="single" w:sz="6" w:space="0" w:color="C0C0C0"/>
              <w:left w:val="single" w:sz="6" w:space="0" w:color="auto"/>
              <w:bottom w:val="single" w:sz="6" w:space="0" w:color="auto"/>
              <w:right w:val="single" w:sz="6" w:space="0" w:color="auto"/>
            </w:tcBorders>
          </w:tcPr>
          <w:p w14:paraId="0217D69F"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NSO Support Materials</w:t>
            </w:r>
          </w:p>
        </w:tc>
        <w:tc>
          <w:tcPr>
            <w:tcW w:w="1020" w:type="dxa"/>
            <w:tcBorders>
              <w:top w:val="nil"/>
              <w:left w:val="single" w:sz="6" w:space="0" w:color="auto"/>
              <w:bottom w:val="nil"/>
              <w:right w:val="single" w:sz="6" w:space="0" w:color="auto"/>
            </w:tcBorders>
            <w:shd w:val="clear" w:color="auto" w:fill="EAF1DD" w:themeFill="accent3" w:themeFillTint="33"/>
          </w:tcPr>
          <w:p w14:paraId="679148F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20,000</w:t>
            </w:r>
          </w:p>
        </w:tc>
        <w:tc>
          <w:tcPr>
            <w:tcW w:w="850" w:type="dxa"/>
            <w:tcBorders>
              <w:top w:val="single" w:sz="6" w:space="0" w:color="C0C0C0"/>
              <w:left w:val="single" w:sz="6" w:space="0" w:color="auto"/>
              <w:bottom w:val="single" w:sz="6" w:space="0" w:color="auto"/>
              <w:right w:val="single" w:sz="6" w:space="0" w:color="auto"/>
            </w:tcBorders>
            <w:shd w:val="clear" w:color="auto" w:fill="DBE5F1" w:themeFill="accent1" w:themeFillTint="33"/>
          </w:tcPr>
          <w:p w14:paraId="4BA9C05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single" w:sz="6" w:space="0" w:color="auto"/>
              <w:bottom w:val="nil"/>
              <w:right w:val="single" w:sz="6" w:space="0" w:color="auto"/>
            </w:tcBorders>
            <w:shd w:val="clear" w:color="auto" w:fill="DBE5F1" w:themeFill="accent1" w:themeFillTint="33"/>
          </w:tcPr>
          <w:p w14:paraId="4A45B84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single" w:sz="6" w:space="0" w:color="auto"/>
              <w:bottom w:val="nil"/>
              <w:right w:val="single" w:sz="6" w:space="0" w:color="auto"/>
            </w:tcBorders>
            <w:shd w:val="clear" w:color="auto" w:fill="DBE5F1" w:themeFill="accent1" w:themeFillTint="33"/>
          </w:tcPr>
          <w:p w14:paraId="6FBC603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single" w:sz="6" w:space="0" w:color="auto"/>
              <w:bottom w:val="nil"/>
              <w:right w:val="single" w:sz="6" w:space="0" w:color="auto"/>
            </w:tcBorders>
            <w:shd w:val="clear" w:color="auto" w:fill="DBE5F1" w:themeFill="accent1" w:themeFillTint="33"/>
          </w:tcPr>
          <w:p w14:paraId="28C46D6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1020" w:type="dxa"/>
            <w:tcBorders>
              <w:top w:val="nil"/>
              <w:left w:val="single" w:sz="6" w:space="0" w:color="auto"/>
              <w:bottom w:val="nil"/>
              <w:right w:val="single" w:sz="6" w:space="0" w:color="auto"/>
            </w:tcBorders>
            <w:shd w:val="clear" w:color="auto" w:fill="DBE5F1" w:themeFill="accent1" w:themeFillTint="33"/>
          </w:tcPr>
          <w:p w14:paraId="12A51A0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10,000</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62E5293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0C6AB0D8"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740F1918"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01" w:type="dxa"/>
            <w:tcBorders>
              <w:top w:val="nil"/>
              <w:left w:val="single" w:sz="6" w:space="0" w:color="auto"/>
              <w:bottom w:val="nil"/>
              <w:right w:val="single" w:sz="6" w:space="0" w:color="auto"/>
            </w:tcBorders>
            <w:shd w:val="clear" w:color="auto" w:fill="FFFDD6"/>
          </w:tcPr>
          <w:p w14:paraId="0242AAA1"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52988E2C"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10,000 </w:t>
            </w:r>
          </w:p>
        </w:tc>
      </w:tr>
      <w:tr w:rsidR="00262BBF" w:rsidRPr="009B2D70" w14:paraId="2CB1841C" w14:textId="77777777" w:rsidTr="008F3C55">
        <w:trPr>
          <w:trHeight w:val="113"/>
        </w:trPr>
        <w:tc>
          <w:tcPr>
            <w:tcW w:w="3288" w:type="dxa"/>
            <w:tcBorders>
              <w:top w:val="single" w:sz="6" w:space="0" w:color="auto"/>
              <w:left w:val="single" w:sz="6" w:space="0" w:color="auto"/>
              <w:bottom w:val="double" w:sz="6" w:space="0" w:color="auto"/>
              <w:right w:val="single" w:sz="6" w:space="0" w:color="auto"/>
            </w:tcBorders>
          </w:tcPr>
          <w:p w14:paraId="4007B92F"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w:t>
            </w:r>
          </w:p>
        </w:tc>
        <w:tc>
          <w:tcPr>
            <w:tcW w:w="1020" w:type="dxa"/>
            <w:tcBorders>
              <w:top w:val="single" w:sz="6" w:space="0" w:color="auto"/>
              <w:left w:val="single" w:sz="6" w:space="0" w:color="auto"/>
              <w:bottom w:val="double" w:sz="6" w:space="0" w:color="auto"/>
              <w:right w:val="single" w:sz="6" w:space="0" w:color="auto"/>
            </w:tcBorders>
            <w:shd w:val="clear" w:color="auto" w:fill="EAF1DD" w:themeFill="accent3" w:themeFillTint="33"/>
          </w:tcPr>
          <w:p w14:paraId="035804A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220,000</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62B69C6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12,000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29B2EA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7,000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6659939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6,000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57FAFF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6,000 </w:t>
            </w:r>
          </w:p>
        </w:tc>
        <w:tc>
          <w:tcPr>
            <w:tcW w:w="102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5E8D913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210,000</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7808843A"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17,000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79C5AD70"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16,000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2F9B9202"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6,000 </w:t>
            </w:r>
          </w:p>
        </w:tc>
        <w:tc>
          <w:tcPr>
            <w:tcW w:w="801" w:type="dxa"/>
            <w:tcBorders>
              <w:top w:val="single" w:sz="6" w:space="0" w:color="auto"/>
              <w:left w:val="single" w:sz="6" w:space="0" w:color="auto"/>
              <w:bottom w:val="double" w:sz="6" w:space="0" w:color="auto"/>
              <w:right w:val="single" w:sz="6" w:space="0" w:color="auto"/>
            </w:tcBorders>
            <w:shd w:val="clear" w:color="auto" w:fill="FFFDD6"/>
          </w:tcPr>
          <w:p w14:paraId="7E3D14F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085B2BF1"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249,000 </w:t>
            </w:r>
          </w:p>
        </w:tc>
      </w:tr>
      <w:tr w:rsidR="00262BBF" w:rsidRPr="009B2D70" w14:paraId="7CB25635" w14:textId="77777777" w:rsidTr="008F3C55">
        <w:trPr>
          <w:trHeight w:val="113"/>
        </w:trPr>
        <w:tc>
          <w:tcPr>
            <w:tcW w:w="3288" w:type="dxa"/>
            <w:tcBorders>
              <w:top w:val="nil"/>
              <w:left w:val="nil"/>
              <w:bottom w:val="nil"/>
              <w:right w:val="nil"/>
            </w:tcBorders>
            <w:shd w:val="clear" w:color="auto" w:fill="auto"/>
          </w:tcPr>
          <w:p w14:paraId="3125EB8F"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16CA881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72D2DA1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1E050C4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42B5DA7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558BB231"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6B3FF84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vAlign w:val="center"/>
          </w:tcPr>
          <w:p w14:paraId="102402DA"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508E16DF"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76105342"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01" w:type="dxa"/>
            <w:tcBorders>
              <w:top w:val="nil"/>
              <w:left w:val="nil"/>
              <w:bottom w:val="nil"/>
              <w:right w:val="nil"/>
            </w:tcBorders>
          </w:tcPr>
          <w:p w14:paraId="6B56FA8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nil"/>
              <w:left w:val="nil"/>
              <w:bottom w:val="nil"/>
              <w:right w:val="nil"/>
            </w:tcBorders>
            <w:shd w:val="clear" w:color="auto" w:fill="auto"/>
            <w:vAlign w:val="center"/>
          </w:tcPr>
          <w:p w14:paraId="02D6922C" w14:textId="77777777" w:rsidR="00262BBF" w:rsidRPr="001C67A6" w:rsidRDefault="00262BBF" w:rsidP="008F3C55">
            <w:pPr>
              <w:spacing w:before="0" w:after="0"/>
              <w:ind w:firstLine="173"/>
              <w:rPr>
                <w:rFonts w:ascii="Arial Narrow" w:eastAsia="Times New Roman" w:hAnsi="Arial Narrow" w:cs="Arial"/>
                <w:b/>
                <w:bCs/>
                <w:sz w:val="16"/>
                <w:szCs w:val="16"/>
              </w:rPr>
            </w:pPr>
          </w:p>
        </w:tc>
      </w:tr>
      <w:tr w:rsidR="00262BBF" w:rsidRPr="009B2D70" w14:paraId="13024FCF" w14:textId="77777777" w:rsidTr="008F3C55">
        <w:trPr>
          <w:trHeight w:val="113"/>
        </w:trPr>
        <w:tc>
          <w:tcPr>
            <w:tcW w:w="3288" w:type="dxa"/>
            <w:tcBorders>
              <w:top w:val="single" w:sz="6" w:space="0" w:color="auto"/>
              <w:left w:val="single" w:sz="6" w:space="0" w:color="auto"/>
              <w:bottom w:val="single" w:sz="6" w:space="0" w:color="auto"/>
              <w:right w:val="single" w:sz="6" w:space="0" w:color="auto"/>
            </w:tcBorders>
          </w:tcPr>
          <w:p w14:paraId="60A2203F"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i/>
                <w:iCs/>
                <w:color w:val="000000"/>
                <w:sz w:val="16"/>
                <w:szCs w:val="16"/>
                <w:lang w:eastAsia="en-AU"/>
              </w:rPr>
            </w:pPr>
            <w:r w:rsidRPr="009B2D70">
              <w:rPr>
                <w:rFonts w:asciiTheme="minorHAnsi" w:eastAsia="Calibri" w:hAnsiTheme="minorHAnsi" w:cs="Arial Narrow"/>
                <w:b/>
                <w:bCs/>
                <w:i/>
                <w:iCs/>
                <w:color w:val="000000"/>
                <w:sz w:val="16"/>
                <w:szCs w:val="16"/>
                <w:lang w:eastAsia="en-AU"/>
              </w:rPr>
              <w:t>Provincial Coordination Capacity Building</w:t>
            </w:r>
          </w:p>
        </w:tc>
        <w:tc>
          <w:tcPr>
            <w:tcW w:w="102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6BBFE8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nil"/>
              <w:right w:val="single" w:sz="6" w:space="0" w:color="auto"/>
            </w:tcBorders>
            <w:shd w:val="clear" w:color="auto" w:fill="DBE5F1" w:themeFill="accent1" w:themeFillTint="33"/>
          </w:tcPr>
          <w:p w14:paraId="351F911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70E5E0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3AD6C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4DDFF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95DA8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5AEC3D56"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33F9E81B"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154A21D0"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01" w:type="dxa"/>
            <w:tcBorders>
              <w:top w:val="single" w:sz="6" w:space="0" w:color="auto"/>
              <w:left w:val="single" w:sz="6" w:space="0" w:color="auto"/>
              <w:bottom w:val="single" w:sz="6" w:space="0" w:color="auto"/>
              <w:right w:val="single" w:sz="6" w:space="0" w:color="auto"/>
            </w:tcBorders>
            <w:shd w:val="clear" w:color="auto" w:fill="FFFDD6"/>
          </w:tcPr>
          <w:p w14:paraId="57FFDF6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0E2A977D"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r>
      <w:tr w:rsidR="00262BBF" w:rsidRPr="009B2D70" w14:paraId="1051CFD7" w14:textId="77777777" w:rsidTr="008F3C55">
        <w:trPr>
          <w:trHeight w:val="113"/>
        </w:trPr>
        <w:tc>
          <w:tcPr>
            <w:tcW w:w="3288" w:type="dxa"/>
            <w:tcBorders>
              <w:top w:val="nil"/>
              <w:left w:val="single" w:sz="6" w:space="0" w:color="auto"/>
              <w:bottom w:val="single" w:sz="6" w:space="0" w:color="C0C0C0"/>
              <w:right w:val="single" w:sz="6" w:space="0" w:color="auto"/>
            </w:tcBorders>
          </w:tcPr>
          <w:p w14:paraId="5ABC70EB"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Stakeholder Planning Workshops</w:t>
            </w:r>
          </w:p>
        </w:tc>
        <w:tc>
          <w:tcPr>
            <w:tcW w:w="1020" w:type="dxa"/>
            <w:tcBorders>
              <w:top w:val="nil"/>
              <w:left w:val="single" w:sz="6" w:space="0" w:color="auto"/>
              <w:bottom w:val="nil"/>
              <w:right w:val="single" w:sz="6" w:space="0" w:color="auto"/>
            </w:tcBorders>
            <w:shd w:val="clear" w:color="auto" w:fill="EAF1DD" w:themeFill="accent3" w:themeFillTint="33"/>
          </w:tcPr>
          <w:p w14:paraId="0A44D47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60,000</w:t>
            </w:r>
          </w:p>
        </w:tc>
        <w:tc>
          <w:tcPr>
            <w:tcW w:w="850" w:type="dxa"/>
            <w:tcBorders>
              <w:top w:val="single" w:sz="6" w:space="0" w:color="auto"/>
              <w:left w:val="nil"/>
              <w:bottom w:val="nil"/>
              <w:right w:val="single" w:sz="6" w:space="0" w:color="auto"/>
            </w:tcBorders>
            <w:shd w:val="clear" w:color="auto" w:fill="DBE5F1" w:themeFill="accent1" w:themeFillTint="33"/>
          </w:tcPr>
          <w:p w14:paraId="0D97C50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5,000 </w:t>
            </w:r>
          </w:p>
        </w:tc>
        <w:tc>
          <w:tcPr>
            <w:tcW w:w="850" w:type="dxa"/>
            <w:tcBorders>
              <w:top w:val="nil"/>
              <w:left w:val="nil"/>
              <w:bottom w:val="nil"/>
              <w:right w:val="single" w:sz="6" w:space="0" w:color="auto"/>
            </w:tcBorders>
            <w:shd w:val="clear" w:color="auto" w:fill="DBE5F1" w:themeFill="accent1" w:themeFillTint="33"/>
          </w:tcPr>
          <w:p w14:paraId="126F6C2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5,000 </w:t>
            </w:r>
          </w:p>
        </w:tc>
        <w:tc>
          <w:tcPr>
            <w:tcW w:w="850" w:type="dxa"/>
            <w:tcBorders>
              <w:top w:val="nil"/>
              <w:left w:val="nil"/>
              <w:bottom w:val="nil"/>
              <w:right w:val="single" w:sz="6" w:space="0" w:color="auto"/>
            </w:tcBorders>
            <w:shd w:val="clear" w:color="auto" w:fill="DBE5F1" w:themeFill="accent1" w:themeFillTint="33"/>
          </w:tcPr>
          <w:p w14:paraId="5795B5C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5,000 </w:t>
            </w:r>
          </w:p>
        </w:tc>
        <w:tc>
          <w:tcPr>
            <w:tcW w:w="850" w:type="dxa"/>
            <w:tcBorders>
              <w:top w:val="nil"/>
              <w:left w:val="nil"/>
              <w:bottom w:val="nil"/>
              <w:right w:val="single" w:sz="6" w:space="0" w:color="auto"/>
            </w:tcBorders>
            <w:shd w:val="clear" w:color="auto" w:fill="DBE5F1" w:themeFill="accent1" w:themeFillTint="33"/>
          </w:tcPr>
          <w:p w14:paraId="256AFB9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5,000 </w:t>
            </w:r>
          </w:p>
        </w:tc>
        <w:tc>
          <w:tcPr>
            <w:tcW w:w="1020" w:type="dxa"/>
            <w:tcBorders>
              <w:top w:val="nil"/>
              <w:left w:val="single" w:sz="6" w:space="0" w:color="auto"/>
              <w:bottom w:val="nil"/>
              <w:right w:val="single" w:sz="6" w:space="0" w:color="auto"/>
            </w:tcBorders>
            <w:shd w:val="clear" w:color="auto" w:fill="DBE5F1" w:themeFill="accent1" w:themeFillTint="33"/>
          </w:tcPr>
          <w:p w14:paraId="1443A6F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90,000</w:t>
            </w:r>
          </w:p>
        </w:tc>
        <w:tc>
          <w:tcPr>
            <w:tcW w:w="850" w:type="dxa"/>
            <w:tcBorders>
              <w:top w:val="nil"/>
              <w:left w:val="nil"/>
              <w:bottom w:val="nil"/>
              <w:right w:val="single" w:sz="6" w:space="0" w:color="auto"/>
            </w:tcBorders>
            <w:shd w:val="clear" w:color="auto" w:fill="F2DBDB" w:themeFill="accent2" w:themeFillTint="33"/>
            <w:vAlign w:val="center"/>
          </w:tcPr>
          <w:p w14:paraId="0268AE38"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5,000 </w:t>
            </w:r>
          </w:p>
        </w:tc>
        <w:tc>
          <w:tcPr>
            <w:tcW w:w="850" w:type="dxa"/>
            <w:tcBorders>
              <w:top w:val="nil"/>
              <w:left w:val="nil"/>
              <w:bottom w:val="nil"/>
              <w:right w:val="single" w:sz="6" w:space="0" w:color="auto"/>
            </w:tcBorders>
            <w:shd w:val="clear" w:color="auto" w:fill="F2DBDB" w:themeFill="accent2" w:themeFillTint="33"/>
            <w:vAlign w:val="center"/>
          </w:tcPr>
          <w:p w14:paraId="04F04A14"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15,000 </w:t>
            </w:r>
          </w:p>
        </w:tc>
        <w:tc>
          <w:tcPr>
            <w:tcW w:w="850" w:type="dxa"/>
            <w:tcBorders>
              <w:top w:val="nil"/>
              <w:left w:val="nil"/>
              <w:bottom w:val="nil"/>
              <w:right w:val="single" w:sz="6" w:space="0" w:color="auto"/>
            </w:tcBorders>
            <w:shd w:val="clear" w:color="auto" w:fill="F2DBDB" w:themeFill="accent2" w:themeFillTint="33"/>
            <w:vAlign w:val="center"/>
          </w:tcPr>
          <w:p w14:paraId="1156896F"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5,000 </w:t>
            </w:r>
          </w:p>
        </w:tc>
        <w:tc>
          <w:tcPr>
            <w:tcW w:w="801" w:type="dxa"/>
            <w:tcBorders>
              <w:top w:val="nil"/>
              <w:left w:val="single" w:sz="6" w:space="0" w:color="auto"/>
              <w:bottom w:val="nil"/>
              <w:right w:val="single" w:sz="6" w:space="0" w:color="auto"/>
            </w:tcBorders>
            <w:shd w:val="clear" w:color="auto" w:fill="FFFDD6"/>
          </w:tcPr>
          <w:p w14:paraId="3FE3193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25,000</w:t>
            </w:r>
            <w:r>
              <w:rPr>
                <w:rStyle w:val="FootnoteReference"/>
                <w:rFonts w:asciiTheme="minorHAnsi" w:eastAsia="Calibri" w:hAnsiTheme="minorHAnsi" w:cs="Arial Narrow"/>
                <w:color w:val="000000"/>
                <w:sz w:val="16"/>
                <w:szCs w:val="16"/>
                <w:lang w:eastAsia="en-AU"/>
              </w:rPr>
              <w:footnoteReference w:id="3"/>
            </w: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064B42E4"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140,000 </w:t>
            </w:r>
          </w:p>
        </w:tc>
      </w:tr>
      <w:tr w:rsidR="00262BBF" w:rsidRPr="009B2D70" w14:paraId="3EE2CD96" w14:textId="77777777" w:rsidTr="008F3C55">
        <w:trPr>
          <w:trHeight w:val="113"/>
        </w:trPr>
        <w:tc>
          <w:tcPr>
            <w:tcW w:w="3288" w:type="dxa"/>
            <w:tcBorders>
              <w:top w:val="single" w:sz="6" w:space="0" w:color="C0C0C0"/>
              <w:left w:val="single" w:sz="6" w:space="0" w:color="auto"/>
              <w:bottom w:val="single" w:sz="6" w:space="0" w:color="C0C0C0"/>
              <w:right w:val="single" w:sz="6" w:space="0" w:color="auto"/>
            </w:tcBorders>
          </w:tcPr>
          <w:p w14:paraId="2D9F28A0"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PTB/PCC/TVET Personnel</w:t>
            </w:r>
          </w:p>
        </w:tc>
        <w:tc>
          <w:tcPr>
            <w:tcW w:w="1020" w:type="dxa"/>
            <w:tcBorders>
              <w:top w:val="nil"/>
              <w:left w:val="single" w:sz="6" w:space="0" w:color="auto"/>
              <w:bottom w:val="nil"/>
              <w:right w:val="single" w:sz="6" w:space="0" w:color="auto"/>
            </w:tcBorders>
            <w:shd w:val="clear" w:color="auto" w:fill="EAF1DD" w:themeFill="accent3" w:themeFillTint="33"/>
          </w:tcPr>
          <w:p w14:paraId="4DE63A7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100,000</w:t>
            </w:r>
          </w:p>
        </w:tc>
        <w:tc>
          <w:tcPr>
            <w:tcW w:w="850" w:type="dxa"/>
            <w:tcBorders>
              <w:top w:val="nil"/>
              <w:left w:val="nil"/>
              <w:bottom w:val="nil"/>
              <w:right w:val="single" w:sz="6" w:space="0" w:color="auto"/>
            </w:tcBorders>
            <w:shd w:val="clear" w:color="auto" w:fill="DBE5F1" w:themeFill="accent1" w:themeFillTint="33"/>
          </w:tcPr>
          <w:p w14:paraId="145DFE3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74EE37A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71DAF4C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77EDB67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1020" w:type="dxa"/>
            <w:tcBorders>
              <w:top w:val="nil"/>
              <w:left w:val="single" w:sz="6" w:space="0" w:color="auto"/>
              <w:bottom w:val="nil"/>
              <w:right w:val="single" w:sz="6" w:space="0" w:color="auto"/>
            </w:tcBorders>
            <w:shd w:val="clear" w:color="auto" w:fill="DBE5F1" w:themeFill="accent1" w:themeFillTint="33"/>
          </w:tcPr>
          <w:p w14:paraId="757E897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170,000</w:t>
            </w:r>
          </w:p>
        </w:tc>
        <w:tc>
          <w:tcPr>
            <w:tcW w:w="850" w:type="dxa"/>
            <w:tcBorders>
              <w:top w:val="nil"/>
              <w:left w:val="nil"/>
              <w:bottom w:val="nil"/>
              <w:right w:val="single" w:sz="6" w:space="0" w:color="auto"/>
            </w:tcBorders>
            <w:shd w:val="clear" w:color="auto" w:fill="F2DBDB" w:themeFill="accent2" w:themeFillTint="33"/>
            <w:vAlign w:val="center"/>
          </w:tcPr>
          <w:p w14:paraId="126B782A"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31,500 </w:t>
            </w:r>
          </w:p>
        </w:tc>
        <w:tc>
          <w:tcPr>
            <w:tcW w:w="850" w:type="dxa"/>
            <w:tcBorders>
              <w:top w:val="nil"/>
              <w:left w:val="nil"/>
              <w:bottom w:val="nil"/>
              <w:right w:val="single" w:sz="6" w:space="0" w:color="auto"/>
            </w:tcBorders>
            <w:shd w:val="clear" w:color="auto" w:fill="F2DBDB" w:themeFill="accent2" w:themeFillTint="33"/>
            <w:vAlign w:val="center"/>
          </w:tcPr>
          <w:p w14:paraId="3FED9B14"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11,500 </w:t>
            </w:r>
          </w:p>
        </w:tc>
        <w:tc>
          <w:tcPr>
            <w:tcW w:w="850" w:type="dxa"/>
            <w:tcBorders>
              <w:top w:val="nil"/>
              <w:left w:val="nil"/>
              <w:bottom w:val="nil"/>
              <w:right w:val="single" w:sz="6" w:space="0" w:color="auto"/>
            </w:tcBorders>
            <w:shd w:val="clear" w:color="auto" w:fill="F2DBDB" w:themeFill="accent2" w:themeFillTint="33"/>
            <w:vAlign w:val="center"/>
          </w:tcPr>
          <w:p w14:paraId="19633478"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 </w:t>
            </w:r>
          </w:p>
        </w:tc>
        <w:tc>
          <w:tcPr>
            <w:tcW w:w="801" w:type="dxa"/>
            <w:tcBorders>
              <w:top w:val="nil"/>
              <w:left w:val="single" w:sz="6" w:space="0" w:color="auto"/>
              <w:bottom w:val="nil"/>
              <w:right w:val="single" w:sz="6" w:space="0" w:color="auto"/>
            </w:tcBorders>
            <w:shd w:val="clear" w:color="auto" w:fill="FFFDD6"/>
          </w:tcPr>
          <w:p w14:paraId="0DE0B02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7FD23907"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214,500 </w:t>
            </w:r>
          </w:p>
        </w:tc>
      </w:tr>
      <w:tr w:rsidR="00262BBF" w:rsidRPr="009B2D70" w14:paraId="57A9071B" w14:textId="77777777" w:rsidTr="008F3C55">
        <w:trPr>
          <w:trHeight w:val="113"/>
        </w:trPr>
        <w:tc>
          <w:tcPr>
            <w:tcW w:w="3288" w:type="dxa"/>
            <w:tcBorders>
              <w:top w:val="single" w:sz="6" w:space="0" w:color="C0C0C0"/>
              <w:left w:val="single" w:sz="6" w:space="0" w:color="auto"/>
              <w:bottom w:val="single" w:sz="6" w:space="0" w:color="C0C0C0"/>
              <w:right w:val="single" w:sz="6" w:space="0" w:color="auto"/>
            </w:tcBorders>
          </w:tcPr>
          <w:p w14:paraId="1DF5B9B4"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ETF Access Training</w:t>
            </w:r>
          </w:p>
        </w:tc>
        <w:tc>
          <w:tcPr>
            <w:tcW w:w="1020" w:type="dxa"/>
            <w:tcBorders>
              <w:top w:val="nil"/>
              <w:left w:val="single" w:sz="6" w:space="0" w:color="auto"/>
              <w:bottom w:val="nil"/>
              <w:right w:val="single" w:sz="6" w:space="0" w:color="auto"/>
            </w:tcBorders>
            <w:shd w:val="clear" w:color="auto" w:fill="EAF1DD" w:themeFill="accent3" w:themeFillTint="33"/>
          </w:tcPr>
          <w:p w14:paraId="76E1E96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60,000</w:t>
            </w:r>
          </w:p>
        </w:tc>
        <w:tc>
          <w:tcPr>
            <w:tcW w:w="850" w:type="dxa"/>
            <w:tcBorders>
              <w:top w:val="nil"/>
              <w:left w:val="nil"/>
              <w:bottom w:val="nil"/>
              <w:right w:val="single" w:sz="6" w:space="0" w:color="auto"/>
            </w:tcBorders>
            <w:shd w:val="clear" w:color="auto" w:fill="DBE5F1" w:themeFill="accent1" w:themeFillTint="33"/>
          </w:tcPr>
          <w:p w14:paraId="53C5264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2,000 </w:t>
            </w:r>
          </w:p>
        </w:tc>
        <w:tc>
          <w:tcPr>
            <w:tcW w:w="850" w:type="dxa"/>
            <w:tcBorders>
              <w:top w:val="nil"/>
              <w:left w:val="nil"/>
              <w:bottom w:val="nil"/>
              <w:right w:val="single" w:sz="6" w:space="0" w:color="auto"/>
            </w:tcBorders>
            <w:shd w:val="clear" w:color="auto" w:fill="DBE5F1" w:themeFill="accent1" w:themeFillTint="33"/>
          </w:tcPr>
          <w:p w14:paraId="4D59913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0024994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1719691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1020" w:type="dxa"/>
            <w:tcBorders>
              <w:top w:val="nil"/>
              <w:left w:val="single" w:sz="6" w:space="0" w:color="auto"/>
              <w:bottom w:val="nil"/>
              <w:right w:val="single" w:sz="6" w:space="0" w:color="auto"/>
            </w:tcBorders>
            <w:shd w:val="clear" w:color="auto" w:fill="DBE5F1" w:themeFill="accent1" w:themeFillTint="33"/>
          </w:tcPr>
          <w:p w14:paraId="44E1CD4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80,000</w:t>
            </w:r>
          </w:p>
        </w:tc>
        <w:tc>
          <w:tcPr>
            <w:tcW w:w="850" w:type="dxa"/>
            <w:tcBorders>
              <w:top w:val="nil"/>
              <w:left w:val="nil"/>
              <w:bottom w:val="nil"/>
              <w:right w:val="single" w:sz="6" w:space="0" w:color="auto"/>
            </w:tcBorders>
            <w:shd w:val="clear" w:color="auto" w:fill="F2DBDB" w:themeFill="accent2" w:themeFillTint="33"/>
            <w:vAlign w:val="center"/>
          </w:tcPr>
          <w:p w14:paraId="258D2C44"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 </w:t>
            </w:r>
          </w:p>
        </w:tc>
        <w:tc>
          <w:tcPr>
            <w:tcW w:w="850" w:type="dxa"/>
            <w:tcBorders>
              <w:top w:val="nil"/>
              <w:left w:val="nil"/>
              <w:bottom w:val="nil"/>
              <w:right w:val="single" w:sz="6" w:space="0" w:color="auto"/>
            </w:tcBorders>
            <w:shd w:val="clear" w:color="auto" w:fill="F2DBDB" w:themeFill="accent2" w:themeFillTint="33"/>
            <w:vAlign w:val="center"/>
          </w:tcPr>
          <w:p w14:paraId="33E7E1FA"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 </w:t>
            </w:r>
          </w:p>
        </w:tc>
        <w:tc>
          <w:tcPr>
            <w:tcW w:w="850" w:type="dxa"/>
            <w:tcBorders>
              <w:top w:val="nil"/>
              <w:left w:val="nil"/>
              <w:bottom w:val="nil"/>
              <w:right w:val="single" w:sz="6" w:space="0" w:color="auto"/>
            </w:tcBorders>
            <w:shd w:val="clear" w:color="auto" w:fill="F2DBDB" w:themeFill="accent2" w:themeFillTint="33"/>
            <w:vAlign w:val="center"/>
          </w:tcPr>
          <w:p w14:paraId="61D51347"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 </w:t>
            </w:r>
          </w:p>
        </w:tc>
        <w:tc>
          <w:tcPr>
            <w:tcW w:w="801" w:type="dxa"/>
            <w:tcBorders>
              <w:top w:val="nil"/>
              <w:left w:val="single" w:sz="6" w:space="0" w:color="auto"/>
              <w:bottom w:val="nil"/>
              <w:right w:val="single" w:sz="6" w:space="0" w:color="auto"/>
            </w:tcBorders>
            <w:shd w:val="clear" w:color="auto" w:fill="FFFDD6"/>
          </w:tcPr>
          <w:p w14:paraId="4651745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3DEA115E"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84,500 </w:t>
            </w:r>
          </w:p>
        </w:tc>
      </w:tr>
      <w:tr w:rsidR="00262BBF" w:rsidRPr="009B2D70" w14:paraId="1E8BA76F" w14:textId="77777777" w:rsidTr="008F3C55">
        <w:trPr>
          <w:trHeight w:val="113"/>
        </w:trPr>
        <w:tc>
          <w:tcPr>
            <w:tcW w:w="3288" w:type="dxa"/>
            <w:tcBorders>
              <w:top w:val="single" w:sz="6" w:space="0" w:color="C0C0C0"/>
              <w:left w:val="single" w:sz="6" w:space="0" w:color="auto"/>
              <w:bottom w:val="single" w:sz="6" w:space="0" w:color="C0C0C0"/>
              <w:right w:val="single" w:sz="6" w:space="0" w:color="auto"/>
            </w:tcBorders>
          </w:tcPr>
          <w:p w14:paraId="0A828D59"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BDS/ES Provider Training</w:t>
            </w:r>
          </w:p>
        </w:tc>
        <w:tc>
          <w:tcPr>
            <w:tcW w:w="1020" w:type="dxa"/>
            <w:tcBorders>
              <w:top w:val="nil"/>
              <w:left w:val="single" w:sz="6" w:space="0" w:color="auto"/>
              <w:bottom w:val="nil"/>
              <w:right w:val="single" w:sz="6" w:space="0" w:color="auto"/>
            </w:tcBorders>
            <w:shd w:val="clear" w:color="auto" w:fill="EAF1DD" w:themeFill="accent3" w:themeFillTint="33"/>
          </w:tcPr>
          <w:p w14:paraId="4D75507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80,000</w:t>
            </w:r>
          </w:p>
        </w:tc>
        <w:tc>
          <w:tcPr>
            <w:tcW w:w="850" w:type="dxa"/>
            <w:tcBorders>
              <w:top w:val="nil"/>
              <w:left w:val="nil"/>
              <w:bottom w:val="nil"/>
              <w:right w:val="single" w:sz="6" w:space="0" w:color="auto"/>
            </w:tcBorders>
            <w:shd w:val="clear" w:color="auto" w:fill="DBE5F1" w:themeFill="accent1" w:themeFillTint="33"/>
          </w:tcPr>
          <w:p w14:paraId="289BF95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02B91C8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1287468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6AAA3FD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1020" w:type="dxa"/>
            <w:tcBorders>
              <w:top w:val="nil"/>
              <w:left w:val="single" w:sz="6" w:space="0" w:color="auto"/>
              <w:bottom w:val="nil"/>
              <w:right w:val="single" w:sz="6" w:space="0" w:color="auto"/>
            </w:tcBorders>
            <w:shd w:val="clear" w:color="auto" w:fill="DBE5F1" w:themeFill="accent1" w:themeFillTint="33"/>
          </w:tcPr>
          <w:p w14:paraId="20607A9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80,000</w:t>
            </w:r>
          </w:p>
        </w:tc>
        <w:tc>
          <w:tcPr>
            <w:tcW w:w="850" w:type="dxa"/>
            <w:tcBorders>
              <w:top w:val="nil"/>
              <w:left w:val="nil"/>
              <w:bottom w:val="nil"/>
              <w:right w:val="single" w:sz="6" w:space="0" w:color="auto"/>
            </w:tcBorders>
            <w:shd w:val="clear" w:color="auto" w:fill="F2DBDB" w:themeFill="accent2" w:themeFillTint="33"/>
            <w:vAlign w:val="center"/>
          </w:tcPr>
          <w:p w14:paraId="304CD2DF"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0E4275D4"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26AEFE10"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01" w:type="dxa"/>
            <w:tcBorders>
              <w:top w:val="nil"/>
              <w:left w:val="single" w:sz="6" w:space="0" w:color="auto"/>
              <w:bottom w:val="nil"/>
              <w:right w:val="single" w:sz="6" w:space="0" w:color="auto"/>
            </w:tcBorders>
            <w:shd w:val="clear" w:color="auto" w:fill="FFFDD6"/>
          </w:tcPr>
          <w:p w14:paraId="2255808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4531B222"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80,000 </w:t>
            </w:r>
          </w:p>
        </w:tc>
      </w:tr>
      <w:tr w:rsidR="00262BBF" w:rsidRPr="009B2D70" w14:paraId="01337BCA" w14:textId="77777777" w:rsidTr="008F3C55">
        <w:trPr>
          <w:trHeight w:val="113"/>
        </w:trPr>
        <w:tc>
          <w:tcPr>
            <w:tcW w:w="3288" w:type="dxa"/>
            <w:tcBorders>
              <w:top w:val="single" w:sz="6" w:space="0" w:color="C0C0C0"/>
              <w:left w:val="single" w:sz="6" w:space="0" w:color="auto"/>
              <w:bottom w:val="single" w:sz="6" w:space="0" w:color="C0C0C0"/>
              <w:right w:val="single" w:sz="6" w:space="0" w:color="auto"/>
            </w:tcBorders>
          </w:tcPr>
          <w:p w14:paraId="6EA30212"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VNTC </w:t>
            </w:r>
            <w:proofErr w:type="spellStart"/>
            <w:r w:rsidRPr="009B2D70">
              <w:rPr>
                <w:rFonts w:asciiTheme="minorHAnsi" w:eastAsia="Calibri" w:hAnsiTheme="minorHAnsi" w:cs="Arial Narrow"/>
                <w:color w:val="000000"/>
                <w:sz w:val="16"/>
                <w:szCs w:val="16"/>
                <w:lang w:eastAsia="en-AU"/>
              </w:rPr>
              <w:t>Regist</w:t>
            </w:r>
            <w:proofErr w:type="spellEnd"/>
            <w:r w:rsidRPr="009B2D70">
              <w:rPr>
                <w:rFonts w:asciiTheme="minorHAnsi" w:eastAsia="Calibri" w:hAnsiTheme="minorHAnsi" w:cs="Arial Narrow"/>
                <w:color w:val="000000"/>
                <w:sz w:val="16"/>
                <w:szCs w:val="16"/>
                <w:lang w:eastAsia="en-AU"/>
              </w:rPr>
              <w:t>./</w:t>
            </w:r>
            <w:proofErr w:type="spellStart"/>
            <w:r w:rsidRPr="009B2D70">
              <w:rPr>
                <w:rFonts w:asciiTheme="minorHAnsi" w:eastAsia="Calibri" w:hAnsiTheme="minorHAnsi" w:cs="Arial Narrow"/>
                <w:color w:val="000000"/>
                <w:sz w:val="16"/>
                <w:szCs w:val="16"/>
                <w:lang w:eastAsia="en-AU"/>
              </w:rPr>
              <w:t>Accrediation</w:t>
            </w:r>
            <w:proofErr w:type="spellEnd"/>
            <w:r w:rsidRPr="009B2D70">
              <w:rPr>
                <w:rFonts w:asciiTheme="minorHAnsi" w:eastAsia="Calibri" w:hAnsiTheme="minorHAnsi" w:cs="Arial Narrow"/>
                <w:color w:val="000000"/>
                <w:sz w:val="16"/>
                <w:szCs w:val="16"/>
                <w:lang w:eastAsia="en-AU"/>
              </w:rPr>
              <w:t xml:space="preserve"> Training</w:t>
            </w:r>
          </w:p>
        </w:tc>
        <w:tc>
          <w:tcPr>
            <w:tcW w:w="1020" w:type="dxa"/>
            <w:tcBorders>
              <w:top w:val="nil"/>
              <w:left w:val="single" w:sz="6" w:space="0" w:color="auto"/>
              <w:bottom w:val="nil"/>
              <w:right w:val="single" w:sz="6" w:space="0" w:color="auto"/>
            </w:tcBorders>
            <w:shd w:val="clear" w:color="auto" w:fill="EAF1DD" w:themeFill="accent3" w:themeFillTint="33"/>
          </w:tcPr>
          <w:p w14:paraId="7E9367F1"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70,000</w:t>
            </w:r>
          </w:p>
        </w:tc>
        <w:tc>
          <w:tcPr>
            <w:tcW w:w="850" w:type="dxa"/>
            <w:tcBorders>
              <w:top w:val="nil"/>
              <w:left w:val="nil"/>
              <w:bottom w:val="nil"/>
              <w:right w:val="single" w:sz="6" w:space="0" w:color="auto"/>
            </w:tcBorders>
            <w:shd w:val="clear" w:color="auto" w:fill="DBE5F1" w:themeFill="accent1" w:themeFillTint="33"/>
          </w:tcPr>
          <w:p w14:paraId="78078F0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55079AF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1FD2082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850" w:type="dxa"/>
            <w:tcBorders>
              <w:top w:val="nil"/>
              <w:left w:val="nil"/>
              <w:bottom w:val="nil"/>
              <w:right w:val="single" w:sz="6" w:space="0" w:color="auto"/>
            </w:tcBorders>
            <w:shd w:val="clear" w:color="auto" w:fill="DBE5F1" w:themeFill="accent1" w:themeFillTint="33"/>
          </w:tcPr>
          <w:p w14:paraId="57904A2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1,500 </w:t>
            </w:r>
          </w:p>
        </w:tc>
        <w:tc>
          <w:tcPr>
            <w:tcW w:w="1020" w:type="dxa"/>
            <w:tcBorders>
              <w:top w:val="nil"/>
              <w:left w:val="single" w:sz="6" w:space="0" w:color="auto"/>
              <w:bottom w:val="nil"/>
              <w:right w:val="single" w:sz="6" w:space="0" w:color="auto"/>
            </w:tcBorders>
            <w:shd w:val="clear" w:color="auto" w:fill="DBE5F1" w:themeFill="accent1" w:themeFillTint="33"/>
          </w:tcPr>
          <w:p w14:paraId="557A005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70,000</w:t>
            </w:r>
          </w:p>
        </w:tc>
        <w:tc>
          <w:tcPr>
            <w:tcW w:w="850" w:type="dxa"/>
            <w:tcBorders>
              <w:top w:val="nil"/>
              <w:left w:val="nil"/>
              <w:bottom w:val="nil"/>
              <w:right w:val="single" w:sz="6" w:space="0" w:color="auto"/>
            </w:tcBorders>
            <w:shd w:val="clear" w:color="auto" w:fill="F2DBDB" w:themeFill="accent2" w:themeFillTint="33"/>
            <w:vAlign w:val="center"/>
          </w:tcPr>
          <w:p w14:paraId="446C676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 </w:t>
            </w:r>
          </w:p>
        </w:tc>
        <w:tc>
          <w:tcPr>
            <w:tcW w:w="850" w:type="dxa"/>
            <w:tcBorders>
              <w:top w:val="nil"/>
              <w:left w:val="nil"/>
              <w:bottom w:val="nil"/>
              <w:right w:val="single" w:sz="6" w:space="0" w:color="auto"/>
            </w:tcBorders>
            <w:shd w:val="clear" w:color="auto" w:fill="F2DBDB" w:themeFill="accent2" w:themeFillTint="33"/>
            <w:vAlign w:val="center"/>
          </w:tcPr>
          <w:p w14:paraId="0DC75A59"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 </w:t>
            </w:r>
          </w:p>
        </w:tc>
        <w:tc>
          <w:tcPr>
            <w:tcW w:w="850" w:type="dxa"/>
            <w:tcBorders>
              <w:top w:val="nil"/>
              <w:left w:val="nil"/>
              <w:bottom w:val="nil"/>
              <w:right w:val="single" w:sz="6" w:space="0" w:color="auto"/>
            </w:tcBorders>
            <w:shd w:val="clear" w:color="auto" w:fill="F2DBDB" w:themeFill="accent2" w:themeFillTint="33"/>
            <w:vAlign w:val="center"/>
          </w:tcPr>
          <w:p w14:paraId="33E1B4D7"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 </w:t>
            </w:r>
          </w:p>
        </w:tc>
        <w:tc>
          <w:tcPr>
            <w:tcW w:w="801" w:type="dxa"/>
            <w:tcBorders>
              <w:top w:val="nil"/>
              <w:left w:val="single" w:sz="6" w:space="0" w:color="auto"/>
              <w:bottom w:val="nil"/>
              <w:right w:val="single" w:sz="6" w:space="0" w:color="auto"/>
            </w:tcBorders>
            <w:shd w:val="clear" w:color="auto" w:fill="FFFDD6"/>
          </w:tcPr>
          <w:p w14:paraId="74E371E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54955D92"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74,500 </w:t>
            </w:r>
          </w:p>
        </w:tc>
      </w:tr>
      <w:tr w:rsidR="00262BBF" w:rsidRPr="009B2D70" w14:paraId="281E31C2" w14:textId="77777777" w:rsidTr="008F3C55">
        <w:trPr>
          <w:trHeight w:val="113"/>
        </w:trPr>
        <w:tc>
          <w:tcPr>
            <w:tcW w:w="3288" w:type="dxa"/>
            <w:tcBorders>
              <w:top w:val="single" w:sz="6" w:space="0" w:color="C0C0C0"/>
              <w:left w:val="single" w:sz="6" w:space="0" w:color="auto"/>
              <w:bottom w:val="single" w:sz="6" w:space="0" w:color="auto"/>
              <w:right w:val="single" w:sz="6" w:space="0" w:color="auto"/>
            </w:tcBorders>
          </w:tcPr>
          <w:p w14:paraId="2F20AE61"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Awareness Raising/Advocacy Campaign</w:t>
            </w:r>
          </w:p>
        </w:tc>
        <w:tc>
          <w:tcPr>
            <w:tcW w:w="1020" w:type="dxa"/>
            <w:tcBorders>
              <w:top w:val="nil"/>
              <w:left w:val="single" w:sz="6" w:space="0" w:color="auto"/>
              <w:bottom w:val="nil"/>
              <w:right w:val="single" w:sz="6" w:space="0" w:color="auto"/>
            </w:tcBorders>
            <w:shd w:val="clear" w:color="auto" w:fill="EAF1DD" w:themeFill="accent3" w:themeFillTint="33"/>
          </w:tcPr>
          <w:p w14:paraId="13CE895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40,000</w:t>
            </w:r>
          </w:p>
        </w:tc>
        <w:tc>
          <w:tcPr>
            <w:tcW w:w="850" w:type="dxa"/>
            <w:tcBorders>
              <w:top w:val="nil"/>
              <w:left w:val="nil"/>
              <w:bottom w:val="single" w:sz="6" w:space="0" w:color="auto"/>
              <w:right w:val="single" w:sz="6" w:space="0" w:color="auto"/>
            </w:tcBorders>
            <w:shd w:val="clear" w:color="auto" w:fill="DBE5F1" w:themeFill="accent1" w:themeFillTint="33"/>
          </w:tcPr>
          <w:p w14:paraId="7577CC9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200 </w:t>
            </w:r>
          </w:p>
        </w:tc>
        <w:tc>
          <w:tcPr>
            <w:tcW w:w="850" w:type="dxa"/>
            <w:tcBorders>
              <w:top w:val="nil"/>
              <w:left w:val="nil"/>
              <w:bottom w:val="nil"/>
              <w:right w:val="single" w:sz="6" w:space="0" w:color="auto"/>
            </w:tcBorders>
            <w:shd w:val="clear" w:color="auto" w:fill="DBE5F1" w:themeFill="accent1" w:themeFillTint="33"/>
          </w:tcPr>
          <w:p w14:paraId="0FF0E0B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200 </w:t>
            </w:r>
          </w:p>
        </w:tc>
        <w:tc>
          <w:tcPr>
            <w:tcW w:w="850" w:type="dxa"/>
            <w:tcBorders>
              <w:top w:val="nil"/>
              <w:left w:val="nil"/>
              <w:bottom w:val="nil"/>
              <w:right w:val="single" w:sz="6" w:space="0" w:color="auto"/>
            </w:tcBorders>
            <w:shd w:val="clear" w:color="auto" w:fill="DBE5F1" w:themeFill="accent1" w:themeFillTint="33"/>
          </w:tcPr>
          <w:p w14:paraId="26E88CB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200 </w:t>
            </w:r>
          </w:p>
        </w:tc>
        <w:tc>
          <w:tcPr>
            <w:tcW w:w="850" w:type="dxa"/>
            <w:tcBorders>
              <w:top w:val="nil"/>
              <w:left w:val="nil"/>
              <w:bottom w:val="nil"/>
              <w:right w:val="single" w:sz="6" w:space="0" w:color="auto"/>
            </w:tcBorders>
            <w:shd w:val="clear" w:color="auto" w:fill="DBE5F1" w:themeFill="accent1" w:themeFillTint="33"/>
          </w:tcPr>
          <w:p w14:paraId="426C0F7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200 </w:t>
            </w:r>
          </w:p>
        </w:tc>
        <w:tc>
          <w:tcPr>
            <w:tcW w:w="1020" w:type="dxa"/>
            <w:tcBorders>
              <w:top w:val="nil"/>
              <w:left w:val="single" w:sz="6" w:space="0" w:color="auto"/>
              <w:bottom w:val="nil"/>
              <w:right w:val="single" w:sz="6" w:space="0" w:color="auto"/>
            </w:tcBorders>
            <w:shd w:val="clear" w:color="auto" w:fill="DBE5F1" w:themeFill="accent1" w:themeFillTint="33"/>
          </w:tcPr>
          <w:p w14:paraId="469A3C2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50,000</w:t>
            </w:r>
          </w:p>
        </w:tc>
        <w:tc>
          <w:tcPr>
            <w:tcW w:w="850" w:type="dxa"/>
            <w:tcBorders>
              <w:top w:val="nil"/>
              <w:left w:val="nil"/>
              <w:bottom w:val="nil"/>
              <w:right w:val="single" w:sz="6" w:space="0" w:color="auto"/>
            </w:tcBorders>
            <w:shd w:val="clear" w:color="auto" w:fill="F2DBDB" w:themeFill="accent2" w:themeFillTint="33"/>
            <w:vAlign w:val="center"/>
          </w:tcPr>
          <w:p w14:paraId="2602313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200 </w:t>
            </w:r>
          </w:p>
        </w:tc>
        <w:tc>
          <w:tcPr>
            <w:tcW w:w="850" w:type="dxa"/>
            <w:tcBorders>
              <w:top w:val="nil"/>
              <w:left w:val="nil"/>
              <w:bottom w:val="nil"/>
              <w:right w:val="single" w:sz="6" w:space="0" w:color="auto"/>
            </w:tcBorders>
            <w:shd w:val="clear" w:color="auto" w:fill="F2DBDB" w:themeFill="accent2" w:themeFillTint="33"/>
            <w:vAlign w:val="center"/>
          </w:tcPr>
          <w:p w14:paraId="3D2688F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200 </w:t>
            </w:r>
          </w:p>
        </w:tc>
        <w:tc>
          <w:tcPr>
            <w:tcW w:w="850" w:type="dxa"/>
            <w:tcBorders>
              <w:top w:val="nil"/>
              <w:left w:val="nil"/>
              <w:bottom w:val="nil"/>
              <w:right w:val="single" w:sz="6" w:space="0" w:color="auto"/>
            </w:tcBorders>
            <w:shd w:val="clear" w:color="auto" w:fill="F2DBDB" w:themeFill="accent2" w:themeFillTint="33"/>
            <w:vAlign w:val="center"/>
          </w:tcPr>
          <w:p w14:paraId="0A60FC8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200 </w:t>
            </w:r>
          </w:p>
        </w:tc>
        <w:tc>
          <w:tcPr>
            <w:tcW w:w="801" w:type="dxa"/>
            <w:tcBorders>
              <w:top w:val="nil"/>
              <w:left w:val="single" w:sz="6" w:space="0" w:color="auto"/>
              <w:bottom w:val="nil"/>
              <w:right w:val="single" w:sz="6" w:space="0" w:color="auto"/>
            </w:tcBorders>
            <w:shd w:val="clear" w:color="auto" w:fill="FFFDD6"/>
          </w:tcPr>
          <w:p w14:paraId="45C421C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1051AB1D"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50,600 </w:t>
            </w:r>
          </w:p>
        </w:tc>
      </w:tr>
      <w:tr w:rsidR="00262BBF" w:rsidRPr="009B2D70" w14:paraId="0EAE055C" w14:textId="77777777" w:rsidTr="008F3C55">
        <w:trPr>
          <w:trHeight w:val="113"/>
        </w:trPr>
        <w:tc>
          <w:tcPr>
            <w:tcW w:w="3288" w:type="dxa"/>
            <w:tcBorders>
              <w:top w:val="single" w:sz="6" w:space="0" w:color="auto"/>
              <w:left w:val="single" w:sz="6" w:space="0" w:color="auto"/>
              <w:bottom w:val="double" w:sz="6" w:space="0" w:color="auto"/>
              <w:right w:val="single" w:sz="6" w:space="0" w:color="auto"/>
            </w:tcBorders>
          </w:tcPr>
          <w:p w14:paraId="29679820"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w:t>
            </w:r>
          </w:p>
        </w:tc>
        <w:tc>
          <w:tcPr>
            <w:tcW w:w="1020" w:type="dxa"/>
            <w:tcBorders>
              <w:top w:val="single" w:sz="6" w:space="0" w:color="auto"/>
              <w:left w:val="single" w:sz="6" w:space="0" w:color="auto"/>
              <w:bottom w:val="double" w:sz="6" w:space="0" w:color="auto"/>
              <w:right w:val="single" w:sz="6" w:space="0" w:color="auto"/>
            </w:tcBorders>
            <w:shd w:val="clear" w:color="auto" w:fill="EAF1DD" w:themeFill="accent3" w:themeFillTint="33"/>
          </w:tcPr>
          <w:p w14:paraId="0643C36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410,000</w:t>
            </w:r>
          </w:p>
        </w:tc>
        <w:tc>
          <w:tcPr>
            <w:tcW w:w="850" w:type="dxa"/>
            <w:tcBorders>
              <w:top w:val="nil"/>
              <w:left w:val="single" w:sz="6" w:space="0" w:color="auto"/>
              <w:bottom w:val="double" w:sz="6" w:space="0" w:color="auto"/>
              <w:right w:val="single" w:sz="6" w:space="0" w:color="auto"/>
            </w:tcBorders>
            <w:shd w:val="clear" w:color="auto" w:fill="DBE5F1" w:themeFill="accent1" w:themeFillTint="33"/>
          </w:tcPr>
          <w:p w14:paraId="70AB9CE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10,200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02AF585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9,700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BDD807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9,700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B951951"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9,700 </w:t>
            </w:r>
          </w:p>
        </w:tc>
        <w:tc>
          <w:tcPr>
            <w:tcW w:w="102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41F8EDA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540,000</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05C0EB9F"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39,700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551BD3BB"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29,700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279683C7"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9,700 </w:t>
            </w:r>
          </w:p>
        </w:tc>
        <w:tc>
          <w:tcPr>
            <w:tcW w:w="801" w:type="dxa"/>
            <w:tcBorders>
              <w:top w:val="single" w:sz="6" w:space="0" w:color="auto"/>
              <w:left w:val="single" w:sz="6" w:space="0" w:color="auto"/>
              <w:bottom w:val="double" w:sz="6" w:space="0" w:color="auto"/>
              <w:right w:val="single" w:sz="6" w:space="0" w:color="auto"/>
            </w:tcBorders>
            <w:shd w:val="clear" w:color="auto" w:fill="FFFDD6"/>
          </w:tcPr>
          <w:p w14:paraId="544A30C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25,000</w:t>
            </w:r>
          </w:p>
        </w:tc>
        <w:tc>
          <w:tcPr>
            <w:tcW w:w="992"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3D3E00B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644,100 </w:t>
            </w:r>
          </w:p>
        </w:tc>
      </w:tr>
      <w:tr w:rsidR="00262BBF" w:rsidRPr="009B2D70" w14:paraId="1182DC44" w14:textId="77777777" w:rsidTr="008F3C55">
        <w:trPr>
          <w:trHeight w:val="113"/>
        </w:trPr>
        <w:tc>
          <w:tcPr>
            <w:tcW w:w="3288" w:type="dxa"/>
            <w:tcBorders>
              <w:top w:val="nil"/>
              <w:left w:val="nil"/>
              <w:bottom w:val="nil"/>
              <w:right w:val="nil"/>
            </w:tcBorders>
            <w:shd w:val="clear" w:color="auto" w:fill="auto"/>
          </w:tcPr>
          <w:p w14:paraId="45105996"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1F49AE0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68A70B6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6B6D50B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5BBEAF0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3D4DC06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6ADB7BA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vAlign w:val="center"/>
          </w:tcPr>
          <w:p w14:paraId="0124552C"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69E42ACF"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714B3F62"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01" w:type="dxa"/>
            <w:tcBorders>
              <w:top w:val="nil"/>
              <w:left w:val="nil"/>
              <w:bottom w:val="nil"/>
              <w:right w:val="nil"/>
            </w:tcBorders>
          </w:tcPr>
          <w:p w14:paraId="6ECB856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nil"/>
              <w:left w:val="nil"/>
              <w:bottom w:val="nil"/>
              <w:right w:val="nil"/>
            </w:tcBorders>
            <w:shd w:val="clear" w:color="auto" w:fill="auto"/>
            <w:vAlign w:val="center"/>
          </w:tcPr>
          <w:p w14:paraId="10C931A9" w14:textId="77777777" w:rsidR="00262BBF" w:rsidRPr="001C67A6" w:rsidRDefault="00262BBF" w:rsidP="008F3C55">
            <w:pPr>
              <w:spacing w:before="0" w:after="0"/>
              <w:ind w:firstLine="173"/>
              <w:rPr>
                <w:rFonts w:ascii="Arial Narrow" w:eastAsia="Times New Roman" w:hAnsi="Arial Narrow" w:cs="Arial"/>
                <w:b/>
                <w:bCs/>
                <w:sz w:val="16"/>
                <w:szCs w:val="16"/>
              </w:rPr>
            </w:pPr>
          </w:p>
        </w:tc>
      </w:tr>
      <w:tr w:rsidR="00262BBF" w:rsidRPr="009B2D70" w14:paraId="1D42791D" w14:textId="77777777" w:rsidTr="008F3C55">
        <w:trPr>
          <w:trHeight w:val="113"/>
        </w:trPr>
        <w:tc>
          <w:tcPr>
            <w:tcW w:w="3288" w:type="dxa"/>
            <w:tcBorders>
              <w:top w:val="single" w:sz="6" w:space="0" w:color="auto"/>
              <w:left w:val="single" w:sz="6" w:space="0" w:color="auto"/>
              <w:bottom w:val="nil"/>
              <w:right w:val="single" w:sz="6" w:space="0" w:color="auto"/>
            </w:tcBorders>
          </w:tcPr>
          <w:p w14:paraId="6448D532"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Project Management and Vehicle Costs</w:t>
            </w:r>
          </w:p>
        </w:tc>
        <w:tc>
          <w:tcPr>
            <w:tcW w:w="102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927DDB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nil"/>
              <w:right w:val="single" w:sz="6" w:space="0" w:color="auto"/>
            </w:tcBorders>
            <w:shd w:val="clear" w:color="auto" w:fill="DBE5F1" w:themeFill="accent1" w:themeFillTint="33"/>
          </w:tcPr>
          <w:p w14:paraId="6971ADA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203A1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6123F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ADFA5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69072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264494E6"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30110FB3"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19941F32"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01" w:type="dxa"/>
            <w:tcBorders>
              <w:top w:val="single" w:sz="6" w:space="0" w:color="auto"/>
              <w:left w:val="single" w:sz="6" w:space="0" w:color="auto"/>
              <w:bottom w:val="single" w:sz="6" w:space="0" w:color="auto"/>
              <w:right w:val="single" w:sz="6" w:space="0" w:color="auto"/>
            </w:tcBorders>
            <w:shd w:val="clear" w:color="auto" w:fill="FFFDD6"/>
          </w:tcPr>
          <w:p w14:paraId="627D7A7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02D0BF2B"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r>
      <w:tr w:rsidR="00262BBF" w:rsidRPr="009B2D70" w14:paraId="7CCF6DDE" w14:textId="77777777" w:rsidTr="008F3C55">
        <w:trPr>
          <w:trHeight w:val="113"/>
        </w:trPr>
        <w:tc>
          <w:tcPr>
            <w:tcW w:w="3288" w:type="dxa"/>
            <w:tcBorders>
              <w:top w:val="single" w:sz="6" w:space="0" w:color="auto"/>
              <w:left w:val="single" w:sz="6" w:space="0" w:color="auto"/>
              <w:bottom w:val="single" w:sz="6" w:space="0" w:color="C0C0C0"/>
              <w:right w:val="single" w:sz="6" w:space="0" w:color="auto"/>
            </w:tcBorders>
          </w:tcPr>
          <w:p w14:paraId="1A2D12A0"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Project Office Establishment</w:t>
            </w:r>
          </w:p>
        </w:tc>
        <w:tc>
          <w:tcPr>
            <w:tcW w:w="1020" w:type="dxa"/>
            <w:tcBorders>
              <w:top w:val="single" w:sz="6" w:space="0" w:color="C0C0C0"/>
              <w:left w:val="single" w:sz="6" w:space="0" w:color="auto"/>
              <w:bottom w:val="single" w:sz="6" w:space="0" w:color="C0C0C0"/>
              <w:right w:val="single" w:sz="6" w:space="0" w:color="auto"/>
            </w:tcBorders>
            <w:shd w:val="clear" w:color="auto" w:fill="EAF1DD" w:themeFill="accent3" w:themeFillTint="33"/>
          </w:tcPr>
          <w:p w14:paraId="4E303A5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213,750</w:t>
            </w:r>
          </w:p>
        </w:tc>
        <w:tc>
          <w:tcPr>
            <w:tcW w:w="850" w:type="dxa"/>
            <w:tcBorders>
              <w:top w:val="single" w:sz="6" w:space="0" w:color="auto"/>
              <w:left w:val="nil"/>
              <w:bottom w:val="nil"/>
              <w:right w:val="single" w:sz="6" w:space="0" w:color="auto"/>
            </w:tcBorders>
            <w:shd w:val="clear" w:color="auto" w:fill="DBE5F1" w:themeFill="accent1" w:themeFillTint="33"/>
          </w:tcPr>
          <w:p w14:paraId="2B3C3BD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850" w:type="dxa"/>
            <w:tcBorders>
              <w:top w:val="single" w:sz="6" w:space="0" w:color="auto"/>
              <w:left w:val="single" w:sz="6" w:space="0" w:color="auto"/>
              <w:bottom w:val="nil"/>
              <w:right w:val="single" w:sz="6" w:space="0" w:color="auto"/>
            </w:tcBorders>
            <w:shd w:val="clear" w:color="auto" w:fill="DBE5F1" w:themeFill="accent1" w:themeFillTint="33"/>
          </w:tcPr>
          <w:p w14:paraId="40D034B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850" w:type="dxa"/>
            <w:tcBorders>
              <w:top w:val="single" w:sz="6" w:space="0" w:color="auto"/>
              <w:left w:val="single" w:sz="6" w:space="0" w:color="auto"/>
              <w:bottom w:val="nil"/>
              <w:right w:val="single" w:sz="6" w:space="0" w:color="auto"/>
            </w:tcBorders>
            <w:shd w:val="clear" w:color="auto" w:fill="DBE5F1" w:themeFill="accent1" w:themeFillTint="33"/>
          </w:tcPr>
          <w:p w14:paraId="0E84391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850" w:type="dxa"/>
            <w:tcBorders>
              <w:top w:val="single" w:sz="6" w:space="0" w:color="auto"/>
              <w:left w:val="single" w:sz="6" w:space="0" w:color="auto"/>
              <w:bottom w:val="nil"/>
              <w:right w:val="single" w:sz="6" w:space="0" w:color="auto"/>
            </w:tcBorders>
            <w:shd w:val="clear" w:color="auto" w:fill="DBE5F1" w:themeFill="accent1" w:themeFillTint="33"/>
          </w:tcPr>
          <w:p w14:paraId="018FCA1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1020" w:type="dxa"/>
            <w:tcBorders>
              <w:top w:val="nil"/>
              <w:left w:val="single" w:sz="6" w:space="0" w:color="auto"/>
              <w:bottom w:val="nil"/>
              <w:right w:val="single" w:sz="6" w:space="0" w:color="auto"/>
            </w:tcBorders>
            <w:shd w:val="clear" w:color="auto" w:fill="DBE5F1" w:themeFill="accent1" w:themeFillTint="33"/>
          </w:tcPr>
          <w:p w14:paraId="0448321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177,267</w:t>
            </w:r>
          </w:p>
        </w:tc>
        <w:tc>
          <w:tcPr>
            <w:tcW w:w="850" w:type="dxa"/>
            <w:tcBorders>
              <w:top w:val="single" w:sz="6" w:space="0" w:color="auto"/>
              <w:left w:val="single" w:sz="6" w:space="0" w:color="auto"/>
              <w:bottom w:val="nil"/>
              <w:right w:val="single" w:sz="6" w:space="0" w:color="auto"/>
            </w:tcBorders>
            <w:shd w:val="clear" w:color="auto" w:fill="F2DBDB" w:themeFill="accent2" w:themeFillTint="33"/>
            <w:vAlign w:val="center"/>
          </w:tcPr>
          <w:p w14:paraId="60B75C00"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3,132 </w:t>
            </w:r>
          </w:p>
        </w:tc>
        <w:tc>
          <w:tcPr>
            <w:tcW w:w="850" w:type="dxa"/>
            <w:tcBorders>
              <w:top w:val="single" w:sz="6" w:space="0" w:color="auto"/>
              <w:left w:val="single" w:sz="6" w:space="0" w:color="auto"/>
              <w:bottom w:val="nil"/>
              <w:right w:val="single" w:sz="6" w:space="0" w:color="auto"/>
            </w:tcBorders>
            <w:shd w:val="clear" w:color="auto" w:fill="F2DBDB" w:themeFill="accent2" w:themeFillTint="33"/>
            <w:vAlign w:val="center"/>
          </w:tcPr>
          <w:p w14:paraId="75514CB0"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3,132 </w:t>
            </w:r>
          </w:p>
        </w:tc>
        <w:tc>
          <w:tcPr>
            <w:tcW w:w="850" w:type="dxa"/>
            <w:tcBorders>
              <w:top w:val="single" w:sz="6" w:space="0" w:color="auto"/>
              <w:left w:val="single" w:sz="6" w:space="0" w:color="auto"/>
              <w:bottom w:val="nil"/>
              <w:right w:val="single" w:sz="6" w:space="0" w:color="auto"/>
            </w:tcBorders>
            <w:shd w:val="clear" w:color="auto" w:fill="F2DBDB" w:themeFill="accent2" w:themeFillTint="33"/>
            <w:vAlign w:val="center"/>
          </w:tcPr>
          <w:p w14:paraId="4AF7F0FA"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3,132 </w:t>
            </w:r>
          </w:p>
        </w:tc>
        <w:tc>
          <w:tcPr>
            <w:tcW w:w="801" w:type="dxa"/>
            <w:tcBorders>
              <w:top w:val="nil"/>
              <w:left w:val="single" w:sz="6" w:space="0" w:color="auto"/>
              <w:bottom w:val="nil"/>
              <w:right w:val="single" w:sz="6" w:space="0" w:color="auto"/>
            </w:tcBorders>
            <w:shd w:val="clear" w:color="auto" w:fill="FFFDD6"/>
          </w:tcPr>
          <w:p w14:paraId="24E4762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6B96372B"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186,664 </w:t>
            </w:r>
          </w:p>
        </w:tc>
      </w:tr>
      <w:tr w:rsidR="00262BBF" w:rsidRPr="009B2D70" w14:paraId="0E170F8D" w14:textId="77777777" w:rsidTr="008F3C55">
        <w:trPr>
          <w:trHeight w:val="113"/>
        </w:trPr>
        <w:tc>
          <w:tcPr>
            <w:tcW w:w="3288" w:type="dxa"/>
            <w:tcBorders>
              <w:top w:val="single" w:sz="6" w:space="0" w:color="C0C0C0"/>
              <w:left w:val="single" w:sz="6" w:space="0" w:color="auto"/>
              <w:bottom w:val="single" w:sz="6" w:space="0" w:color="C0C0C0"/>
              <w:right w:val="single" w:sz="6" w:space="0" w:color="auto"/>
            </w:tcBorders>
          </w:tcPr>
          <w:p w14:paraId="3CB6EA97"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Vehicle Replacement Fund</w:t>
            </w:r>
          </w:p>
        </w:tc>
        <w:tc>
          <w:tcPr>
            <w:tcW w:w="1020" w:type="dxa"/>
            <w:tcBorders>
              <w:top w:val="single" w:sz="6" w:space="0" w:color="C0C0C0"/>
              <w:left w:val="single" w:sz="6" w:space="0" w:color="auto"/>
              <w:bottom w:val="single" w:sz="6" w:space="0" w:color="C0C0C0"/>
              <w:right w:val="single" w:sz="6" w:space="0" w:color="auto"/>
            </w:tcBorders>
            <w:shd w:val="clear" w:color="auto" w:fill="EAF1DD" w:themeFill="accent3" w:themeFillTint="33"/>
          </w:tcPr>
          <w:p w14:paraId="50526FF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100,000</w:t>
            </w:r>
          </w:p>
        </w:tc>
        <w:tc>
          <w:tcPr>
            <w:tcW w:w="850" w:type="dxa"/>
            <w:tcBorders>
              <w:top w:val="nil"/>
              <w:left w:val="nil"/>
              <w:bottom w:val="nil"/>
              <w:right w:val="single" w:sz="6" w:space="0" w:color="auto"/>
            </w:tcBorders>
            <w:shd w:val="clear" w:color="auto" w:fill="DBE5F1" w:themeFill="accent1" w:themeFillTint="33"/>
          </w:tcPr>
          <w:p w14:paraId="059DE05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14B38D3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473D789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1C48B54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1020" w:type="dxa"/>
            <w:tcBorders>
              <w:top w:val="nil"/>
              <w:left w:val="single" w:sz="6" w:space="0" w:color="auto"/>
              <w:bottom w:val="nil"/>
              <w:right w:val="single" w:sz="6" w:space="0" w:color="auto"/>
            </w:tcBorders>
            <w:shd w:val="clear" w:color="auto" w:fill="DBE5F1" w:themeFill="accent1" w:themeFillTint="33"/>
          </w:tcPr>
          <w:p w14:paraId="2C5FAFB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100,000</w:t>
            </w:r>
          </w:p>
        </w:tc>
        <w:tc>
          <w:tcPr>
            <w:tcW w:w="850" w:type="dxa"/>
            <w:tcBorders>
              <w:top w:val="nil"/>
              <w:left w:val="nil"/>
              <w:bottom w:val="nil"/>
              <w:right w:val="single" w:sz="6" w:space="0" w:color="auto"/>
            </w:tcBorders>
            <w:shd w:val="clear" w:color="auto" w:fill="F2DBDB" w:themeFill="accent2" w:themeFillTint="33"/>
            <w:vAlign w:val="center"/>
          </w:tcPr>
          <w:p w14:paraId="6DE43B5E"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35,000 </w:t>
            </w:r>
          </w:p>
        </w:tc>
        <w:tc>
          <w:tcPr>
            <w:tcW w:w="850" w:type="dxa"/>
            <w:tcBorders>
              <w:top w:val="nil"/>
              <w:left w:val="nil"/>
              <w:bottom w:val="nil"/>
              <w:right w:val="single" w:sz="6" w:space="0" w:color="auto"/>
            </w:tcBorders>
            <w:shd w:val="clear" w:color="auto" w:fill="F2DBDB" w:themeFill="accent2" w:themeFillTint="33"/>
            <w:vAlign w:val="center"/>
          </w:tcPr>
          <w:p w14:paraId="67C68114"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4552C6E3"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01" w:type="dxa"/>
            <w:tcBorders>
              <w:top w:val="nil"/>
              <w:left w:val="single" w:sz="6" w:space="0" w:color="auto"/>
              <w:bottom w:val="nil"/>
              <w:right w:val="single" w:sz="6" w:space="0" w:color="auto"/>
            </w:tcBorders>
            <w:shd w:val="clear" w:color="auto" w:fill="FFFDD6"/>
          </w:tcPr>
          <w:p w14:paraId="13A4DE8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36F91E9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135,000 </w:t>
            </w:r>
          </w:p>
        </w:tc>
      </w:tr>
      <w:tr w:rsidR="00262BBF" w:rsidRPr="009B2D70" w14:paraId="04ECA3E7" w14:textId="77777777" w:rsidTr="008F3C55">
        <w:trPr>
          <w:trHeight w:val="113"/>
        </w:trPr>
        <w:tc>
          <w:tcPr>
            <w:tcW w:w="3288" w:type="dxa"/>
            <w:tcBorders>
              <w:top w:val="single" w:sz="6" w:space="0" w:color="C0C0C0"/>
              <w:left w:val="single" w:sz="6" w:space="0" w:color="auto"/>
              <w:bottom w:val="single" w:sz="6" w:space="0" w:color="auto"/>
              <w:right w:val="single" w:sz="6" w:space="0" w:color="auto"/>
            </w:tcBorders>
          </w:tcPr>
          <w:p w14:paraId="25BC4A66"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Personnel Housing</w:t>
            </w:r>
          </w:p>
        </w:tc>
        <w:tc>
          <w:tcPr>
            <w:tcW w:w="1020" w:type="dxa"/>
            <w:tcBorders>
              <w:top w:val="single" w:sz="6" w:space="0" w:color="C0C0C0"/>
              <w:left w:val="single" w:sz="6" w:space="0" w:color="auto"/>
              <w:bottom w:val="single" w:sz="6" w:space="0" w:color="C0C0C0"/>
              <w:right w:val="single" w:sz="6" w:space="0" w:color="auto"/>
            </w:tcBorders>
            <w:shd w:val="clear" w:color="auto" w:fill="EAF1DD" w:themeFill="accent3" w:themeFillTint="33"/>
          </w:tcPr>
          <w:p w14:paraId="437EEB0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31,800</w:t>
            </w:r>
          </w:p>
        </w:tc>
        <w:tc>
          <w:tcPr>
            <w:tcW w:w="850" w:type="dxa"/>
            <w:tcBorders>
              <w:top w:val="nil"/>
              <w:left w:val="nil"/>
              <w:bottom w:val="single" w:sz="6" w:space="0" w:color="auto"/>
              <w:right w:val="single" w:sz="6" w:space="0" w:color="auto"/>
            </w:tcBorders>
            <w:shd w:val="clear" w:color="auto" w:fill="DBE5F1" w:themeFill="accent1" w:themeFillTint="33"/>
          </w:tcPr>
          <w:p w14:paraId="770BE37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1E22C16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3662261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6E5D325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1020" w:type="dxa"/>
            <w:tcBorders>
              <w:top w:val="nil"/>
              <w:left w:val="single" w:sz="6" w:space="0" w:color="auto"/>
              <w:bottom w:val="nil"/>
              <w:right w:val="single" w:sz="6" w:space="0" w:color="auto"/>
            </w:tcBorders>
            <w:shd w:val="clear" w:color="auto" w:fill="DBE5F1" w:themeFill="accent1" w:themeFillTint="33"/>
          </w:tcPr>
          <w:p w14:paraId="08617E4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31,800</w:t>
            </w:r>
          </w:p>
        </w:tc>
        <w:tc>
          <w:tcPr>
            <w:tcW w:w="850" w:type="dxa"/>
            <w:tcBorders>
              <w:top w:val="nil"/>
              <w:left w:val="nil"/>
              <w:bottom w:val="nil"/>
              <w:right w:val="single" w:sz="6" w:space="0" w:color="auto"/>
            </w:tcBorders>
            <w:shd w:val="clear" w:color="auto" w:fill="F2DBDB" w:themeFill="accent2" w:themeFillTint="33"/>
            <w:vAlign w:val="center"/>
          </w:tcPr>
          <w:p w14:paraId="1F369D66"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0D411498"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14BFCA16"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01" w:type="dxa"/>
            <w:tcBorders>
              <w:top w:val="nil"/>
              <w:left w:val="single" w:sz="6" w:space="0" w:color="auto"/>
              <w:bottom w:val="nil"/>
              <w:right w:val="single" w:sz="6" w:space="0" w:color="auto"/>
            </w:tcBorders>
            <w:shd w:val="clear" w:color="auto" w:fill="FFFDD6"/>
          </w:tcPr>
          <w:p w14:paraId="1CB870A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6AC79003"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31,800 </w:t>
            </w:r>
          </w:p>
        </w:tc>
      </w:tr>
      <w:tr w:rsidR="00262BBF" w:rsidRPr="009B2D70" w14:paraId="62B22106" w14:textId="77777777" w:rsidTr="008F3C55">
        <w:trPr>
          <w:trHeight w:val="113"/>
        </w:trPr>
        <w:tc>
          <w:tcPr>
            <w:tcW w:w="3288" w:type="dxa"/>
            <w:tcBorders>
              <w:top w:val="nil"/>
              <w:left w:val="single" w:sz="6" w:space="0" w:color="auto"/>
              <w:bottom w:val="double" w:sz="6" w:space="0" w:color="auto"/>
              <w:right w:val="single" w:sz="6" w:space="0" w:color="auto"/>
            </w:tcBorders>
          </w:tcPr>
          <w:p w14:paraId="05587C1C"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w:t>
            </w:r>
          </w:p>
        </w:tc>
        <w:tc>
          <w:tcPr>
            <w:tcW w:w="1020" w:type="dxa"/>
            <w:tcBorders>
              <w:top w:val="single" w:sz="6" w:space="0" w:color="auto"/>
              <w:left w:val="single" w:sz="6" w:space="0" w:color="auto"/>
              <w:bottom w:val="double" w:sz="6" w:space="0" w:color="auto"/>
              <w:right w:val="single" w:sz="6" w:space="0" w:color="auto"/>
            </w:tcBorders>
            <w:shd w:val="clear" w:color="auto" w:fill="EAF1DD" w:themeFill="accent3" w:themeFillTint="33"/>
          </w:tcPr>
          <w:p w14:paraId="2E9DF19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345,550</w:t>
            </w:r>
          </w:p>
        </w:tc>
        <w:tc>
          <w:tcPr>
            <w:tcW w:w="850" w:type="dxa"/>
            <w:tcBorders>
              <w:top w:val="nil"/>
              <w:left w:val="single" w:sz="6" w:space="0" w:color="auto"/>
              <w:bottom w:val="double" w:sz="6" w:space="0" w:color="auto"/>
              <w:right w:val="single" w:sz="6" w:space="0" w:color="auto"/>
            </w:tcBorders>
            <w:shd w:val="clear" w:color="auto" w:fill="DBE5F1" w:themeFill="accent1" w:themeFillTint="33"/>
          </w:tcPr>
          <w:p w14:paraId="7C495F1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25D26C5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49253A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4C9F89D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3,132 </w:t>
            </w:r>
          </w:p>
        </w:tc>
        <w:tc>
          <w:tcPr>
            <w:tcW w:w="102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1F7850C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309,067</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65BFC14D"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38,132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08678D1B"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3,132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079CE807"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3,132 </w:t>
            </w:r>
          </w:p>
        </w:tc>
        <w:tc>
          <w:tcPr>
            <w:tcW w:w="801" w:type="dxa"/>
            <w:tcBorders>
              <w:top w:val="single" w:sz="6" w:space="0" w:color="auto"/>
              <w:left w:val="single" w:sz="6" w:space="0" w:color="auto"/>
              <w:bottom w:val="double" w:sz="6" w:space="0" w:color="auto"/>
              <w:right w:val="single" w:sz="6" w:space="0" w:color="auto"/>
            </w:tcBorders>
            <w:shd w:val="clear" w:color="auto" w:fill="FFFDD6"/>
          </w:tcPr>
          <w:p w14:paraId="297E164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6528A0EA"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353,464 </w:t>
            </w:r>
          </w:p>
        </w:tc>
      </w:tr>
      <w:tr w:rsidR="00262BBF" w:rsidRPr="009B2D70" w14:paraId="08A25CFA" w14:textId="77777777" w:rsidTr="008F3C55">
        <w:trPr>
          <w:trHeight w:val="113"/>
        </w:trPr>
        <w:tc>
          <w:tcPr>
            <w:tcW w:w="3288" w:type="dxa"/>
            <w:tcBorders>
              <w:top w:val="nil"/>
              <w:left w:val="nil"/>
              <w:bottom w:val="nil"/>
              <w:right w:val="nil"/>
            </w:tcBorders>
            <w:shd w:val="clear" w:color="auto" w:fill="auto"/>
          </w:tcPr>
          <w:p w14:paraId="66A9D239"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1BF2B5E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4938B5D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1FA57E1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2AE2B83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56C1952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5B83F97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vAlign w:val="center"/>
          </w:tcPr>
          <w:p w14:paraId="7105630D"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76B5E55A"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3B2CA2CF"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01" w:type="dxa"/>
            <w:tcBorders>
              <w:top w:val="nil"/>
              <w:left w:val="nil"/>
              <w:bottom w:val="nil"/>
              <w:right w:val="nil"/>
            </w:tcBorders>
          </w:tcPr>
          <w:p w14:paraId="3A6EB571"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nil"/>
              <w:left w:val="nil"/>
              <w:bottom w:val="nil"/>
              <w:right w:val="nil"/>
            </w:tcBorders>
            <w:shd w:val="clear" w:color="auto" w:fill="auto"/>
            <w:vAlign w:val="center"/>
          </w:tcPr>
          <w:p w14:paraId="44338C83" w14:textId="77777777" w:rsidR="00262BBF" w:rsidRPr="001C67A6" w:rsidRDefault="00262BBF" w:rsidP="008F3C55">
            <w:pPr>
              <w:spacing w:before="0" w:after="0"/>
              <w:ind w:firstLine="173"/>
              <w:rPr>
                <w:rFonts w:ascii="Arial Narrow" w:eastAsia="Times New Roman" w:hAnsi="Arial Narrow" w:cs="Arial"/>
                <w:b/>
                <w:bCs/>
                <w:sz w:val="16"/>
                <w:szCs w:val="16"/>
              </w:rPr>
            </w:pPr>
          </w:p>
        </w:tc>
      </w:tr>
      <w:tr w:rsidR="00262BBF" w:rsidRPr="009B2D70" w14:paraId="54BEF9F3" w14:textId="77777777" w:rsidTr="008F3C55">
        <w:trPr>
          <w:trHeight w:val="113"/>
        </w:trPr>
        <w:tc>
          <w:tcPr>
            <w:tcW w:w="3288" w:type="dxa"/>
            <w:tcBorders>
              <w:top w:val="single" w:sz="6" w:space="0" w:color="auto"/>
              <w:left w:val="single" w:sz="6" w:space="0" w:color="auto"/>
              <w:bottom w:val="single" w:sz="6" w:space="0" w:color="auto"/>
              <w:right w:val="single" w:sz="6" w:space="0" w:color="auto"/>
            </w:tcBorders>
          </w:tcPr>
          <w:p w14:paraId="57D59F10"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i/>
                <w:iCs/>
                <w:color w:val="000000"/>
                <w:sz w:val="16"/>
                <w:szCs w:val="16"/>
                <w:lang w:eastAsia="en-AU"/>
              </w:rPr>
            </w:pPr>
            <w:r w:rsidRPr="009B2D70">
              <w:rPr>
                <w:rFonts w:asciiTheme="minorHAnsi" w:eastAsia="Calibri" w:hAnsiTheme="minorHAnsi" w:cs="Arial Narrow"/>
                <w:b/>
                <w:bCs/>
                <w:i/>
                <w:iCs/>
                <w:color w:val="000000"/>
                <w:sz w:val="16"/>
                <w:szCs w:val="16"/>
                <w:lang w:eastAsia="en-AU"/>
              </w:rPr>
              <w:t>Monitoring and Evaluation</w:t>
            </w:r>
          </w:p>
        </w:tc>
        <w:tc>
          <w:tcPr>
            <w:tcW w:w="102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944042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nil"/>
              <w:right w:val="single" w:sz="6" w:space="0" w:color="auto"/>
            </w:tcBorders>
            <w:shd w:val="clear" w:color="auto" w:fill="DBE5F1" w:themeFill="accent1" w:themeFillTint="33"/>
          </w:tcPr>
          <w:p w14:paraId="01600FC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D4932C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C2F04E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DC88E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17C13F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001646EB"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71AB5F96"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567F02DD"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01" w:type="dxa"/>
            <w:tcBorders>
              <w:top w:val="single" w:sz="6" w:space="0" w:color="auto"/>
              <w:left w:val="single" w:sz="6" w:space="0" w:color="auto"/>
              <w:bottom w:val="single" w:sz="6" w:space="0" w:color="auto"/>
              <w:right w:val="single" w:sz="6" w:space="0" w:color="auto"/>
            </w:tcBorders>
            <w:shd w:val="clear" w:color="auto" w:fill="FFFDD6"/>
          </w:tcPr>
          <w:p w14:paraId="619DCC3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7DAF9A4A"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r>
      <w:tr w:rsidR="00262BBF" w:rsidRPr="009B2D70" w14:paraId="752D03DE" w14:textId="77777777" w:rsidTr="008F3C55">
        <w:trPr>
          <w:trHeight w:val="113"/>
        </w:trPr>
        <w:tc>
          <w:tcPr>
            <w:tcW w:w="3288" w:type="dxa"/>
            <w:tcBorders>
              <w:top w:val="nil"/>
              <w:left w:val="single" w:sz="6" w:space="0" w:color="auto"/>
              <w:bottom w:val="single" w:sz="6" w:space="0" w:color="C0C0C0"/>
              <w:right w:val="single" w:sz="6" w:space="0" w:color="auto"/>
            </w:tcBorders>
          </w:tcPr>
          <w:p w14:paraId="3D87BCDD"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Provincial M&amp;E Working Group Fund</w:t>
            </w:r>
          </w:p>
        </w:tc>
        <w:tc>
          <w:tcPr>
            <w:tcW w:w="1020" w:type="dxa"/>
            <w:tcBorders>
              <w:top w:val="single" w:sz="6" w:space="0" w:color="C0C0C0"/>
              <w:left w:val="single" w:sz="6" w:space="0" w:color="auto"/>
              <w:bottom w:val="single" w:sz="6" w:space="0" w:color="C0C0C0"/>
              <w:right w:val="single" w:sz="6" w:space="0" w:color="auto"/>
            </w:tcBorders>
            <w:shd w:val="clear" w:color="auto" w:fill="EAF1DD" w:themeFill="accent3" w:themeFillTint="33"/>
          </w:tcPr>
          <w:p w14:paraId="1B653F1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10,000</w:t>
            </w:r>
          </w:p>
        </w:tc>
        <w:tc>
          <w:tcPr>
            <w:tcW w:w="850" w:type="dxa"/>
            <w:tcBorders>
              <w:top w:val="single" w:sz="6" w:space="0" w:color="auto"/>
              <w:left w:val="single" w:sz="6" w:space="0" w:color="auto"/>
              <w:bottom w:val="nil"/>
              <w:right w:val="single" w:sz="6" w:space="0" w:color="auto"/>
            </w:tcBorders>
            <w:shd w:val="clear" w:color="auto" w:fill="DBE5F1" w:themeFill="accent1" w:themeFillTint="33"/>
          </w:tcPr>
          <w:p w14:paraId="1632B9F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3314F35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45C792A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14516F1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1020" w:type="dxa"/>
            <w:tcBorders>
              <w:top w:val="nil"/>
              <w:left w:val="single" w:sz="6" w:space="0" w:color="auto"/>
              <w:bottom w:val="nil"/>
              <w:right w:val="single" w:sz="6" w:space="0" w:color="auto"/>
            </w:tcBorders>
            <w:shd w:val="clear" w:color="auto" w:fill="DBE5F1" w:themeFill="accent1" w:themeFillTint="33"/>
          </w:tcPr>
          <w:p w14:paraId="132003E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15,000</w:t>
            </w:r>
          </w:p>
        </w:tc>
        <w:tc>
          <w:tcPr>
            <w:tcW w:w="850" w:type="dxa"/>
            <w:tcBorders>
              <w:top w:val="nil"/>
              <w:left w:val="nil"/>
              <w:bottom w:val="nil"/>
              <w:right w:val="single" w:sz="6" w:space="0" w:color="auto"/>
            </w:tcBorders>
            <w:shd w:val="clear" w:color="auto" w:fill="F2DBDB" w:themeFill="accent2" w:themeFillTint="33"/>
            <w:vAlign w:val="center"/>
          </w:tcPr>
          <w:p w14:paraId="4E426505"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642A622E"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49057818"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01" w:type="dxa"/>
            <w:tcBorders>
              <w:top w:val="nil"/>
              <w:left w:val="single" w:sz="6" w:space="0" w:color="auto"/>
              <w:bottom w:val="nil"/>
              <w:right w:val="single" w:sz="6" w:space="0" w:color="auto"/>
            </w:tcBorders>
            <w:shd w:val="clear" w:color="auto" w:fill="FFFDD6"/>
          </w:tcPr>
          <w:p w14:paraId="71DD147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4966508D"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15,000 </w:t>
            </w:r>
          </w:p>
        </w:tc>
      </w:tr>
      <w:tr w:rsidR="00262BBF" w:rsidRPr="009B2D70" w14:paraId="4B1F3B2F" w14:textId="77777777" w:rsidTr="008F3C55">
        <w:trPr>
          <w:trHeight w:val="113"/>
        </w:trPr>
        <w:tc>
          <w:tcPr>
            <w:tcW w:w="3288" w:type="dxa"/>
            <w:tcBorders>
              <w:top w:val="single" w:sz="6" w:space="0" w:color="C0C0C0"/>
              <w:left w:val="single" w:sz="6" w:space="0" w:color="auto"/>
              <w:bottom w:val="single" w:sz="6" w:space="0" w:color="C0C0C0"/>
              <w:right w:val="single" w:sz="6" w:space="0" w:color="auto"/>
            </w:tcBorders>
          </w:tcPr>
          <w:p w14:paraId="5AFA42E6"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Tracer Studies/Thematic Studies</w:t>
            </w:r>
          </w:p>
        </w:tc>
        <w:tc>
          <w:tcPr>
            <w:tcW w:w="1020" w:type="dxa"/>
            <w:tcBorders>
              <w:top w:val="single" w:sz="6" w:space="0" w:color="C0C0C0"/>
              <w:left w:val="single" w:sz="6" w:space="0" w:color="auto"/>
              <w:bottom w:val="single" w:sz="6" w:space="0" w:color="C0C0C0"/>
              <w:right w:val="single" w:sz="6" w:space="0" w:color="auto"/>
            </w:tcBorders>
            <w:shd w:val="clear" w:color="auto" w:fill="EAF1DD" w:themeFill="accent3" w:themeFillTint="33"/>
          </w:tcPr>
          <w:p w14:paraId="4DE55715"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60,000</w:t>
            </w:r>
          </w:p>
        </w:tc>
        <w:tc>
          <w:tcPr>
            <w:tcW w:w="850" w:type="dxa"/>
            <w:tcBorders>
              <w:top w:val="nil"/>
              <w:left w:val="single" w:sz="6" w:space="0" w:color="auto"/>
              <w:bottom w:val="nil"/>
              <w:right w:val="single" w:sz="6" w:space="0" w:color="auto"/>
            </w:tcBorders>
            <w:shd w:val="clear" w:color="auto" w:fill="DBE5F1" w:themeFill="accent1" w:themeFillTint="33"/>
          </w:tcPr>
          <w:p w14:paraId="724A9F3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4,000 </w:t>
            </w:r>
          </w:p>
        </w:tc>
        <w:tc>
          <w:tcPr>
            <w:tcW w:w="850" w:type="dxa"/>
            <w:tcBorders>
              <w:top w:val="nil"/>
              <w:left w:val="nil"/>
              <w:bottom w:val="nil"/>
              <w:right w:val="single" w:sz="6" w:space="0" w:color="auto"/>
            </w:tcBorders>
            <w:shd w:val="clear" w:color="auto" w:fill="DBE5F1" w:themeFill="accent1" w:themeFillTint="33"/>
          </w:tcPr>
          <w:p w14:paraId="33C9D71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3,000 </w:t>
            </w:r>
          </w:p>
        </w:tc>
        <w:tc>
          <w:tcPr>
            <w:tcW w:w="850" w:type="dxa"/>
            <w:tcBorders>
              <w:top w:val="nil"/>
              <w:left w:val="nil"/>
              <w:bottom w:val="nil"/>
              <w:right w:val="single" w:sz="6" w:space="0" w:color="auto"/>
            </w:tcBorders>
            <w:shd w:val="clear" w:color="auto" w:fill="DBE5F1" w:themeFill="accent1" w:themeFillTint="33"/>
          </w:tcPr>
          <w:p w14:paraId="614E7C4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3,000 </w:t>
            </w:r>
          </w:p>
        </w:tc>
        <w:tc>
          <w:tcPr>
            <w:tcW w:w="850" w:type="dxa"/>
            <w:tcBorders>
              <w:top w:val="nil"/>
              <w:left w:val="nil"/>
              <w:bottom w:val="nil"/>
              <w:right w:val="single" w:sz="6" w:space="0" w:color="auto"/>
            </w:tcBorders>
            <w:shd w:val="clear" w:color="auto" w:fill="DBE5F1" w:themeFill="accent1" w:themeFillTint="33"/>
          </w:tcPr>
          <w:p w14:paraId="1B029C9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3,000 </w:t>
            </w:r>
          </w:p>
        </w:tc>
        <w:tc>
          <w:tcPr>
            <w:tcW w:w="1020" w:type="dxa"/>
            <w:tcBorders>
              <w:top w:val="nil"/>
              <w:left w:val="single" w:sz="6" w:space="0" w:color="auto"/>
              <w:bottom w:val="nil"/>
              <w:right w:val="single" w:sz="6" w:space="0" w:color="auto"/>
            </w:tcBorders>
            <w:shd w:val="clear" w:color="auto" w:fill="DBE5F1" w:themeFill="accent1" w:themeFillTint="33"/>
          </w:tcPr>
          <w:p w14:paraId="4E3E1CC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80,000</w:t>
            </w:r>
          </w:p>
        </w:tc>
        <w:tc>
          <w:tcPr>
            <w:tcW w:w="850" w:type="dxa"/>
            <w:tcBorders>
              <w:top w:val="nil"/>
              <w:left w:val="nil"/>
              <w:bottom w:val="nil"/>
              <w:right w:val="single" w:sz="6" w:space="0" w:color="auto"/>
            </w:tcBorders>
            <w:shd w:val="clear" w:color="auto" w:fill="F2DBDB" w:themeFill="accent2" w:themeFillTint="33"/>
            <w:vAlign w:val="center"/>
          </w:tcPr>
          <w:p w14:paraId="3FE3DD68"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3,000 </w:t>
            </w:r>
          </w:p>
        </w:tc>
        <w:tc>
          <w:tcPr>
            <w:tcW w:w="850" w:type="dxa"/>
            <w:tcBorders>
              <w:top w:val="nil"/>
              <w:left w:val="nil"/>
              <w:bottom w:val="nil"/>
              <w:right w:val="single" w:sz="6" w:space="0" w:color="auto"/>
            </w:tcBorders>
            <w:shd w:val="clear" w:color="auto" w:fill="F2DBDB" w:themeFill="accent2" w:themeFillTint="33"/>
            <w:vAlign w:val="center"/>
          </w:tcPr>
          <w:p w14:paraId="23B1BF11"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3,000 </w:t>
            </w:r>
          </w:p>
        </w:tc>
        <w:tc>
          <w:tcPr>
            <w:tcW w:w="850" w:type="dxa"/>
            <w:tcBorders>
              <w:top w:val="nil"/>
              <w:left w:val="nil"/>
              <w:bottom w:val="nil"/>
              <w:right w:val="single" w:sz="6" w:space="0" w:color="auto"/>
            </w:tcBorders>
            <w:shd w:val="clear" w:color="auto" w:fill="F2DBDB" w:themeFill="accent2" w:themeFillTint="33"/>
            <w:vAlign w:val="center"/>
          </w:tcPr>
          <w:p w14:paraId="74FBB24F"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3,000 </w:t>
            </w:r>
          </w:p>
        </w:tc>
        <w:tc>
          <w:tcPr>
            <w:tcW w:w="801" w:type="dxa"/>
            <w:tcBorders>
              <w:top w:val="nil"/>
              <w:left w:val="single" w:sz="6" w:space="0" w:color="auto"/>
              <w:bottom w:val="nil"/>
              <w:right w:val="single" w:sz="6" w:space="0" w:color="auto"/>
            </w:tcBorders>
            <w:shd w:val="clear" w:color="auto" w:fill="FFFDD6"/>
          </w:tcPr>
          <w:p w14:paraId="76F4774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1B920039"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89,000 </w:t>
            </w:r>
          </w:p>
        </w:tc>
      </w:tr>
      <w:tr w:rsidR="00262BBF" w:rsidRPr="009B2D70" w14:paraId="1733497B" w14:textId="77777777" w:rsidTr="008F3C55">
        <w:trPr>
          <w:trHeight w:val="113"/>
        </w:trPr>
        <w:tc>
          <w:tcPr>
            <w:tcW w:w="3288" w:type="dxa"/>
            <w:tcBorders>
              <w:top w:val="single" w:sz="6" w:space="0" w:color="C0C0C0"/>
              <w:left w:val="single" w:sz="6" w:space="0" w:color="auto"/>
              <w:bottom w:val="single" w:sz="6" w:space="0" w:color="auto"/>
              <w:right w:val="single" w:sz="6" w:space="0" w:color="auto"/>
            </w:tcBorders>
          </w:tcPr>
          <w:p w14:paraId="082E67EC"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NSO Liaison</w:t>
            </w:r>
          </w:p>
        </w:tc>
        <w:tc>
          <w:tcPr>
            <w:tcW w:w="1020" w:type="dxa"/>
            <w:tcBorders>
              <w:top w:val="single" w:sz="6" w:space="0" w:color="C0C0C0"/>
              <w:left w:val="single" w:sz="6" w:space="0" w:color="auto"/>
              <w:bottom w:val="single" w:sz="6" w:space="0" w:color="C0C0C0"/>
              <w:right w:val="single" w:sz="6" w:space="0" w:color="auto"/>
            </w:tcBorders>
            <w:shd w:val="clear" w:color="auto" w:fill="EAF1DD" w:themeFill="accent3" w:themeFillTint="33"/>
          </w:tcPr>
          <w:p w14:paraId="7755872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w:color w:val="000000"/>
                <w:sz w:val="16"/>
                <w:szCs w:val="16"/>
                <w:lang w:eastAsia="en-AU"/>
              </w:rPr>
            </w:pPr>
            <w:r w:rsidRPr="009B2D70">
              <w:rPr>
                <w:rFonts w:asciiTheme="minorHAnsi" w:eastAsia="Calibri" w:hAnsiTheme="minorHAnsi" w:cs="Arial"/>
                <w:color w:val="000000"/>
                <w:sz w:val="16"/>
                <w:szCs w:val="16"/>
                <w:lang w:eastAsia="en-AU"/>
              </w:rPr>
              <w:t>0</w:t>
            </w:r>
          </w:p>
        </w:tc>
        <w:tc>
          <w:tcPr>
            <w:tcW w:w="850" w:type="dxa"/>
            <w:tcBorders>
              <w:top w:val="nil"/>
              <w:left w:val="single" w:sz="6" w:space="0" w:color="auto"/>
              <w:bottom w:val="single" w:sz="6" w:space="0" w:color="auto"/>
              <w:right w:val="single" w:sz="6" w:space="0" w:color="auto"/>
            </w:tcBorders>
            <w:shd w:val="clear" w:color="auto" w:fill="DBE5F1" w:themeFill="accent1" w:themeFillTint="33"/>
          </w:tcPr>
          <w:p w14:paraId="272EA26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4319554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3DEA964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850" w:type="dxa"/>
            <w:tcBorders>
              <w:top w:val="nil"/>
              <w:left w:val="nil"/>
              <w:bottom w:val="nil"/>
              <w:right w:val="single" w:sz="6" w:space="0" w:color="auto"/>
            </w:tcBorders>
            <w:shd w:val="clear" w:color="auto" w:fill="DBE5F1" w:themeFill="accent1" w:themeFillTint="33"/>
          </w:tcPr>
          <w:p w14:paraId="6B9344A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w:t>
            </w:r>
          </w:p>
        </w:tc>
        <w:tc>
          <w:tcPr>
            <w:tcW w:w="1020" w:type="dxa"/>
            <w:tcBorders>
              <w:top w:val="nil"/>
              <w:left w:val="single" w:sz="6" w:space="0" w:color="auto"/>
              <w:bottom w:val="nil"/>
              <w:right w:val="single" w:sz="6" w:space="0" w:color="auto"/>
            </w:tcBorders>
            <w:shd w:val="clear" w:color="auto" w:fill="DBE5F1" w:themeFill="accent1" w:themeFillTint="33"/>
          </w:tcPr>
          <w:p w14:paraId="0BBDC35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0</w:t>
            </w:r>
          </w:p>
        </w:tc>
        <w:tc>
          <w:tcPr>
            <w:tcW w:w="850" w:type="dxa"/>
            <w:tcBorders>
              <w:top w:val="nil"/>
              <w:left w:val="nil"/>
              <w:bottom w:val="nil"/>
              <w:right w:val="single" w:sz="6" w:space="0" w:color="auto"/>
            </w:tcBorders>
            <w:shd w:val="clear" w:color="auto" w:fill="F2DBDB" w:themeFill="accent2" w:themeFillTint="33"/>
            <w:vAlign w:val="center"/>
          </w:tcPr>
          <w:p w14:paraId="09FBA013"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1538A69D"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50" w:type="dxa"/>
            <w:tcBorders>
              <w:top w:val="nil"/>
              <w:left w:val="nil"/>
              <w:bottom w:val="nil"/>
              <w:right w:val="single" w:sz="6" w:space="0" w:color="auto"/>
            </w:tcBorders>
            <w:shd w:val="clear" w:color="auto" w:fill="F2DBDB" w:themeFill="accent2" w:themeFillTint="33"/>
            <w:vAlign w:val="center"/>
          </w:tcPr>
          <w:p w14:paraId="395C80DE"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c>
          <w:tcPr>
            <w:tcW w:w="801" w:type="dxa"/>
            <w:tcBorders>
              <w:top w:val="nil"/>
              <w:left w:val="single" w:sz="6" w:space="0" w:color="auto"/>
              <w:bottom w:val="nil"/>
              <w:right w:val="single" w:sz="6" w:space="0" w:color="auto"/>
            </w:tcBorders>
            <w:shd w:val="clear" w:color="auto" w:fill="FFFDD6"/>
          </w:tcPr>
          <w:p w14:paraId="2CC8A87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28F341E2"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w:t>
            </w:r>
          </w:p>
        </w:tc>
      </w:tr>
      <w:tr w:rsidR="00262BBF" w:rsidRPr="009B2D70" w14:paraId="44B4AB14" w14:textId="77777777" w:rsidTr="008F3C55">
        <w:trPr>
          <w:trHeight w:val="113"/>
        </w:trPr>
        <w:tc>
          <w:tcPr>
            <w:tcW w:w="3288" w:type="dxa"/>
            <w:tcBorders>
              <w:top w:val="single" w:sz="6" w:space="0" w:color="auto"/>
              <w:left w:val="single" w:sz="6" w:space="0" w:color="auto"/>
              <w:bottom w:val="double" w:sz="6" w:space="0" w:color="auto"/>
              <w:right w:val="single" w:sz="6" w:space="0" w:color="auto"/>
            </w:tcBorders>
          </w:tcPr>
          <w:p w14:paraId="2596A703"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w:t>
            </w:r>
          </w:p>
        </w:tc>
        <w:tc>
          <w:tcPr>
            <w:tcW w:w="1020" w:type="dxa"/>
            <w:tcBorders>
              <w:top w:val="single" w:sz="6" w:space="0" w:color="auto"/>
              <w:left w:val="single" w:sz="6" w:space="0" w:color="auto"/>
              <w:bottom w:val="double" w:sz="6" w:space="0" w:color="auto"/>
              <w:right w:val="single" w:sz="6" w:space="0" w:color="auto"/>
            </w:tcBorders>
            <w:shd w:val="clear" w:color="auto" w:fill="EAF1DD" w:themeFill="accent3" w:themeFillTint="33"/>
          </w:tcPr>
          <w:p w14:paraId="1F91E1D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70,000</w:t>
            </w:r>
          </w:p>
        </w:tc>
        <w:tc>
          <w:tcPr>
            <w:tcW w:w="850" w:type="dxa"/>
            <w:tcBorders>
              <w:top w:val="nil"/>
              <w:left w:val="single" w:sz="6" w:space="0" w:color="auto"/>
              <w:bottom w:val="double" w:sz="6" w:space="0" w:color="auto"/>
              <w:right w:val="single" w:sz="6" w:space="0" w:color="auto"/>
            </w:tcBorders>
            <w:shd w:val="clear" w:color="auto" w:fill="DBE5F1" w:themeFill="accent1" w:themeFillTint="33"/>
          </w:tcPr>
          <w:p w14:paraId="3A913D4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4,000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70E8E6F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3,000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31F2976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3,000 </w:t>
            </w:r>
          </w:p>
        </w:tc>
        <w:tc>
          <w:tcPr>
            <w:tcW w:w="85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42A84C3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3,000 </w:t>
            </w:r>
          </w:p>
        </w:tc>
        <w:tc>
          <w:tcPr>
            <w:tcW w:w="1020" w:type="dxa"/>
            <w:tcBorders>
              <w:top w:val="single" w:sz="6" w:space="0" w:color="auto"/>
              <w:left w:val="single" w:sz="6" w:space="0" w:color="auto"/>
              <w:bottom w:val="double" w:sz="6" w:space="0" w:color="auto"/>
              <w:right w:val="single" w:sz="6" w:space="0" w:color="auto"/>
            </w:tcBorders>
            <w:shd w:val="clear" w:color="auto" w:fill="DBE5F1" w:themeFill="accent1" w:themeFillTint="33"/>
          </w:tcPr>
          <w:p w14:paraId="4D810AD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95,000</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6A889AD0"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3,000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15A801D2"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3,000 </w:t>
            </w:r>
          </w:p>
        </w:tc>
        <w:tc>
          <w:tcPr>
            <w:tcW w:w="850"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695A8A1C"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3,000 </w:t>
            </w:r>
          </w:p>
        </w:tc>
        <w:tc>
          <w:tcPr>
            <w:tcW w:w="801" w:type="dxa"/>
            <w:tcBorders>
              <w:top w:val="single" w:sz="6" w:space="0" w:color="auto"/>
              <w:left w:val="single" w:sz="6" w:space="0" w:color="auto"/>
              <w:bottom w:val="double" w:sz="6" w:space="0" w:color="auto"/>
              <w:right w:val="single" w:sz="6" w:space="0" w:color="auto"/>
            </w:tcBorders>
            <w:shd w:val="clear" w:color="auto" w:fill="FFFDD6"/>
          </w:tcPr>
          <w:p w14:paraId="5171568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041214CD"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104,000 </w:t>
            </w:r>
          </w:p>
        </w:tc>
      </w:tr>
      <w:tr w:rsidR="00262BBF" w:rsidRPr="009B2D70" w14:paraId="517C6329" w14:textId="77777777" w:rsidTr="008F3C55">
        <w:trPr>
          <w:trHeight w:val="113"/>
        </w:trPr>
        <w:tc>
          <w:tcPr>
            <w:tcW w:w="3288" w:type="dxa"/>
            <w:tcBorders>
              <w:top w:val="nil"/>
              <w:left w:val="nil"/>
              <w:bottom w:val="nil"/>
              <w:right w:val="nil"/>
            </w:tcBorders>
            <w:shd w:val="clear" w:color="auto" w:fill="auto"/>
          </w:tcPr>
          <w:p w14:paraId="6213F75B"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330536C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6A13262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7BAC0A1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120C500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7D67DD0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1496913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vAlign w:val="center"/>
          </w:tcPr>
          <w:p w14:paraId="6F4D8547"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0BFEEBA2"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4DA25CA0"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01" w:type="dxa"/>
            <w:tcBorders>
              <w:top w:val="nil"/>
              <w:left w:val="nil"/>
              <w:bottom w:val="nil"/>
              <w:right w:val="nil"/>
            </w:tcBorders>
          </w:tcPr>
          <w:p w14:paraId="68C8377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nil"/>
              <w:left w:val="nil"/>
              <w:bottom w:val="nil"/>
              <w:right w:val="nil"/>
            </w:tcBorders>
            <w:shd w:val="clear" w:color="auto" w:fill="auto"/>
            <w:vAlign w:val="center"/>
          </w:tcPr>
          <w:p w14:paraId="6405E704" w14:textId="77777777" w:rsidR="00262BBF" w:rsidRPr="001C67A6" w:rsidRDefault="00262BBF" w:rsidP="008F3C55">
            <w:pPr>
              <w:spacing w:before="0" w:after="0"/>
              <w:ind w:firstLine="173"/>
              <w:rPr>
                <w:rFonts w:ascii="Arial Narrow" w:eastAsia="Times New Roman" w:hAnsi="Arial Narrow" w:cs="Arial"/>
                <w:b/>
                <w:bCs/>
                <w:sz w:val="16"/>
                <w:szCs w:val="16"/>
              </w:rPr>
            </w:pPr>
          </w:p>
        </w:tc>
      </w:tr>
      <w:tr w:rsidR="00262BBF" w:rsidRPr="009B2D70" w14:paraId="3E51C0AD" w14:textId="77777777" w:rsidTr="008F3C55">
        <w:trPr>
          <w:trHeight w:val="113"/>
        </w:trPr>
        <w:tc>
          <w:tcPr>
            <w:tcW w:w="3288" w:type="dxa"/>
            <w:tcBorders>
              <w:top w:val="double" w:sz="6" w:space="0" w:color="auto"/>
              <w:left w:val="single" w:sz="6" w:space="0" w:color="auto"/>
              <w:bottom w:val="double" w:sz="6" w:space="0" w:color="auto"/>
              <w:right w:val="single" w:sz="6" w:space="0" w:color="auto"/>
            </w:tcBorders>
          </w:tcPr>
          <w:p w14:paraId="2BF50C83"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TOTAL Reimbursable Expenses</w:t>
            </w:r>
          </w:p>
        </w:tc>
        <w:tc>
          <w:tcPr>
            <w:tcW w:w="1020" w:type="dxa"/>
            <w:tcBorders>
              <w:top w:val="double" w:sz="6" w:space="0" w:color="auto"/>
              <w:left w:val="single" w:sz="6" w:space="0" w:color="auto"/>
              <w:bottom w:val="double" w:sz="6" w:space="0" w:color="auto"/>
              <w:right w:val="single" w:sz="6" w:space="0" w:color="auto"/>
            </w:tcBorders>
            <w:shd w:val="clear" w:color="auto" w:fill="EAF1DD" w:themeFill="accent3" w:themeFillTint="33"/>
          </w:tcPr>
          <w:p w14:paraId="72EDD7A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1,045,550</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2977083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 xml:space="preserve">    29,332 </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568425F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 xml:space="preserve">    22,832 </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26B2313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 xml:space="preserve">    21,832 </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1D176181"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 xml:space="preserve">    21,832 </w:t>
            </w:r>
          </w:p>
        </w:tc>
        <w:tc>
          <w:tcPr>
            <w:tcW w:w="102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250446C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1,154,067</w:t>
            </w:r>
          </w:p>
        </w:tc>
        <w:tc>
          <w:tcPr>
            <w:tcW w:w="850"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301B89D2"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97,832 </w:t>
            </w:r>
          </w:p>
        </w:tc>
        <w:tc>
          <w:tcPr>
            <w:tcW w:w="850"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2B83151B"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51,832 </w:t>
            </w:r>
          </w:p>
        </w:tc>
        <w:tc>
          <w:tcPr>
            <w:tcW w:w="850"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5ECD8226"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21,832 </w:t>
            </w:r>
          </w:p>
        </w:tc>
        <w:tc>
          <w:tcPr>
            <w:tcW w:w="801" w:type="dxa"/>
            <w:tcBorders>
              <w:top w:val="double" w:sz="6" w:space="0" w:color="auto"/>
              <w:left w:val="single" w:sz="6" w:space="0" w:color="auto"/>
              <w:bottom w:val="double" w:sz="6" w:space="0" w:color="auto"/>
              <w:right w:val="single" w:sz="6" w:space="0" w:color="auto"/>
            </w:tcBorders>
            <w:shd w:val="clear" w:color="auto" w:fill="FFFDD6"/>
          </w:tcPr>
          <w:p w14:paraId="0D06E7B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Pr>
                <w:rFonts w:asciiTheme="minorHAnsi" w:eastAsia="Calibri" w:hAnsiTheme="minorHAnsi" w:cs="Arial Narrow"/>
                <w:b/>
                <w:bCs/>
                <w:color w:val="000000"/>
                <w:sz w:val="16"/>
                <w:szCs w:val="16"/>
                <w:lang w:eastAsia="en-AU"/>
              </w:rPr>
              <w:t>25,000</w:t>
            </w:r>
          </w:p>
        </w:tc>
        <w:tc>
          <w:tcPr>
            <w:tcW w:w="992"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5CF501C5"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1,350,564 </w:t>
            </w:r>
          </w:p>
        </w:tc>
      </w:tr>
      <w:tr w:rsidR="00262BBF" w:rsidRPr="009B2D70" w14:paraId="3DA2A8AD" w14:textId="77777777" w:rsidTr="008F3C55">
        <w:trPr>
          <w:trHeight w:val="113"/>
        </w:trPr>
        <w:tc>
          <w:tcPr>
            <w:tcW w:w="3288" w:type="dxa"/>
            <w:tcBorders>
              <w:top w:val="nil"/>
              <w:left w:val="nil"/>
              <w:bottom w:val="nil"/>
              <w:right w:val="nil"/>
            </w:tcBorders>
            <w:shd w:val="clear" w:color="auto" w:fill="auto"/>
          </w:tcPr>
          <w:p w14:paraId="61598C14"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435FD64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4EAD0530"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5EACEBA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2AD8A6F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tcPr>
          <w:p w14:paraId="5489B73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nil"/>
              <w:left w:val="nil"/>
              <w:bottom w:val="nil"/>
              <w:right w:val="nil"/>
            </w:tcBorders>
            <w:shd w:val="clear" w:color="auto" w:fill="auto"/>
          </w:tcPr>
          <w:p w14:paraId="42463A8E"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nil"/>
              <w:left w:val="nil"/>
              <w:bottom w:val="nil"/>
              <w:right w:val="nil"/>
            </w:tcBorders>
            <w:shd w:val="clear" w:color="auto" w:fill="auto"/>
            <w:vAlign w:val="center"/>
          </w:tcPr>
          <w:p w14:paraId="1B412C4F"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2E4D9A8F"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50" w:type="dxa"/>
            <w:tcBorders>
              <w:top w:val="nil"/>
              <w:left w:val="nil"/>
              <w:bottom w:val="nil"/>
              <w:right w:val="nil"/>
            </w:tcBorders>
            <w:shd w:val="clear" w:color="auto" w:fill="auto"/>
            <w:vAlign w:val="center"/>
          </w:tcPr>
          <w:p w14:paraId="722F1AD7" w14:textId="77777777" w:rsidR="00262BBF" w:rsidRPr="001C67A6" w:rsidRDefault="00262BBF" w:rsidP="008F3C55">
            <w:pPr>
              <w:spacing w:before="0" w:after="0"/>
              <w:ind w:firstLine="173"/>
              <w:rPr>
                <w:rFonts w:ascii="Arial Narrow" w:eastAsia="Times New Roman" w:hAnsi="Arial Narrow" w:cs="Arial"/>
                <w:b/>
                <w:bCs/>
                <w:sz w:val="16"/>
                <w:szCs w:val="16"/>
              </w:rPr>
            </w:pPr>
          </w:p>
        </w:tc>
        <w:tc>
          <w:tcPr>
            <w:tcW w:w="801" w:type="dxa"/>
            <w:tcBorders>
              <w:top w:val="nil"/>
              <w:left w:val="nil"/>
              <w:bottom w:val="nil"/>
              <w:right w:val="nil"/>
            </w:tcBorders>
          </w:tcPr>
          <w:p w14:paraId="1425A17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nil"/>
              <w:left w:val="nil"/>
              <w:bottom w:val="nil"/>
              <w:right w:val="nil"/>
            </w:tcBorders>
            <w:shd w:val="clear" w:color="auto" w:fill="auto"/>
            <w:vAlign w:val="center"/>
          </w:tcPr>
          <w:p w14:paraId="02B039B6" w14:textId="77777777" w:rsidR="00262BBF" w:rsidRPr="001C67A6" w:rsidRDefault="00262BBF" w:rsidP="008F3C55">
            <w:pPr>
              <w:spacing w:before="0" w:after="0"/>
              <w:ind w:firstLine="173"/>
              <w:rPr>
                <w:rFonts w:ascii="Arial Narrow" w:eastAsia="Times New Roman" w:hAnsi="Arial Narrow" w:cs="Arial"/>
                <w:b/>
                <w:bCs/>
                <w:sz w:val="16"/>
                <w:szCs w:val="16"/>
              </w:rPr>
            </w:pPr>
          </w:p>
        </w:tc>
      </w:tr>
      <w:tr w:rsidR="00262BBF" w:rsidRPr="009B2D70" w14:paraId="1FA7ABE8" w14:textId="77777777" w:rsidTr="008F3C55">
        <w:trPr>
          <w:trHeight w:val="113"/>
        </w:trPr>
        <w:tc>
          <w:tcPr>
            <w:tcW w:w="3288" w:type="dxa"/>
            <w:tcBorders>
              <w:top w:val="single" w:sz="6" w:space="0" w:color="auto"/>
              <w:left w:val="single" w:sz="6" w:space="0" w:color="auto"/>
              <w:bottom w:val="single" w:sz="6" w:space="0" w:color="auto"/>
              <w:right w:val="single" w:sz="6" w:space="0" w:color="auto"/>
            </w:tcBorders>
          </w:tcPr>
          <w:p w14:paraId="242DB91D"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i/>
                <w:iCs/>
                <w:color w:val="000000"/>
                <w:sz w:val="16"/>
                <w:szCs w:val="16"/>
                <w:lang w:eastAsia="en-AU"/>
              </w:rPr>
            </w:pPr>
            <w:r w:rsidRPr="009B2D70">
              <w:rPr>
                <w:rFonts w:asciiTheme="minorHAnsi" w:eastAsia="Calibri" w:hAnsiTheme="minorHAnsi" w:cs="Arial Narrow"/>
                <w:b/>
                <w:bCs/>
                <w:i/>
                <w:iCs/>
                <w:color w:val="000000"/>
                <w:sz w:val="16"/>
                <w:szCs w:val="16"/>
                <w:lang w:eastAsia="en-AU"/>
              </w:rPr>
              <w:t>IMPREST</w:t>
            </w:r>
          </w:p>
        </w:tc>
        <w:tc>
          <w:tcPr>
            <w:tcW w:w="102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92343D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8EF1CD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832871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574C05D"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B048F52"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102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FB06F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01472B32"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2250BB23"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50"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0E27FA5F"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c>
          <w:tcPr>
            <w:tcW w:w="801" w:type="dxa"/>
            <w:tcBorders>
              <w:top w:val="single" w:sz="6" w:space="0" w:color="auto"/>
              <w:left w:val="single" w:sz="6" w:space="0" w:color="auto"/>
              <w:bottom w:val="single" w:sz="6" w:space="0" w:color="auto"/>
              <w:right w:val="single" w:sz="6" w:space="0" w:color="auto"/>
            </w:tcBorders>
            <w:shd w:val="clear" w:color="auto" w:fill="FFFDD6"/>
          </w:tcPr>
          <w:p w14:paraId="2EBCC686"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tcPr>
          <w:p w14:paraId="1B18C0C3" w14:textId="77777777" w:rsidR="00262BBF" w:rsidRPr="001C67A6" w:rsidRDefault="00262BBF" w:rsidP="008F3C55">
            <w:pPr>
              <w:spacing w:before="0" w:after="0"/>
              <w:jc w:val="center"/>
              <w:rPr>
                <w:rFonts w:ascii="Arial Narrow" w:eastAsia="Times New Roman" w:hAnsi="Arial Narrow" w:cs="Arial"/>
                <w:b/>
                <w:bCs/>
                <w:sz w:val="16"/>
                <w:szCs w:val="16"/>
              </w:rPr>
            </w:pPr>
            <w:r w:rsidRPr="001C67A6">
              <w:rPr>
                <w:rFonts w:ascii="Arial Narrow" w:eastAsia="Times New Roman" w:hAnsi="Arial Narrow" w:cs="Arial"/>
                <w:b/>
                <w:bCs/>
                <w:sz w:val="16"/>
                <w:szCs w:val="16"/>
              </w:rPr>
              <w:t> </w:t>
            </w:r>
          </w:p>
        </w:tc>
      </w:tr>
      <w:tr w:rsidR="00262BBF" w:rsidRPr="009B2D70" w14:paraId="560D68A6" w14:textId="77777777" w:rsidTr="008F3C55">
        <w:trPr>
          <w:trHeight w:val="113"/>
        </w:trPr>
        <w:tc>
          <w:tcPr>
            <w:tcW w:w="3288" w:type="dxa"/>
            <w:tcBorders>
              <w:top w:val="nil"/>
              <w:left w:val="single" w:sz="6" w:space="0" w:color="auto"/>
              <w:bottom w:val="single" w:sz="6" w:space="0" w:color="C0C0C0"/>
              <w:right w:val="single" w:sz="6" w:space="0" w:color="auto"/>
            </w:tcBorders>
          </w:tcPr>
          <w:p w14:paraId="7E7AA1CE"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color w:val="000000"/>
                <w:sz w:val="16"/>
                <w:szCs w:val="16"/>
                <w:lang w:eastAsia="en-AU"/>
              </w:rPr>
            </w:pPr>
            <w:proofErr w:type="spellStart"/>
            <w:r w:rsidRPr="009B2D70">
              <w:rPr>
                <w:rFonts w:asciiTheme="minorHAnsi" w:eastAsia="Calibri" w:hAnsiTheme="minorHAnsi" w:cs="Arial Narrow"/>
                <w:color w:val="000000"/>
                <w:sz w:val="16"/>
                <w:szCs w:val="16"/>
                <w:lang w:eastAsia="en-AU"/>
              </w:rPr>
              <w:t>Imprest</w:t>
            </w:r>
            <w:proofErr w:type="spellEnd"/>
            <w:r w:rsidRPr="009B2D70">
              <w:rPr>
                <w:rFonts w:asciiTheme="minorHAnsi" w:eastAsia="Calibri" w:hAnsiTheme="minorHAnsi" w:cs="Arial Narrow"/>
                <w:color w:val="000000"/>
                <w:sz w:val="16"/>
                <w:szCs w:val="16"/>
                <w:lang w:eastAsia="en-AU"/>
              </w:rPr>
              <w:t xml:space="preserve"> Expenditure</w:t>
            </w:r>
            <w:r>
              <w:rPr>
                <w:rStyle w:val="FootnoteReference"/>
                <w:rFonts w:asciiTheme="minorHAnsi" w:eastAsia="Calibri" w:hAnsiTheme="minorHAnsi" w:cs="Arial Narrow"/>
                <w:color w:val="000000"/>
                <w:sz w:val="16"/>
                <w:szCs w:val="16"/>
                <w:lang w:eastAsia="en-AU"/>
              </w:rPr>
              <w:footnoteReference w:id="4"/>
            </w:r>
          </w:p>
        </w:tc>
        <w:tc>
          <w:tcPr>
            <w:tcW w:w="1020" w:type="dxa"/>
            <w:tcBorders>
              <w:top w:val="nil"/>
              <w:left w:val="single" w:sz="6" w:space="0" w:color="auto"/>
              <w:bottom w:val="nil"/>
              <w:right w:val="single" w:sz="6" w:space="0" w:color="auto"/>
            </w:tcBorders>
            <w:shd w:val="clear" w:color="auto" w:fill="EAF1DD" w:themeFill="accent3" w:themeFillTint="33"/>
          </w:tcPr>
          <w:p w14:paraId="419E5F13"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Pr>
                <w:rFonts w:asciiTheme="minorHAnsi" w:eastAsia="Calibri" w:hAnsiTheme="minorHAnsi" w:cs="Arial Narrow"/>
                <w:b/>
                <w:bCs/>
                <w:color w:val="000000"/>
                <w:sz w:val="16"/>
                <w:szCs w:val="16"/>
                <w:lang w:eastAsia="en-AU"/>
              </w:rPr>
              <w:t>1,850,000</w:t>
            </w:r>
          </w:p>
        </w:tc>
        <w:tc>
          <w:tcPr>
            <w:tcW w:w="850" w:type="dxa"/>
            <w:tcBorders>
              <w:top w:val="nil"/>
              <w:left w:val="single" w:sz="6" w:space="0" w:color="auto"/>
              <w:bottom w:val="nil"/>
              <w:right w:val="single" w:sz="6" w:space="0" w:color="auto"/>
            </w:tcBorders>
            <w:shd w:val="clear" w:color="auto" w:fill="DBE5F1" w:themeFill="accent1" w:themeFillTint="33"/>
          </w:tcPr>
          <w:p w14:paraId="73B2281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850" w:type="dxa"/>
            <w:tcBorders>
              <w:top w:val="nil"/>
              <w:left w:val="single" w:sz="6" w:space="0" w:color="auto"/>
              <w:bottom w:val="nil"/>
              <w:right w:val="single" w:sz="6" w:space="0" w:color="auto"/>
            </w:tcBorders>
            <w:shd w:val="clear" w:color="auto" w:fill="DBE5F1" w:themeFill="accent1" w:themeFillTint="33"/>
          </w:tcPr>
          <w:p w14:paraId="14B9633C"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850" w:type="dxa"/>
            <w:tcBorders>
              <w:top w:val="nil"/>
              <w:left w:val="single" w:sz="6" w:space="0" w:color="auto"/>
              <w:bottom w:val="nil"/>
              <w:right w:val="single" w:sz="6" w:space="0" w:color="auto"/>
            </w:tcBorders>
            <w:shd w:val="clear" w:color="auto" w:fill="DBE5F1" w:themeFill="accent1" w:themeFillTint="33"/>
          </w:tcPr>
          <w:p w14:paraId="2720BCF4"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850" w:type="dxa"/>
            <w:tcBorders>
              <w:top w:val="nil"/>
              <w:left w:val="single" w:sz="6" w:space="0" w:color="auto"/>
              <w:bottom w:val="nil"/>
              <w:right w:val="single" w:sz="6" w:space="0" w:color="auto"/>
            </w:tcBorders>
            <w:shd w:val="clear" w:color="auto" w:fill="DBE5F1" w:themeFill="accent1" w:themeFillTint="33"/>
          </w:tcPr>
          <w:p w14:paraId="2DFDB369"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1020" w:type="dxa"/>
            <w:tcBorders>
              <w:top w:val="nil"/>
              <w:left w:val="single" w:sz="6" w:space="0" w:color="auto"/>
              <w:bottom w:val="nil"/>
              <w:right w:val="single" w:sz="6" w:space="0" w:color="auto"/>
            </w:tcBorders>
            <w:shd w:val="clear" w:color="auto" w:fill="DBE5F1" w:themeFill="accent1" w:themeFillTint="33"/>
          </w:tcPr>
          <w:p w14:paraId="78D883A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sidRPr="009B2D70">
              <w:rPr>
                <w:rFonts w:asciiTheme="minorHAnsi" w:eastAsia="Calibri" w:hAnsiTheme="minorHAnsi" w:cs="Arial Narrow"/>
                <w:color w:val="000000"/>
                <w:sz w:val="16"/>
                <w:szCs w:val="16"/>
                <w:lang w:eastAsia="en-AU"/>
              </w:rPr>
              <w:t xml:space="preserve">  2,150,000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253FACEF"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105,000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16DA0BB1"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105,000 </w:t>
            </w:r>
          </w:p>
        </w:tc>
        <w:tc>
          <w:tcPr>
            <w:tcW w:w="850" w:type="dxa"/>
            <w:tcBorders>
              <w:top w:val="nil"/>
              <w:left w:val="single" w:sz="6" w:space="0" w:color="auto"/>
              <w:bottom w:val="nil"/>
              <w:right w:val="single" w:sz="6" w:space="0" w:color="auto"/>
            </w:tcBorders>
            <w:shd w:val="clear" w:color="auto" w:fill="F2DBDB" w:themeFill="accent2" w:themeFillTint="33"/>
            <w:vAlign w:val="center"/>
          </w:tcPr>
          <w:p w14:paraId="45FF47FD"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20,000 </w:t>
            </w:r>
          </w:p>
        </w:tc>
        <w:tc>
          <w:tcPr>
            <w:tcW w:w="801" w:type="dxa"/>
            <w:tcBorders>
              <w:top w:val="nil"/>
              <w:left w:val="single" w:sz="6" w:space="0" w:color="auto"/>
              <w:bottom w:val="nil"/>
              <w:right w:val="single" w:sz="6" w:space="0" w:color="auto"/>
            </w:tcBorders>
            <w:shd w:val="clear" w:color="auto" w:fill="FFFDD6"/>
          </w:tcPr>
          <w:p w14:paraId="6D7981B6" w14:textId="77777777" w:rsidR="00262BBF" w:rsidRPr="009C1CD8"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p>
        </w:tc>
        <w:tc>
          <w:tcPr>
            <w:tcW w:w="992" w:type="dxa"/>
            <w:tcBorders>
              <w:top w:val="nil"/>
              <w:left w:val="single" w:sz="6" w:space="0" w:color="auto"/>
              <w:bottom w:val="nil"/>
              <w:right w:val="single" w:sz="6" w:space="0" w:color="auto"/>
            </w:tcBorders>
            <w:shd w:val="clear" w:color="auto" w:fill="F2DBDB" w:themeFill="accent2" w:themeFillTint="33"/>
            <w:vAlign w:val="center"/>
          </w:tcPr>
          <w:p w14:paraId="697203EC" w14:textId="77777777" w:rsidR="00262BBF" w:rsidRPr="001C67A6" w:rsidRDefault="00262BBF" w:rsidP="008F3C55">
            <w:pPr>
              <w:spacing w:before="0" w:after="0"/>
              <w:jc w:val="right"/>
              <w:rPr>
                <w:rFonts w:ascii="Arial Narrow" w:eastAsia="Times New Roman" w:hAnsi="Arial Narrow" w:cs="Arial"/>
                <w:sz w:val="16"/>
                <w:szCs w:val="16"/>
              </w:rPr>
            </w:pPr>
            <w:r w:rsidRPr="001C67A6">
              <w:rPr>
                <w:rFonts w:ascii="Arial Narrow" w:eastAsia="Times New Roman" w:hAnsi="Arial Narrow" w:cs="Arial"/>
                <w:sz w:val="16"/>
                <w:szCs w:val="16"/>
              </w:rPr>
              <w:t xml:space="preserve"> 2,380,000 </w:t>
            </w:r>
          </w:p>
        </w:tc>
      </w:tr>
      <w:tr w:rsidR="00262BBF" w:rsidRPr="009B2D70" w14:paraId="2833B4DF" w14:textId="77777777" w:rsidTr="008F3C55">
        <w:trPr>
          <w:trHeight w:val="113"/>
        </w:trPr>
        <w:tc>
          <w:tcPr>
            <w:tcW w:w="3288" w:type="dxa"/>
            <w:tcBorders>
              <w:top w:val="double" w:sz="6" w:space="0" w:color="auto"/>
              <w:left w:val="single" w:sz="6" w:space="0" w:color="auto"/>
              <w:bottom w:val="double" w:sz="6" w:space="0" w:color="auto"/>
              <w:right w:val="single" w:sz="6" w:space="0" w:color="auto"/>
            </w:tcBorders>
          </w:tcPr>
          <w:p w14:paraId="5B748211" w14:textId="77777777" w:rsidR="00262BBF" w:rsidRPr="009B2D70" w:rsidRDefault="00262BBF" w:rsidP="008F3C55">
            <w:pPr>
              <w:widowControl/>
              <w:autoSpaceDE w:val="0"/>
              <w:autoSpaceDN w:val="0"/>
              <w:adjustRightInd w:val="0"/>
              <w:spacing w:before="0" w:after="0"/>
              <w:jc w:val="lef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 xml:space="preserve">TOTAL </w:t>
            </w:r>
            <w:proofErr w:type="spellStart"/>
            <w:r w:rsidRPr="009B2D70">
              <w:rPr>
                <w:rFonts w:asciiTheme="minorHAnsi" w:eastAsia="Calibri" w:hAnsiTheme="minorHAnsi" w:cs="Arial Narrow"/>
                <w:b/>
                <w:bCs/>
                <w:color w:val="000000"/>
                <w:sz w:val="16"/>
                <w:szCs w:val="16"/>
                <w:lang w:eastAsia="en-AU"/>
              </w:rPr>
              <w:t>Imprest</w:t>
            </w:r>
            <w:proofErr w:type="spellEnd"/>
            <w:r w:rsidRPr="009B2D70">
              <w:rPr>
                <w:rFonts w:asciiTheme="minorHAnsi" w:eastAsia="Calibri" w:hAnsiTheme="minorHAnsi" w:cs="Arial Narrow"/>
                <w:b/>
                <w:bCs/>
                <w:color w:val="000000"/>
                <w:sz w:val="16"/>
                <w:szCs w:val="16"/>
                <w:lang w:eastAsia="en-AU"/>
              </w:rPr>
              <w:t xml:space="preserve"> Expenses</w:t>
            </w:r>
          </w:p>
        </w:tc>
        <w:tc>
          <w:tcPr>
            <w:tcW w:w="1020" w:type="dxa"/>
            <w:tcBorders>
              <w:top w:val="double" w:sz="6" w:space="0" w:color="auto"/>
              <w:left w:val="single" w:sz="6" w:space="0" w:color="auto"/>
              <w:bottom w:val="double" w:sz="6" w:space="0" w:color="auto"/>
              <w:right w:val="single" w:sz="6" w:space="0" w:color="auto"/>
            </w:tcBorders>
            <w:shd w:val="clear" w:color="auto" w:fill="EAF1DD" w:themeFill="accent3" w:themeFillTint="33"/>
          </w:tcPr>
          <w:p w14:paraId="1FAEB73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1,</w:t>
            </w:r>
            <w:r>
              <w:rPr>
                <w:rFonts w:asciiTheme="minorHAnsi" w:eastAsia="Calibri" w:hAnsiTheme="minorHAnsi" w:cs="Arial Narrow"/>
                <w:b/>
                <w:bCs/>
                <w:color w:val="000000"/>
                <w:sz w:val="16"/>
                <w:szCs w:val="16"/>
                <w:lang w:eastAsia="en-AU"/>
              </w:rPr>
              <w:t>850</w:t>
            </w:r>
            <w:r w:rsidRPr="009B2D70">
              <w:rPr>
                <w:rFonts w:asciiTheme="minorHAnsi" w:eastAsia="Calibri" w:hAnsiTheme="minorHAnsi" w:cs="Arial Narrow"/>
                <w:b/>
                <w:bCs/>
                <w:color w:val="000000"/>
                <w:sz w:val="16"/>
                <w:szCs w:val="16"/>
                <w:lang w:eastAsia="en-AU"/>
              </w:rPr>
              <w:t>,000</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0CB8A30A"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22535E1F"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734E9A88"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85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298B5A5B"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color w:val="000000"/>
                <w:sz w:val="16"/>
                <w:szCs w:val="16"/>
                <w:lang w:eastAsia="en-AU"/>
              </w:rPr>
            </w:pPr>
            <w:r>
              <w:rPr>
                <w:rFonts w:asciiTheme="minorHAnsi" w:eastAsia="Calibri" w:hAnsiTheme="minorHAnsi" w:cs="Arial Narrow"/>
                <w:color w:val="000000"/>
                <w:sz w:val="16"/>
                <w:szCs w:val="16"/>
                <w:lang w:eastAsia="en-AU"/>
              </w:rPr>
              <w:t>75,000</w:t>
            </w:r>
          </w:p>
        </w:tc>
        <w:tc>
          <w:tcPr>
            <w:tcW w:w="1020" w:type="dxa"/>
            <w:tcBorders>
              <w:top w:val="double" w:sz="6" w:space="0" w:color="auto"/>
              <w:left w:val="single" w:sz="6" w:space="0" w:color="auto"/>
              <w:bottom w:val="double" w:sz="6" w:space="0" w:color="auto"/>
              <w:right w:val="single" w:sz="6" w:space="0" w:color="auto"/>
            </w:tcBorders>
            <w:shd w:val="clear" w:color="auto" w:fill="DBE5F1" w:themeFill="accent1" w:themeFillTint="33"/>
          </w:tcPr>
          <w:p w14:paraId="62160DC7" w14:textId="77777777" w:rsidR="00262BBF" w:rsidRPr="009B2D70" w:rsidRDefault="00262BBF" w:rsidP="008F3C55">
            <w:pPr>
              <w:widowControl/>
              <w:autoSpaceDE w:val="0"/>
              <w:autoSpaceDN w:val="0"/>
              <w:adjustRightInd w:val="0"/>
              <w:spacing w:before="0" w:after="0"/>
              <w:jc w:val="right"/>
              <w:rPr>
                <w:rFonts w:asciiTheme="minorHAnsi" w:eastAsia="Calibri" w:hAnsiTheme="minorHAnsi" w:cs="Arial Narrow"/>
                <w:b/>
                <w:bCs/>
                <w:color w:val="000000"/>
                <w:sz w:val="16"/>
                <w:szCs w:val="16"/>
                <w:lang w:eastAsia="en-AU"/>
              </w:rPr>
            </w:pPr>
            <w:r w:rsidRPr="009B2D70">
              <w:rPr>
                <w:rFonts w:asciiTheme="minorHAnsi" w:eastAsia="Calibri" w:hAnsiTheme="minorHAnsi" w:cs="Arial Narrow"/>
                <w:b/>
                <w:bCs/>
                <w:color w:val="000000"/>
                <w:sz w:val="16"/>
                <w:szCs w:val="16"/>
                <w:lang w:eastAsia="en-AU"/>
              </w:rPr>
              <w:t>2,150,000</w:t>
            </w:r>
          </w:p>
        </w:tc>
        <w:tc>
          <w:tcPr>
            <w:tcW w:w="850"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031B7865"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105,000 </w:t>
            </w:r>
          </w:p>
        </w:tc>
        <w:tc>
          <w:tcPr>
            <w:tcW w:w="850"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4FE659C9"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105,000 </w:t>
            </w:r>
          </w:p>
        </w:tc>
        <w:tc>
          <w:tcPr>
            <w:tcW w:w="850"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530F5C79"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20,000 </w:t>
            </w:r>
          </w:p>
        </w:tc>
        <w:tc>
          <w:tcPr>
            <w:tcW w:w="801" w:type="dxa"/>
            <w:tcBorders>
              <w:top w:val="double" w:sz="6" w:space="0" w:color="auto"/>
              <w:left w:val="single" w:sz="6" w:space="0" w:color="auto"/>
              <w:bottom w:val="double" w:sz="6" w:space="0" w:color="auto"/>
              <w:right w:val="single" w:sz="6" w:space="0" w:color="auto"/>
            </w:tcBorders>
            <w:shd w:val="clear" w:color="auto" w:fill="FFFDD6"/>
          </w:tcPr>
          <w:p w14:paraId="0F5B6062" w14:textId="77777777" w:rsidR="00262BBF" w:rsidRPr="009C1CD8" w:rsidRDefault="00262BBF" w:rsidP="008F3C55">
            <w:pPr>
              <w:widowControl/>
              <w:autoSpaceDE w:val="0"/>
              <w:autoSpaceDN w:val="0"/>
              <w:adjustRightInd w:val="0"/>
              <w:spacing w:before="0" w:after="0"/>
              <w:jc w:val="right"/>
              <w:rPr>
                <w:rFonts w:asciiTheme="minorHAnsi" w:eastAsia="Calibri" w:hAnsiTheme="minorHAnsi" w:cs="Arial Narrow"/>
                <w:b/>
                <w:color w:val="000000"/>
                <w:sz w:val="16"/>
                <w:szCs w:val="16"/>
                <w:lang w:eastAsia="en-AU"/>
              </w:rPr>
            </w:pPr>
          </w:p>
        </w:tc>
        <w:tc>
          <w:tcPr>
            <w:tcW w:w="992" w:type="dxa"/>
            <w:tcBorders>
              <w:top w:val="double" w:sz="6" w:space="0" w:color="auto"/>
              <w:left w:val="single" w:sz="6" w:space="0" w:color="auto"/>
              <w:bottom w:val="double" w:sz="6" w:space="0" w:color="auto"/>
              <w:right w:val="single" w:sz="6" w:space="0" w:color="auto"/>
            </w:tcBorders>
            <w:shd w:val="clear" w:color="auto" w:fill="F2DBDB" w:themeFill="accent2" w:themeFillTint="33"/>
            <w:vAlign w:val="bottom"/>
          </w:tcPr>
          <w:p w14:paraId="3F8D3B96" w14:textId="77777777" w:rsidR="00262BBF" w:rsidRPr="001C67A6" w:rsidRDefault="00262BBF" w:rsidP="008F3C55">
            <w:pPr>
              <w:spacing w:before="0" w:after="0"/>
              <w:jc w:val="right"/>
              <w:rPr>
                <w:rFonts w:ascii="Arial Narrow" w:eastAsia="Times New Roman" w:hAnsi="Arial Narrow" w:cs="Arial"/>
                <w:b/>
                <w:bCs/>
                <w:sz w:val="16"/>
                <w:szCs w:val="16"/>
              </w:rPr>
            </w:pPr>
            <w:r w:rsidRPr="001C67A6">
              <w:rPr>
                <w:rFonts w:ascii="Arial Narrow" w:eastAsia="Times New Roman" w:hAnsi="Arial Narrow" w:cs="Arial"/>
                <w:b/>
                <w:bCs/>
                <w:sz w:val="16"/>
                <w:szCs w:val="16"/>
              </w:rPr>
              <w:t xml:space="preserve"> 2,380,000 </w:t>
            </w:r>
          </w:p>
        </w:tc>
      </w:tr>
    </w:tbl>
    <w:p w14:paraId="62AE9E82" w14:textId="77777777" w:rsidR="00123204" w:rsidRDefault="00BD64E2" w:rsidP="00742596">
      <w:pPr>
        <w:pStyle w:val="Heading2"/>
        <w:rPr>
          <w:rFonts w:asciiTheme="minorHAnsi" w:hAnsiTheme="minorHAnsi"/>
          <w:lang w:val="en-GB"/>
        </w:rPr>
      </w:pPr>
      <w:r>
        <w:rPr>
          <w:rFonts w:asciiTheme="minorHAnsi" w:hAnsiTheme="minorHAnsi"/>
          <w:lang w:val="en-GB"/>
        </w:rPr>
        <w:lastRenderedPageBreak/>
        <w:t>3</w:t>
      </w:r>
      <w:r w:rsidR="00705121" w:rsidRPr="009B2D70">
        <w:rPr>
          <w:rFonts w:asciiTheme="minorHAnsi" w:hAnsiTheme="minorHAnsi"/>
          <w:lang w:val="en-GB"/>
        </w:rPr>
        <w:t>.2</w:t>
      </w:r>
      <w:r w:rsidR="00705121" w:rsidRPr="009B2D70">
        <w:rPr>
          <w:rFonts w:asciiTheme="minorHAnsi" w:hAnsiTheme="minorHAnsi"/>
          <w:lang w:val="en-GB"/>
        </w:rPr>
        <w:tab/>
      </w:r>
      <w:bookmarkEnd w:id="89"/>
      <w:r w:rsidR="002A69CC">
        <w:rPr>
          <w:rFonts w:asciiTheme="minorHAnsi" w:hAnsiTheme="minorHAnsi"/>
          <w:lang w:val="en-GB"/>
        </w:rPr>
        <w:t>Cost Summary</w:t>
      </w:r>
      <w:bookmarkEnd w:id="90"/>
    </w:p>
    <w:p w14:paraId="6003D6B6" w14:textId="77777777" w:rsidR="006C431B" w:rsidRDefault="006C431B" w:rsidP="006C431B">
      <w:pPr>
        <w:rPr>
          <w:lang w:val="en-GB"/>
        </w:rPr>
      </w:pPr>
    </w:p>
    <w:tbl>
      <w:tblPr>
        <w:tblW w:w="12870" w:type="dxa"/>
        <w:tblInd w:w="78" w:type="dxa"/>
        <w:tblLayout w:type="fixed"/>
        <w:tblLook w:val="0000" w:firstRow="0" w:lastRow="0" w:firstColumn="0" w:lastColumn="0" w:noHBand="0" w:noVBand="0"/>
      </w:tblPr>
      <w:tblGrid>
        <w:gridCol w:w="2724"/>
        <w:gridCol w:w="1417"/>
        <w:gridCol w:w="1247"/>
        <w:gridCol w:w="1247"/>
        <w:gridCol w:w="1247"/>
        <w:gridCol w:w="1247"/>
        <w:gridCol w:w="1247"/>
        <w:gridCol w:w="1247"/>
        <w:gridCol w:w="1247"/>
      </w:tblGrid>
      <w:tr w:rsidR="00262BBF" w:rsidRPr="009C1CD8" w14:paraId="2C09FD84" w14:textId="77777777" w:rsidTr="008F3C55">
        <w:trPr>
          <w:trHeight w:val="290"/>
        </w:trPr>
        <w:tc>
          <w:tcPr>
            <w:tcW w:w="2724" w:type="dxa"/>
            <w:tcBorders>
              <w:bottom w:val="single" w:sz="4" w:space="0" w:color="auto"/>
            </w:tcBorders>
          </w:tcPr>
          <w:p w14:paraId="0E50FD21"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p>
        </w:tc>
        <w:tc>
          <w:tcPr>
            <w:tcW w:w="1417" w:type="dxa"/>
            <w:tcBorders>
              <w:bottom w:val="single" w:sz="4" w:space="0" w:color="auto"/>
              <w:right w:val="single" w:sz="4" w:space="0" w:color="auto"/>
            </w:tcBorders>
          </w:tcPr>
          <w:p w14:paraId="540B9BE0"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p>
        </w:tc>
        <w:tc>
          <w:tcPr>
            <w:tcW w:w="1247" w:type="dxa"/>
            <w:tcBorders>
              <w:top w:val="single" w:sz="4" w:space="0" w:color="auto"/>
              <w:left w:val="single" w:sz="4" w:space="0" w:color="auto"/>
              <w:bottom w:val="single" w:sz="4" w:space="0" w:color="auto"/>
              <w:right w:val="single" w:sz="4" w:space="0" w:color="auto"/>
            </w:tcBorders>
          </w:tcPr>
          <w:p w14:paraId="5C67C5C0" w14:textId="77777777" w:rsidR="00262BBF" w:rsidRPr="003D2F0A" w:rsidRDefault="00262BBF" w:rsidP="008F3C55">
            <w:pPr>
              <w:widowControl/>
              <w:autoSpaceDE w:val="0"/>
              <w:autoSpaceDN w:val="0"/>
              <w:adjustRightInd w:val="0"/>
              <w:spacing w:before="0" w:after="0"/>
              <w:jc w:val="center"/>
              <w:rPr>
                <w:rFonts w:eastAsia="Calibri" w:cs="Calibri"/>
                <w:b/>
                <w:color w:val="000000"/>
                <w:sz w:val="22"/>
                <w:szCs w:val="22"/>
                <w:lang w:eastAsia="en-AU"/>
              </w:rPr>
            </w:pPr>
            <w:r w:rsidRPr="003D2F0A">
              <w:rPr>
                <w:rFonts w:eastAsia="Calibri" w:cs="Calibri"/>
                <w:b/>
                <w:color w:val="000000"/>
                <w:sz w:val="22"/>
                <w:szCs w:val="22"/>
                <w:lang w:eastAsia="en-AU"/>
              </w:rPr>
              <w:t>Annual Plan 1</w:t>
            </w:r>
          </w:p>
        </w:tc>
        <w:tc>
          <w:tcPr>
            <w:tcW w:w="1247" w:type="dxa"/>
            <w:tcBorders>
              <w:top w:val="single" w:sz="6" w:space="0" w:color="auto"/>
              <w:left w:val="single" w:sz="4" w:space="0" w:color="auto"/>
              <w:bottom w:val="single" w:sz="6" w:space="0" w:color="auto"/>
              <w:right w:val="single" w:sz="6" w:space="0" w:color="auto"/>
            </w:tcBorders>
          </w:tcPr>
          <w:p w14:paraId="141A4DBD" w14:textId="77777777" w:rsidR="00262BBF" w:rsidRPr="003D2F0A" w:rsidRDefault="00262BBF" w:rsidP="008F3C55">
            <w:pPr>
              <w:widowControl/>
              <w:autoSpaceDE w:val="0"/>
              <w:autoSpaceDN w:val="0"/>
              <w:adjustRightInd w:val="0"/>
              <w:spacing w:before="0" w:after="0"/>
              <w:jc w:val="center"/>
              <w:rPr>
                <w:rFonts w:eastAsia="Calibri" w:cs="Calibri"/>
                <w:b/>
                <w:color w:val="000000"/>
                <w:sz w:val="22"/>
                <w:szCs w:val="22"/>
                <w:lang w:eastAsia="en-AU"/>
              </w:rPr>
            </w:pPr>
            <w:r w:rsidRPr="003D2F0A">
              <w:rPr>
                <w:rFonts w:eastAsia="Calibri" w:cs="Calibri"/>
                <w:b/>
                <w:color w:val="000000"/>
                <w:sz w:val="22"/>
                <w:szCs w:val="22"/>
                <w:lang w:eastAsia="en-AU"/>
              </w:rPr>
              <w:t>Annual Plan 2</w:t>
            </w:r>
          </w:p>
        </w:tc>
        <w:tc>
          <w:tcPr>
            <w:tcW w:w="1247" w:type="dxa"/>
            <w:tcBorders>
              <w:top w:val="single" w:sz="6" w:space="0" w:color="auto"/>
              <w:left w:val="single" w:sz="6" w:space="0" w:color="auto"/>
              <w:bottom w:val="single" w:sz="6" w:space="0" w:color="auto"/>
              <w:right w:val="single" w:sz="6" w:space="0" w:color="auto"/>
            </w:tcBorders>
          </w:tcPr>
          <w:p w14:paraId="50251038" w14:textId="77777777" w:rsidR="00262BBF" w:rsidRPr="003D2F0A" w:rsidRDefault="00262BBF" w:rsidP="008F3C55">
            <w:pPr>
              <w:widowControl/>
              <w:autoSpaceDE w:val="0"/>
              <w:autoSpaceDN w:val="0"/>
              <w:adjustRightInd w:val="0"/>
              <w:spacing w:before="0" w:after="0"/>
              <w:jc w:val="center"/>
              <w:rPr>
                <w:rFonts w:eastAsia="Calibri" w:cs="Calibri"/>
                <w:b/>
                <w:color w:val="000000"/>
                <w:sz w:val="22"/>
                <w:szCs w:val="22"/>
                <w:lang w:eastAsia="en-AU"/>
              </w:rPr>
            </w:pPr>
            <w:r w:rsidRPr="003D2F0A">
              <w:rPr>
                <w:rFonts w:eastAsia="Calibri" w:cs="Calibri"/>
                <w:b/>
                <w:color w:val="000000"/>
                <w:sz w:val="22"/>
                <w:szCs w:val="22"/>
                <w:lang w:eastAsia="en-AU"/>
              </w:rPr>
              <w:t>Annual Plan 3</w:t>
            </w:r>
          </w:p>
        </w:tc>
        <w:tc>
          <w:tcPr>
            <w:tcW w:w="1247" w:type="dxa"/>
            <w:tcBorders>
              <w:top w:val="single" w:sz="6" w:space="0" w:color="auto"/>
              <w:left w:val="single" w:sz="6" w:space="0" w:color="auto"/>
              <w:bottom w:val="single" w:sz="6" w:space="0" w:color="auto"/>
              <w:right w:val="single" w:sz="6" w:space="0" w:color="auto"/>
            </w:tcBorders>
          </w:tcPr>
          <w:p w14:paraId="38EC15E7" w14:textId="77777777" w:rsidR="00262BBF" w:rsidRPr="003D2F0A" w:rsidRDefault="00262BBF" w:rsidP="008F3C55">
            <w:pPr>
              <w:widowControl/>
              <w:autoSpaceDE w:val="0"/>
              <w:autoSpaceDN w:val="0"/>
              <w:adjustRightInd w:val="0"/>
              <w:spacing w:before="0" w:after="0"/>
              <w:jc w:val="center"/>
              <w:rPr>
                <w:rFonts w:eastAsia="Calibri" w:cs="Calibri"/>
                <w:b/>
                <w:color w:val="000000"/>
                <w:sz w:val="22"/>
                <w:szCs w:val="22"/>
                <w:lang w:eastAsia="en-AU"/>
              </w:rPr>
            </w:pPr>
            <w:r w:rsidRPr="003D2F0A">
              <w:rPr>
                <w:rFonts w:eastAsia="Calibri" w:cs="Calibri"/>
                <w:b/>
                <w:color w:val="000000"/>
                <w:sz w:val="22"/>
                <w:szCs w:val="22"/>
                <w:lang w:eastAsia="en-AU"/>
              </w:rPr>
              <w:t>Annual Plan 4</w:t>
            </w:r>
          </w:p>
        </w:tc>
        <w:tc>
          <w:tcPr>
            <w:tcW w:w="3741" w:type="dxa"/>
            <w:gridSpan w:val="3"/>
            <w:tcBorders>
              <w:top w:val="single" w:sz="6" w:space="0" w:color="auto"/>
              <w:left w:val="single" w:sz="6" w:space="0" w:color="auto"/>
              <w:bottom w:val="single" w:sz="6" w:space="0" w:color="auto"/>
              <w:right w:val="single" w:sz="6" w:space="0" w:color="auto"/>
            </w:tcBorders>
          </w:tcPr>
          <w:p w14:paraId="5411056D" w14:textId="77777777" w:rsidR="00262BBF" w:rsidRPr="003D2F0A" w:rsidRDefault="00262BBF" w:rsidP="008F3C55">
            <w:pPr>
              <w:widowControl/>
              <w:autoSpaceDE w:val="0"/>
              <w:autoSpaceDN w:val="0"/>
              <w:adjustRightInd w:val="0"/>
              <w:spacing w:before="0" w:after="0"/>
              <w:jc w:val="center"/>
              <w:rPr>
                <w:rFonts w:eastAsia="Calibri" w:cs="Calibri"/>
                <w:b/>
                <w:color w:val="000000"/>
                <w:sz w:val="22"/>
                <w:szCs w:val="22"/>
                <w:lang w:eastAsia="en-AU"/>
              </w:rPr>
            </w:pPr>
            <w:proofErr w:type="spellStart"/>
            <w:r w:rsidRPr="003D2F0A">
              <w:rPr>
                <w:rFonts w:eastAsia="Calibri" w:cs="Calibri"/>
                <w:b/>
                <w:color w:val="000000"/>
                <w:sz w:val="22"/>
                <w:szCs w:val="22"/>
                <w:lang w:eastAsia="en-AU"/>
              </w:rPr>
              <w:t>Workplan</w:t>
            </w:r>
            <w:proofErr w:type="spellEnd"/>
            <w:r w:rsidRPr="003D2F0A">
              <w:rPr>
                <w:rFonts w:eastAsia="Calibri" w:cs="Calibri"/>
                <w:b/>
                <w:color w:val="000000"/>
                <w:sz w:val="22"/>
                <w:szCs w:val="22"/>
                <w:lang w:eastAsia="en-AU"/>
              </w:rPr>
              <w:t xml:space="preserve"> 2012</w:t>
            </w:r>
            <w:r>
              <w:rPr>
                <w:rFonts w:eastAsia="Calibri" w:cs="Calibri"/>
                <w:b/>
                <w:color w:val="000000"/>
                <w:sz w:val="22"/>
                <w:szCs w:val="22"/>
                <w:lang w:eastAsia="en-AU"/>
              </w:rPr>
              <w:t>/13</w:t>
            </w:r>
          </w:p>
        </w:tc>
      </w:tr>
      <w:tr w:rsidR="00262BBF" w:rsidRPr="009C1CD8" w14:paraId="177775D1" w14:textId="77777777" w:rsidTr="008F3C55">
        <w:trPr>
          <w:trHeight w:val="929"/>
        </w:trPr>
        <w:tc>
          <w:tcPr>
            <w:tcW w:w="2724" w:type="dxa"/>
            <w:tcBorders>
              <w:top w:val="single" w:sz="4" w:space="0" w:color="auto"/>
              <w:left w:val="single" w:sz="4" w:space="0" w:color="auto"/>
              <w:bottom w:val="single" w:sz="4" w:space="0" w:color="auto"/>
              <w:right w:val="single" w:sz="6" w:space="0" w:color="auto"/>
            </w:tcBorders>
          </w:tcPr>
          <w:p w14:paraId="164F7F68"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p>
        </w:tc>
        <w:tc>
          <w:tcPr>
            <w:tcW w:w="1417" w:type="dxa"/>
            <w:tcBorders>
              <w:top w:val="single" w:sz="4" w:space="0" w:color="auto"/>
              <w:left w:val="single" w:sz="6" w:space="0" w:color="auto"/>
              <w:bottom w:val="single" w:sz="4" w:space="0" w:color="auto"/>
              <w:right w:val="single" w:sz="4" w:space="0" w:color="auto"/>
            </w:tcBorders>
          </w:tcPr>
          <w:p w14:paraId="02D77314" w14:textId="77777777" w:rsidR="00262BBF" w:rsidRPr="003D2F0A" w:rsidRDefault="00262BBF" w:rsidP="008F3C55">
            <w:pPr>
              <w:widowControl/>
              <w:autoSpaceDE w:val="0"/>
              <w:autoSpaceDN w:val="0"/>
              <w:adjustRightInd w:val="0"/>
              <w:spacing w:before="0" w:after="0"/>
              <w:jc w:val="center"/>
              <w:rPr>
                <w:rFonts w:eastAsia="Calibri" w:cs="Calibri"/>
                <w:b/>
                <w:color w:val="000000"/>
                <w:sz w:val="22"/>
                <w:szCs w:val="22"/>
                <w:lang w:eastAsia="en-AU"/>
              </w:rPr>
            </w:pPr>
            <w:r w:rsidRPr="003D2F0A">
              <w:rPr>
                <w:rFonts w:eastAsia="Calibri" w:cs="Calibri"/>
                <w:b/>
                <w:color w:val="000000"/>
                <w:sz w:val="22"/>
                <w:szCs w:val="22"/>
                <w:lang w:eastAsia="en-AU"/>
              </w:rPr>
              <w:t>Phase 2 Totals</w:t>
            </w:r>
          </w:p>
        </w:tc>
        <w:tc>
          <w:tcPr>
            <w:tcW w:w="1247" w:type="dxa"/>
            <w:tcBorders>
              <w:top w:val="single" w:sz="4" w:space="0" w:color="auto"/>
              <w:left w:val="single" w:sz="4" w:space="0" w:color="auto"/>
              <w:bottom w:val="single" w:sz="6" w:space="0" w:color="auto"/>
              <w:right w:val="single" w:sz="6" w:space="0" w:color="auto"/>
            </w:tcBorders>
            <w:shd w:val="clear" w:color="auto" w:fill="EAF1DD" w:themeFill="accent3" w:themeFillTint="33"/>
          </w:tcPr>
          <w:p w14:paraId="1E6685E2"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r w:rsidRPr="009C1CD8">
              <w:rPr>
                <w:rFonts w:eastAsia="Calibri" w:cs="Calibri"/>
                <w:color w:val="000000"/>
                <w:sz w:val="22"/>
                <w:szCs w:val="22"/>
                <w:lang w:eastAsia="en-AU"/>
              </w:rPr>
              <w:t>1 June 2008 – 30 June 2009</w:t>
            </w:r>
          </w:p>
        </w:tc>
        <w:tc>
          <w:tcPr>
            <w:tcW w:w="124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E2AEABF"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r w:rsidRPr="009C1CD8">
              <w:rPr>
                <w:rFonts w:eastAsia="Calibri" w:cs="Calibri"/>
                <w:color w:val="000000"/>
                <w:sz w:val="22"/>
                <w:szCs w:val="22"/>
                <w:lang w:eastAsia="en-AU"/>
              </w:rPr>
              <w:t>1 July 2009 -  30 June 2010</w:t>
            </w:r>
          </w:p>
        </w:tc>
        <w:tc>
          <w:tcPr>
            <w:tcW w:w="124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F7C8258"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r w:rsidRPr="009C1CD8">
              <w:rPr>
                <w:rFonts w:eastAsia="Calibri" w:cs="Calibri"/>
                <w:color w:val="000000"/>
                <w:sz w:val="22"/>
                <w:szCs w:val="22"/>
                <w:lang w:eastAsia="en-AU"/>
              </w:rPr>
              <w:t>1 July 2010 -  30 June 2011</w:t>
            </w:r>
          </w:p>
        </w:tc>
        <w:tc>
          <w:tcPr>
            <w:tcW w:w="124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6A14575"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r w:rsidRPr="009C1CD8">
              <w:rPr>
                <w:rFonts w:eastAsia="Calibri" w:cs="Calibri"/>
                <w:color w:val="000000"/>
                <w:sz w:val="22"/>
                <w:szCs w:val="22"/>
                <w:lang w:eastAsia="en-AU"/>
              </w:rPr>
              <w:t>1 July 2011 -  30 June 2012</w:t>
            </w:r>
          </w:p>
        </w:tc>
        <w:tc>
          <w:tcPr>
            <w:tcW w:w="124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F26B08"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r>
              <w:rPr>
                <w:rFonts w:eastAsia="Calibri" w:cs="Calibri"/>
                <w:color w:val="000000"/>
                <w:sz w:val="22"/>
                <w:szCs w:val="22"/>
                <w:lang w:eastAsia="en-AU"/>
              </w:rPr>
              <w:t xml:space="preserve">1 July 2012 -  30 September </w:t>
            </w:r>
            <w:r w:rsidRPr="009C1CD8">
              <w:rPr>
                <w:rFonts w:eastAsia="Calibri" w:cs="Calibri"/>
                <w:color w:val="000000"/>
                <w:sz w:val="22"/>
                <w:szCs w:val="22"/>
                <w:lang w:eastAsia="en-AU"/>
              </w:rPr>
              <w:t>2012</w:t>
            </w:r>
          </w:p>
        </w:tc>
        <w:tc>
          <w:tcPr>
            <w:tcW w:w="1247"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600B700"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r w:rsidRPr="009C1CD8">
              <w:rPr>
                <w:rFonts w:eastAsia="Calibri" w:cs="Calibri"/>
                <w:color w:val="000000"/>
                <w:sz w:val="22"/>
                <w:szCs w:val="22"/>
                <w:lang w:eastAsia="en-AU"/>
              </w:rPr>
              <w:t xml:space="preserve">1 October - 31 </w:t>
            </w:r>
            <w:r>
              <w:rPr>
                <w:rFonts w:eastAsia="Calibri" w:cs="Calibri"/>
                <w:color w:val="000000"/>
                <w:sz w:val="22"/>
                <w:szCs w:val="22"/>
                <w:lang w:eastAsia="en-AU"/>
              </w:rPr>
              <w:t>January</w:t>
            </w:r>
            <w:r w:rsidRPr="009C1CD8">
              <w:rPr>
                <w:rFonts w:eastAsia="Calibri" w:cs="Calibri"/>
                <w:color w:val="000000"/>
                <w:sz w:val="22"/>
                <w:szCs w:val="22"/>
                <w:lang w:eastAsia="en-AU"/>
              </w:rPr>
              <w:t xml:space="preserve"> 201</w:t>
            </w:r>
            <w:r>
              <w:rPr>
                <w:rFonts w:eastAsia="Calibri" w:cs="Calibri"/>
                <w:color w:val="000000"/>
                <w:sz w:val="22"/>
                <w:szCs w:val="22"/>
                <w:lang w:eastAsia="en-AU"/>
              </w:rPr>
              <w:t>3</w:t>
            </w:r>
          </w:p>
        </w:tc>
        <w:tc>
          <w:tcPr>
            <w:tcW w:w="1247" w:type="dxa"/>
            <w:tcBorders>
              <w:top w:val="single" w:sz="6" w:space="0" w:color="auto"/>
              <w:left w:val="single" w:sz="6" w:space="0" w:color="auto"/>
              <w:bottom w:val="single" w:sz="6" w:space="0" w:color="auto"/>
              <w:right w:val="single" w:sz="6" w:space="0" w:color="auto"/>
            </w:tcBorders>
          </w:tcPr>
          <w:p w14:paraId="64792B1A" w14:textId="77777777" w:rsidR="00262BBF" w:rsidRPr="009C1CD8" w:rsidRDefault="00262BBF" w:rsidP="008F3C55">
            <w:pPr>
              <w:widowControl/>
              <w:autoSpaceDE w:val="0"/>
              <w:autoSpaceDN w:val="0"/>
              <w:adjustRightInd w:val="0"/>
              <w:spacing w:before="0" w:after="0"/>
              <w:jc w:val="center"/>
              <w:rPr>
                <w:rFonts w:eastAsia="Calibri" w:cs="Calibri"/>
                <w:color w:val="000000"/>
                <w:sz w:val="22"/>
                <w:szCs w:val="22"/>
                <w:lang w:eastAsia="en-AU"/>
              </w:rPr>
            </w:pPr>
            <w:r w:rsidRPr="009C1CD8">
              <w:rPr>
                <w:rFonts w:eastAsia="Calibri" w:cs="Calibri"/>
                <w:color w:val="000000"/>
                <w:sz w:val="22"/>
                <w:szCs w:val="22"/>
                <w:lang w:eastAsia="en-AU"/>
              </w:rPr>
              <w:t>Total</w:t>
            </w:r>
          </w:p>
        </w:tc>
      </w:tr>
      <w:tr w:rsidR="00262BBF" w:rsidRPr="009C1CD8" w14:paraId="0094EE2B" w14:textId="77777777" w:rsidTr="008F3C55">
        <w:trPr>
          <w:trHeight w:val="567"/>
        </w:trPr>
        <w:tc>
          <w:tcPr>
            <w:tcW w:w="2724" w:type="dxa"/>
            <w:tcBorders>
              <w:top w:val="single" w:sz="4" w:space="0" w:color="auto"/>
              <w:left w:val="single" w:sz="6" w:space="0" w:color="auto"/>
              <w:bottom w:val="single" w:sz="2" w:space="0" w:color="000000"/>
              <w:right w:val="single" w:sz="6" w:space="0" w:color="auto"/>
            </w:tcBorders>
          </w:tcPr>
          <w:p w14:paraId="5CEF7F95" w14:textId="77777777" w:rsidR="00262BBF" w:rsidRPr="009C1CD8" w:rsidRDefault="00262BBF" w:rsidP="008F3C55">
            <w:pPr>
              <w:widowControl/>
              <w:autoSpaceDE w:val="0"/>
              <w:autoSpaceDN w:val="0"/>
              <w:adjustRightInd w:val="0"/>
              <w:spacing w:before="0" w:after="0"/>
              <w:jc w:val="left"/>
              <w:rPr>
                <w:rFonts w:eastAsia="Calibri" w:cs="Calibri"/>
                <w:color w:val="000000"/>
                <w:sz w:val="22"/>
                <w:szCs w:val="22"/>
                <w:lang w:eastAsia="en-AU"/>
              </w:rPr>
            </w:pPr>
            <w:r w:rsidRPr="009C1CD8">
              <w:rPr>
                <w:rFonts w:eastAsia="Calibri" w:cs="Calibri"/>
                <w:color w:val="000000"/>
                <w:sz w:val="22"/>
                <w:szCs w:val="22"/>
                <w:lang w:eastAsia="en-AU"/>
              </w:rPr>
              <w:t>Regular Payments</w:t>
            </w:r>
          </w:p>
        </w:tc>
        <w:tc>
          <w:tcPr>
            <w:tcW w:w="1417" w:type="dxa"/>
            <w:tcBorders>
              <w:top w:val="single" w:sz="4" w:space="0" w:color="auto"/>
              <w:left w:val="single" w:sz="6" w:space="0" w:color="auto"/>
              <w:bottom w:val="single" w:sz="2" w:space="0" w:color="000000"/>
              <w:right w:val="single" w:sz="6" w:space="0" w:color="auto"/>
            </w:tcBorders>
          </w:tcPr>
          <w:p w14:paraId="6AFE5ADB"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$3,920,790</w:t>
            </w:r>
          </w:p>
        </w:tc>
        <w:tc>
          <w:tcPr>
            <w:tcW w:w="1247" w:type="dxa"/>
            <w:tcBorders>
              <w:top w:val="single" w:sz="6" w:space="0" w:color="auto"/>
              <w:left w:val="single" w:sz="6" w:space="0" w:color="auto"/>
              <w:bottom w:val="single" w:sz="2" w:space="0" w:color="000000"/>
              <w:right w:val="single" w:sz="6" w:space="0" w:color="auto"/>
            </w:tcBorders>
            <w:shd w:val="clear" w:color="auto" w:fill="EAF1DD" w:themeFill="accent3" w:themeFillTint="33"/>
          </w:tcPr>
          <w:p w14:paraId="3AF07AB2"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$962,471</w:t>
            </w:r>
          </w:p>
        </w:tc>
        <w:tc>
          <w:tcPr>
            <w:tcW w:w="1247" w:type="dxa"/>
            <w:tcBorders>
              <w:top w:val="single" w:sz="6" w:space="0" w:color="auto"/>
              <w:left w:val="single" w:sz="6" w:space="0" w:color="auto"/>
              <w:bottom w:val="single" w:sz="2" w:space="0" w:color="000000"/>
              <w:right w:val="single" w:sz="6" w:space="0" w:color="auto"/>
            </w:tcBorders>
            <w:shd w:val="clear" w:color="auto" w:fill="EAF1DD" w:themeFill="accent3" w:themeFillTint="33"/>
          </w:tcPr>
          <w:p w14:paraId="369FD150"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$898,940</w:t>
            </w:r>
          </w:p>
        </w:tc>
        <w:tc>
          <w:tcPr>
            <w:tcW w:w="1247" w:type="dxa"/>
            <w:tcBorders>
              <w:top w:val="single" w:sz="6" w:space="0" w:color="auto"/>
              <w:left w:val="single" w:sz="6" w:space="0" w:color="auto"/>
              <w:bottom w:val="single" w:sz="2" w:space="0" w:color="000000"/>
              <w:right w:val="single" w:sz="6" w:space="0" w:color="auto"/>
            </w:tcBorders>
            <w:shd w:val="clear" w:color="auto" w:fill="EAF1DD" w:themeFill="accent3" w:themeFillTint="33"/>
          </w:tcPr>
          <w:p w14:paraId="2C2DAAF4"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$701,613</w:t>
            </w:r>
          </w:p>
        </w:tc>
        <w:tc>
          <w:tcPr>
            <w:tcW w:w="1247" w:type="dxa"/>
            <w:tcBorders>
              <w:top w:val="single" w:sz="6" w:space="0" w:color="auto"/>
              <w:left w:val="single" w:sz="6" w:space="0" w:color="auto"/>
              <w:bottom w:val="single" w:sz="2" w:space="0" w:color="000000"/>
              <w:right w:val="single" w:sz="6" w:space="0" w:color="auto"/>
            </w:tcBorders>
            <w:shd w:val="clear" w:color="auto" w:fill="EAF1DD" w:themeFill="accent3" w:themeFillTint="33"/>
          </w:tcPr>
          <w:p w14:paraId="6F0411A7"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$878,002</w:t>
            </w:r>
          </w:p>
        </w:tc>
        <w:tc>
          <w:tcPr>
            <w:tcW w:w="1247" w:type="dxa"/>
            <w:tcBorders>
              <w:top w:val="single" w:sz="6" w:space="0" w:color="auto"/>
              <w:left w:val="single" w:sz="6" w:space="0" w:color="auto"/>
              <w:bottom w:val="single" w:sz="2" w:space="0" w:color="000000"/>
              <w:right w:val="single" w:sz="6" w:space="0" w:color="auto"/>
            </w:tcBorders>
            <w:shd w:val="clear" w:color="auto" w:fill="DBE5F1" w:themeFill="accent1" w:themeFillTint="33"/>
          </w:tcPr>
          <w:p w14:paraId="0A262AA8"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$229,654</w:t>
            </w:r>
          </w:p>
        </w:tc>
        <w:tc>
          <w:tcPr>
            <w:tcW w:w="1247" w:type="dxa"/>
            <w:tcBorders>
              <w:top w:val="single" w:sz="6" w:space="0" w:color="auto"/>
              <w:left w:val="single" w:sz="6" w:space="0" w:color="auto"/>
              <w:bottom w:val="single" w:sz="2" w:space="0" w:color="000000"/>
              <w:right w:val="single" w:sz="6" w:space="0" w:color="auto"/>
            </w:tcBorders>
            <w:shd w:val="clear" w:color="auto" w:fill="F2DBDB" w:themeFill="accent2" w:themeFillTint="33"/>
          </w:tcPr>
          <w:p w14:paraId="753F3396"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$250,110</w:t>
            </w:r>
          </w:p>
        </w:tc>
        <w:tc>
          <w:tcPr>
            <w:tcW w:w="1247" w:type="dxa"/>
            <w:tcBorders>
              <w:top w:val="single" w:sz="6" w:space="0" w:color="auto"/>
              <w:left w:val="single" w:sz="6" w:space="0" w:color="auto"/>
              <w:bottom w:val="single" w:sz="2" w:space="0" w:color="000000"/>
              <w:right w:val="single" w:sz="6" w:space="0" w:color="auto"/>
            </w:tcBorders>
          </w:tcPr>
          <w:p w14:paraId="14AB096A"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$479,764</w:t>
            </w:r>
          </w:p>
        </w:tc>
      </w:tr>
      <w:tr w:rsidR="00262BBF" w:rsidRPr="009C1CD8" w14:paraId="350504DA" w14:textId="77777777" w:rsidTr="008F3C55">
        <w:trPr>
          <w:trHeight w:val="567"/>
        </w:trPr>
        <w:tc>
          <w:tcPr>
            <w:tcW w:w="2724" w:type="dxa"/>
            <w:tcBorders>
              <w:top w:val="single" w:sz="2" w:space="0" w:color="000000"/>
              <w:left w:val="single" w:sz="6" w:space="0" w:color="auto"/>
              <w:bottom w:val="single" w:sz="2" w:space="0" w:color="000000"/>
              <w:right w:val="single" w:sz="6" w:space="0" w:color="auto"/>
            </w:tcBorders>
          </w:tcPr>
          <w:p w14:paraId="6C81A61C" w14:textId="77777777" w:rsidR="00262BBF" w:rsidRPr="009C1CD8" w:rsidRDefault="00262BBF" w:rsidP="008F3C55">
            <w:pPr>
              <w:widowControl/>
              <w:autoSpaceDE w:val="0"/>
              <w:autoSpaceDN w:val="0"/>
              <w:adjustRightInd w:val="0"/>
              <w:spacing w:before="0" w:after="0"/>
              <w:jc w:val="left"/>
              <w:rPr>
                <w:rFonts w:eastAsia="Calibri" w:cs="Calibri"/>
                <w:color w:val="000000"/>
                <w:sz w:val="22"/>
                <w:szCs w:val="22"/>
                <w:lang w:eastAsia="en-AU"/>
              </w:rPr>
            </w:pPr>
            <w:r w:rsidRPr="009C1CD8">
              <w:rPr>
                <w:rFonts w:eastAsia="Calibri" w:cs="Calibri"/>
                <w:color w:val="000000"/>
                <w:sz w:val="22"/>
                <w:szCs w:val="22"/>
                <w:lang w:eastAsia="en-AU"/>
              </w:rPr>
              <w:t>Milestones</w:t>
            </w:r>
          </w:p>
        </w:tc>
        <w:tc>
          <w:tcPr>
            <w:tcW w:w="1417" w:type="dxa"/>
            <w:tcBorders>
              <w:top w:val="single" w:sz="2" w:space="0" w:color="000000"/>
              <w:left w:val="single" w:sz="6" w:space="0" w:color="auto"/>
              <w:bottom w:val="single" w:sz="2" w:space="0" w:color="000000"/>
              <w:right w:val="single" w:sz="6" w:space="0" w:color="auto"/>
            </w:tcBorders>
          </w:tcPr>
          <w:p w14:paraId="44CE6CBF"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$2,613,860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tcPr>
          <w:p w14:paraId="3E2EA20B"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$641,647</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tcPr>
          <w:p w14:paraId="1E0B64DA"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$599,293</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tcPr>
          <w:p w14:paraId="3628C567"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$467,742</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tcPr>
          <w:p w14:paraId="5529E1D3"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$585,336</w:t>
            </w:r>
          </w:p>
        </w:tc>
        <w:tc>
          <w:tcPr>
            <w:tcW w:w="1247" w:type="dxa"/>
            <w:tcBorders>
              <w:top w:val="single" w:sz="2" w:space="0" w:color="000000"/>
              <w:left w:val="single" w:sz="6" w:space="0" w:color="auto"/>
              <w:bottom w:val="single" w:sz="2" w:space="0" w:color="000000"/>
              <w:right w:val="single" w:sz="6" w:space="0" w:color="auto"/>
            </w:tcBorders>
            <w:shd w:val="clear" w:color="auto" w:fill="DBE5F1" w:themeFill="accent1" w:themeFillTint="33"/>
          </w:tcPr>
          <w:p w14:paraId="42C93A96"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$153,102</w:t>
            </w:r>
          </w:p>
        </w:tc>
        <w:tc>
          <w:tcPr>
            <w:tcW w:w="1247" w:type="dxa"/>
            <w:tcBorders>
              <w:top w:val="single" w:sz="2" w:space="0" w:color="000000"/>
              <w:left w:val="single" w:sz="6" w:space="0" w:color="auto"/>
              <w:bottom w:val="single" w:sz="2" w:space="0" w:color="000000"/>
              <w:right w:val="single" w:sz="6" w:space="0" w:color="auto"/>
            </w:tcBorders>
            <w:shd w:val="clear" w:color="auto" w:fill="F2DBDB" w:themeFill="accent2" w:themeFillTint="33"/>
          </w:tcPr>
          <w:p w14:paraId="3CD96BA7"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$166,740</w:t>
            </w:r>
          </w:p>
        </w:tc>
        <w:tc>
          <w:tcPr>
            <w:tcW w:w="1247" w:type="dxa"/>
            <w:tcBorders>
              <w:top w:val="single" w:sz="2" w:space="0" w:color="000000"/>
              <w:left w:val="single" w:sz="6" w:space="0" w:color="auto"/>
              <w:bottom w:val="single" w:sz="2" w:space="0" w:color="000000"/>
              <w:right w:val="single" w:sz="6" w:space="0" w:color="auto"/>
            </w:tcBorders>
          </w:tcPr>
          <w:p w14:paraId="7C03B35E"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sidRPr="009C1CD8">
              <w:rPr>
                <w:rFonts w:eastAsia="Calibri" w:cs="Calibri"/>
                <w:color w:val="000000"/>
                <w:sz w:val="22"/>
                <w:szCs w:val="22"/>
                <w:lang w:eastAsia="en-AU"/>
              </w:rPr>
              <w:t>$319,842</w:t>
            </w:r>
          </w:p>
        </w:tc>
      </w:tr>
      <w:tr w:rsidR="00262BBF" w:rsidRPr="009C1CD8" w14:paraId="277211BE" w14:textId="77777777" w:rsidTr="008F3C55">
        <w:trPr>
          <w:trHeight w:val="567"/>
        </w:trPr>
        <w:tc>
          <w:tcPr>
            <w:tcW w:w="2724" w:type="dxa"/>
            <w:tcBorders>
              <w:top w:val="single" w:sz="2" w:space="0" w:color="000000"/>
              <w:left w:val="single" w:sz="6" w:space="0" w:color="auto"/>
              <w:bottom w:val="single" w:sz="2" w:space="0" w:color="000000"/>
              <w:right w:val="single" w:sz="6" w:space="0" w:color="auto"/>
            </w:tcBorders>
            <w:vAlign w:val="center"/>
          </w:tcPr>
          <w:p w14:paraId="1C97E1A9" w14:textId="77777777" w:rsidR="00262BBF" w:rsidRPr="009C1CD8" w:rsidRDefault="00262BBF" w:rsidP="008F3C55">
            <w:pPr>
              <w:widowControl/>
              <w:autoSpaceDE w:val="0"/>
              <w:autoSpaceDN w:val="0"/>
              <w:adjustRightInd w:val="0"/>
              <w:spacing w:before="0" w:after="0"/>
              <w:jc w:val="left"/>
              <w:rPr>
                <w:rFonts w:eastAsia="Calibri" w:cs="Calibri"/>
                <w:color w:val="000000"/>
                <w:sz w:val="22"/>
                <w:szCs w:val="22"/>
                <w:lang w:eastAsia="en-AU"/>
              </w:rPr>
            </w:pPr>
            <w:r>
              <w:rPr>
                <w:rFonts w:eastAsia="Times New Roman" w:cs="Arial"/>
                <w:color w:val="000000"/>
                <w:sz w:val="22"/>
                <w:szCs w:val="22"/>
              </w:rPr>
              <w:t>Employment and Training Fund</w:t>
            </w:r>
          </w:p>
        </w:tc>
        <w:tc>
          <w:tcPr>
            <w:tcW w:w="1417" w:type="dxa"/>
            <w:tcBorders>
              <w:top w:val="single" w:sz="2" w:space="0" w:color="000000"/>
              <w:left w:val="single" w:sz="6" w:space="0" w:color="auto"/>
              <w:bottom w:val="single" w:sz="2" w:space="0" w:color="000000"/>
              <w:right w:val="single" w:sz="6" w:space="0" w:color="auto"/>
            </w:tcBorders>
            <w:vAlign w:val="center"/>
          </w:tcPr>
          <w:p w14:paraId="09B8C84B"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$2,380,000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10E8AC0E"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$75,000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491D6183"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$450,000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0732C2EC"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$450,000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416C9387"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$875,000</w:t>
            </w:r>
          </w:p>
        </w:tc>
        <w:tc>
          <w:tcPr>
            <w:tcW w:w="1247" w:type="dxa"/>
            <w:tcBorders>
              <w:top w:val="single" w:sz="2" w:space="0" w:color="000000"/>
              <w:left w:val="single" w:sz="6" w:space="0" w:color="auto"/>
              <w:bottom w:val="single" w:sz="2" w:space="0" w:color="000000"/>
              <w:right w:val="single" w:sz="6" w:space="0" w:color="auto"/>
            </w:tcBorders>
            <w:shd w:val="clear" w:color="auto" w:fill="DBE5F1" w:themeFill="accent1" w:themeFillTint="33"/>
            <w:vAlign w:val="center"/>
          </w:tcPr>
          <w:p w14:paraId="7D6479EE"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$300,000</w:t>
            </w:r>
          </w:p>
        </w:tc>
        <w:tc>
          <w:tcPr>
            <w:tcW w:w="1247" w:type="dxa"/>
            <w:tcBorders>
              <w:top w:val="single" w:sz="2" w:space="0" w:color="000000"/>
              <w:left w:val="single" w:sz="6" w:space="0" w:color="auto"/>
              <w:bottom w:val="single" w:sz="2" w:space="0" w:color="000000"/>
              <w:right w:val="single" w:sz="6" w:space="0" w:color="auto"/>
            </w:tcBorders>
            <w:shd w:val="clear" w:color="auto" w:fill="F2DBDB" w:themeFill="accent2" w:themeFillTint="33"/>
            <w:vAlign w:val="center"/>
          </w:tcPr>
          <w:p w14:paraId="12A6A224"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$230,000</w:t>
            </w:r>
          </w:p>
        </w:tc>
        <w:tc>
          <w:tcPr>
            <w:tcW w:w="1247" w:type="dxa"/>
            <w:tcBorders>
              <w:top w:val="single" w:sz="2" w:space="0" w:color="000000"/>
              <w:left w:val="single" w:sz="6" w:space="0" w:color="auto"/>
              <w:bottom w:val="single" w:sz="2" w:space="0" w:color="000000"/>
              <w:right w:val="single" w:sz="6" w:space="0" w:color="auto"/>
            </w:tcBorders>
            <w:vAlign w:val="center"/>
          </w:tcPr>
          <w:p w14:paraId="1DA6EA2A"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$530,000</w:t>
            </w:r>
          </w:p>
        </w:tc>
      </w:tr>
      <w:tr w:rsidR="00262BBF" w:rsidRPr="009C1CD8" w14:paraId="5254B87E" w14:textId="77777777" w:rsidTr="008F3C55">
        <w:trPr>
          <w:trHeight w:val="567"/>
        </w:trPr>
        <w:tc>
          <w:tcPr>
            <w:tcW w:w="2724" w:type="dxa"/>
            <w:tcBorders>
              <w:top w:val="single" w:sz="2" w:space="0" w:color="000000"/>
              <w:left w:val="single" w:sz="6" w:space="0" w:color="auto"/>
              <w:bottom w:val="single" w:sz="2" w:space="0" w:color="000000"/>
              <w:right w:val="single" w:sz="6" w:space="0" w:color="auto"/>
            </w:tcBorders>
            <w:vAlign w:val="center"/>
          </w:tcPr>
          <w:p w14:paraId="5E1F809C" w14:textId="77777777" w:rsidR="00262BBF" w:rsidRPr="009C1CD8" w:rsidRDefault="00262BBF" w:rsidP="008F3C55">
            <w:pPr>
              <w:widowControl/>
              <w:autoSpaceDE w:val="0"/>
              <w:autoSpaceDN w:val="0"/>
              <w:adjustRightInd w:val="0"/>
              <w:spacing w:before="0" w:after="0"/>
              <w:jc w:val="left"/>
              <w:rPr>
                <w:rFonts w:eastAsia="Calibri" w:cs="Calibri"/>
                <w:color w:val="000000"/>
                <w:sz w:val="22"/>
                <w:szCs w:val="22"/>
                <w:lang w:eastAsia="en-AU"/>
              </w:rPr>
            </w:pPr>
            <w:r>
              <w:rPr>
                <w:rFonts w:eastAsia="Times New Roman" w:cs="Arial"/>
                <w:color w:val="000000"/>
                <w:sz w:val="22"/>
                <w:szCs w:val="22"/>
              </w:rPr>
              <w:t>Reimbursable Items</w:t>
            </w:r>
          </w:p>
        </w:tc>
        <w:tc>
          <w:tcPr>
            <w:tcW w:w="1417" w:type="dxa"/>
            <w:tcBorders>
              <w:top w:val="single" w:sz="2" w:space="0" w:color="000000"/>
              <w:left w:val="single" w:sz="6" w:space="0" w:color="auto"/>
              <w:bottom w:val="single" w:sz="2" w:space="0" w:color="000000"/>
              <w:right w:val="single" w:sz="6" w:space="0" w:color="auto"/>
            </w:tcBorders>
            <w:vAlign w:val="center"/>
          </w:tcPr>
          <w:p w14:paraId="7995D1A9"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$1,350,564</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03993D4E"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$511,500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28D18505"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$330,500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08E8E6B0"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$119,000</w:t>
            </w:r>
          </w:p>
        </w:tc>
        <w:tc>
          <w:tcPr>
            <w:tcW w:w="1247" w:type="dxa"/>
            <w:tcBorders>
              <w:top w:val="single" w:sz="2" w:space="0" w:color="000000"/>
              <w:left w:val="single" w:sz="6" w:space="0" w:color="auto"/>
              <w:bottom w:val="single" w:sz="2" w:space="0" w:color="000000"/>
              <w:right w:val="single" w:sz="6" w:space="0" w:color="auto"/>
            </w:tcBorders>
            <w:shd w:val="clear" w:color="auto" w:fill="EAF1DD" w:themeFill="accent3" w:themeFillTint="33"/>
            <w:vAlign w:val="center"/>
          </w:tcPr>
          <w:p w14:paraId="69E6A78E"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$155,823</w:t>
            </w:r>
          </w:p>
        </w:tc>
        <w:tc>
          <w:tcPr>
            <w:tcW w:w="1247" w:type="dxa"/>
            <w:tcBorders>
              <w:top w:val="single" w:sz="2" w:space="0" w:color="000000"/>
              <w:left w:val="single" w:sz="6" w:space="0" w:color="auto"/>
              <w:bottom w:val="single" w:sz="2" w:space="0" w:color="000000"/>
              <w:right w:val="single" w:sz="6" w:space="0" w:color="auto"/>
            </w:tcBorders>
            <w:shd w:val="clear" w:color="auto" w:fill="DBE5F1" w:themeFill="accent1" w:themeFillTint="33"/>
            <w:vAlign w:val="center"/>
          </w:tcPr>
          <w:p w14:paraId="50B6E693"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$37,244</w:t>
            </w:r>
          </w:p>
        </w:tc>
        <w:tc>
          <w:tcPr>
            <w:tcW w:w="1247" w:type="dxa"/>
            <w:tcBorders>
              <w:top w:val="single" w:sz="2" w:space="0" w:color="000000"/>
              <w:left w:val="single" w:sz="6" w:space="0" w:color="auto"/>
              <w:bottom w:val="single" w:sz="2" w:space="0" w:color="000000"/>
              <w:right w:val="single" w:sz="6" w:space="0" w:color="auto"/>
            </w:tcBorders>
            <w:shd w:val="clear" w:color="auto" w:fill="F2DBDB" w:themeFill="accent2" w:themeFillTint="33"/>
            <w:vAlign w:val="center"/>
          </w:tcPr>
          <w:p w14:paraId="13B87623"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$196,497</w:t>
            </w:r>
          </w:p>
        </w:tc>
        <w:tc>
          <w:tcPr>
            <w:tcW w:w="1247" w:type="dxa"/>
            <w:tcBorders>
              <w:top w:val="single" w:sz="2" w:space="0" w:color="000000"/>
              <w:left w:val="single" w:sz="6" w:space="0" w:color="auto"/>
              <w:bottom w:val="single" w:sz="2" w:space="0" w:color="000000"/>
              <w:right w:val="single" w:sz="6" w:space="0" w:color="auto"/>
            </w:tcBorders>
            <w:vAlign w:val="center"/>
          </w:tcPr>
          <w:p w14:paraId="2698E34D"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$233,741</w:t>
            </w:r>
          </w:p>
        </w:tc>
      </w:tr>
      <w:tr w:rsidR="00262BBF" w:rsidRPr="009C1CD8" w14:paraId="6F2D8051" w14:textId="77777777" w:rsidTr="008F3C55">
        <w:trPr>
          <w:trHeight w:val="567"/>
        </w:trPr>
        <w:tc>
          <w:tcPr>
            <w:tcW w:w="2724" w:type="dxa"/>
            <w:tcBorders>
              <w:top w:val="single" w:sz="2" w:space="0" w:color="000000"/>
              <w:left w:val="single" w:sz="6" w:space="0" w:color="auto"/>
              <w:bottom w:val="single" w:sz="6" w:space="0" w:color="auto"/>
              <w:right w:val="single" w:sz="6" w:space="0" w:color="auto"/>
            </w:tcBorders>
            <w:vAlign w:val="center"/>
          </w:tcPr>
          <w:p w14:paraId="1736AA78" w14:textId="77777777" w:rsidR="00262BBF" w:rsidRPr="009C1CD8" w:rsidRDefault="00262BBF" w:rsidP="008F3C55">
            <w:pPr>
              <w:widowControl/>
              <w:autoSpaceDE w:val="0"/>
              <w:autoSpaceDN w:val="0"/>
              <w:adjustRightInd w:val="0"/>
              <w:spacing w:before="0" w:after="0"/>
              <w:jc w:val="left"/>
              <w:rPr>
                <w:rFonts w:eastAsia="Calibri" w:cs="Calibri"/>
                <w:color w:val="000000"/>
                <w:sz w:val="22"/>
                <w:szCs w:val="22"/>
                <w:lang w:eastAsia="en-AU"/>
              </w:rPr>
            </w:pPr>
            <w:r>
              <w:rPr>
                <w:rFonts w:eastAsia="Times New Roman" w:cs="Arial"/>
                <w:color w:val="000000"/>
                <w:sz w:val="22"/>
                <w:szCs w:val="22"/>
              </w:rPr>
              <w:t>Reimbursable Construction</w:t>
            </w:r>
          </w:p>
        </w:tc>
        <w:tc>
          <w:tcPr>
            <w:tcW w:w="1417" w:type="dxa"/>
            <w:tcBorders>
              <w:top w:val="single" w:sz="2" w:space="0" w:color="000000"/>
              <w:left w:val="single" w:sz="6" w:space="0" w:color="auto"/>
              <w:bottom w:val="single" w:sz="6" w:space="0" w:color="auto"/>
              <w:right w:val="single" w:sz="6" w:space="0" w:color="auto"/>
            </w:tcBorders>
            <w:vAlign w:val="center"/>
          </w:tcPr>
          <w:p w14:paraId="27367844"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$537,537</w:t>
            </w:r>
          </w:p>
        </w:tc>
        <w:tc>
          <w:tcPr>
            <w:tcW w:w="1247" w:type="dxa"/>
            <w:tcBorders>
              <w:top w:val="single" w:sz="2" w:space="0" w:color="000000"/>
              <w:left w:val="single" w:sz="6" w:space="0" w:color="auto"/>
              <w:bottom w:val="single" w:sz="6" w:space="0" w:color="auto"/>
              <w:right w:val="single" w:sz="6" w:space="0" w:color="auto"/>
            </w:tcBorders>
            <w:shd w:val="clear" w:color="auto" w:fill="EAF1DD" w:themeFill="accent3" w:themeFillTint="33"/>
            <w:vAlign w:val="center"/>
          </w:tcPr>
          <w:p w14:paraId="6FB084CB"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$537,537</w:t>
            </w:r>
          </w:p>
        </w:tc>
        <w:tc>
          <w:tcPr>
            <w:tcW w:w="1247" w:type="dxa"/>
            <w:tcBorders>
              <w:top w:val="single" w:sz="2" w:space="0" w:color="000000"/>
              <w:left w:val="single" w:sz="6" w:space="0" w:color="auto"/>
              <w:bottom w:val="single" w:sz="6" w:space="0" w:color="auto"/>
              <w:right w:val="single" w:sz="6" w:space="0" w:color="auto"/>
            </w:tcBorders>
            <w:shd w:val="clear" w:color="auto" w:fill="EAF1DD" w:themeFill="accent3" w:themeFillTint="33"/>
            <w:vAlign w:val="center"/>
          </w:tcPr>
          <w:p w14:paraId="61E35382"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0 </w:t>
            </w:r>
          </w:p>
        </w:tc>
        <w:tc>
          <w:tcPr>
            <w:tcW w:w="1247" w:type="dxa"/>
            <w:tcBorders>
              <w:top w:val="single" w:sz="2" w:space="0" w:color="000000"/>
              <w:left w:val="single" w:sz="6" w:space="0" w:color="auto"/>
              <w:bottom w:val="single" w:sz="6" w:space="0" w:color="auto"/>
              <w:right w:val="single" w:sz="6" w:space="0" w:color="auto"/>
            </w:tcBorders>
            <w:shd w:val="clear" w:color="auto" w:fill="EAF1DD" w:themeFill="accent3" w:themeFillTint="33"/>
            <w:vAlign w:val="center"/>
          </w:tcPr>
          <w:p w14:paraId="6907947D"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0 </w:t>
            </w:r>
          </w:p>
        </w:tc>
        <w:tc>
          <w:tcPr>
            <w:tcW w:w="1247" w:type="dxa"/>
            <w:tcBorders>
              <w:top w:val="single" w:sz="2" w:space="0" w:color="000000"/>
              <w:left w:val="single" w:sz="6" w:space="0" w:color="auto"/>
              <w:bottom w:val="single" w:sz="6" w:space="0" w:color="auto"/>
              <w:right w:val="single" w:sz="6" w:space="0" w:color="auto"/>
            </w:tcBorders>
            <w:shd w:val="clear" w:color="auto" w:fill="EAF1DD" w:themeFill="accent3" w:themeFillTint="33"/>
            <w:vAlign w:val="center"/>
          </w:tcPr>
          <w:p w14:paraId="62D87FB0"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0 </w:t>
            </w:r>
          </w:p>
        </w:tc>
        <w:tc>
          <w:tcPr>
            <w:tcW w:w="1247" w:type="dxa"/>
            <w:tcBorders>
              <w:top w:val="single" w:sz="2" w:space="0" w:color="000000"/>
              <w:left w:val="single" w:sz="6" w:space="0" w:color="auto"/>
              <w:bottom w:val="single" w:sz="6" w:space="0" w:color="auto"/>
              <w:right w:val="single" w:sz="6" w:space="0" w:color="auto"/>
            </w:tcBorders>
            <w:shd w:val="clear" w:color="auto" w:fill="DBE5F1" w:themeFill="accent1" w:themeFillTint="33"/>
            <w:vAlign w:val="center"/>
          </w:tcPr>
          <w:p w14:paraId="26A75B94"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0</w:t>
            </w:r>
          </w:p>
        </w:tc>
        <w:tc>
          <w:tcPr>
            <w:tcW w:w="1247" w:type="dxa"/>
            <w:tcBorders>
              <w:top w:val="single" w:sz="2" w:space="0" w:color="000000"/>
              <w:left w:val="single" w:sz="6" w:space="0" w:color="auto"/>
              <w:bottom w:val="single" w:sz="6" w:space="0" w:color="auto"/>
              <w:right w:val="single" w:sz="6" w:space="0" w:color="auto"/>
            </w:tcBorders>
            <w:shd w:val="clear" w:color="auto" w:fill="F2DBDB" w:themeFill="accent2" w:themeFillTint="33"/>
            <w:vAlign w:val="center"/>
          </w:tcPr>
          <w:p w14:paraId="7D711208"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0</w:t>
            </w:r>
          </w:p>
        </w:tc>
        <w:tc>
          <w:tcPr>
            <w:tcW w:w="1247" w:type="dxa"/>
            <w:tcBorders>
              <w:top w:val="single" w:sz="2" w:space="0" w:color="000000"/>
              <w:left w:val="single" w:sz="6" w:space="0" w:color="auto"/>
              <w:bottom w:val="single" w:sz="6" w:space="0" w:color="auto"/>
              <w:right w:val="single" w:sz="6" w:space="0" w:color="auto"/>
            </w:tcBorders>
            <w:vAlign w:val="center"/>
          </w:tcPr>
          <w:p w14:paraId="75CDB1DE" w14:textId="77777777" w:rsidR="00262BBF" w:rsidRPr="009C1CD8" w:rsidRDefault="00262BBF" w:rsidP="008F3C55">
            <w:pPr>
              <w:widowControl/>
              <w:autoSpaceDE w:val="0"/>
              <w:autoSpaceDN w:val="0"/>
              <w:adjustRightInd w:val="0"/>
              <w:spacing w:before="0" w:after="0"/>
              <w:jc w:val="right"/>
              <w:rPr>
                <w:rFonts w:eastAsia="Calibri" w:cs="Calibri"/>
                <w:color w:val="000000"/>
                <w:sz w:val="22"/>
                <w:szCs w:val="22"/>
                <w:lang w:eastAsia="en-AU"/>
              </w:rPr>
            </w:pPr>
            <w:r>
              <w:rPr>
                <w:rFonts w:eastAsia="Times New Roman" w:cs="Arial"/>
                <w:color w:val="000000"/>
                <w:sz w:val="22"/>
                <w:szCs w:val="22"/>
              </w:rPr>
              <w:t>$0</w:t>
            </w:r>
          </w:p>
        </w:tc>
      </w:tr>
      <w:tr w:rsidR="00262BBF" w:rsidRPr="009C1CD8" w14:paraId="56E5A511" w14:textId="77777777" w:rsidTr="008F3C55">
        <w:trPr>
          <w:trHeight w:val="567"/>
        </w:trPr>
        <w:tc>
          <w:tcPr>
            <w:tcW w:w="2724" w:type="dxa"/>
            <w:tcBorders>
              <w:top w:val="single" w:sz="6" w:space="0" w:color="auto"/>
              <w:left w:val="single" w:sz="6" w:space="0" w:color="auto"/>
              <w:bottom w:val="double" w:sz="6" w:space="0" w:color="auto"/>
              <w:right w:val="single" w:sz="6" w:space="0" w:color="auto"/>
            </w:tcBorders>
            <w:vAlign w:val="center"/>
          </w:tcPr>
          <w:p w14:paraId="3FA08834" w14:textId="77777777" w:rsidR="00262BBF" w:rsidRPr="009C1CD8" w:rsidRDefault="00262BBF" w:rsidP="008F3C55">
            <w:pPr>
              <w:widowControl/>
              <w:autoSpaceDE w:val="0"/>
              <w:autoSpaceDN w:val="0"/>
              <w:adjustRightInd w:val="0"/>
              <w:spacing w:before="0" w:after="0"/>
              <w:jc w:val="left"/>
              <w:rPr>
                <w:rFonts w:eastAsia="Calibri" w:cs="Calibri"/>
                <w:color w:val="000000"/>
                <w:sz w:val="22"/>
                <w:szCs w:val="22"/>
                <w:lang w:eastAsia="en-AU"/>
              </w:rPr>
            </w:pPr>
            <w:r>
              <w:rPr>
                <w:rFonts w:eastAsia="Times New Roman" w:cs="Arial"/>
                <w:color w:val="000000"/>
                <w:sz w:val="22"/>
                <w:szCs w:val="22"/>
              </w:rPr>
              <w:t>Total</w:t>
            </w:r>
          </w:p>
        </w:tc>
        <w:tc>
          <w:tcPr>
            <w:tcW w:w="1417" w:type="dxa"/>
            <w:tcBorders>
              <w:top w:val="single" w:sz="6" w:space="0" w:color="auto"/>
              <w:left w:val="single" w:sz="6" w:space="0" w:color="auto"/>
              <w:bottom w:val="double" w:sz="6" w:space="0" w:color="auto"/>
              <w:right w:val="single" w:sz="6" w:space="0" w:color="auto"/>
            </w:tcBorders>
            <w:vAlign w:val="center"/>
          </w:tcPr>
          <w:p w14:paraId="0C961892" w14:textId="77777777" w:rsidR="00262BBF" w:rsidRDefault="00262BBF" w:rsidP="008F3C55">
            <w:pPr>
              <w:rPr>
                <w:color w:val="000000"/>
                <w:sz w:val="22"/>
                <w:szCs w:val="22"/>
              </w:rPr>
            </w:pPr>
            <w:r>
              <w:rPr>
                <w:rFonts w:eastAsia="Times New Roman" w:cs="Arial"/>
                <w:color w:val="000000"/>
                <w:sz w:val="22"/>
                <w:szCs w:val="22"/>
              </w:rPr>
              <w:t>$10,802,751</w:t>
            </w:r>
          </w:p>
        </w:tc>
        <w:tc>
          <w:tcPr>
            <w:tcW w:w="1247" w:type="dxa"/>
            <w:tcBorders>
              <w:top w:val="single" w:sz="6" w:space="0" w:color="auto"/>
              <w:left w:val="single" w:sz="6" w:space="0" w:color="auto"/>
              <w:bottom w:val="double" w:sz="6" w:space="0" w:color="auto"/>
              <w:right w:val="single" w:sz="6" w:space="0" w:color="auto"/>
            </w:tcBorders>
            <w:shd w:val="clear" w:color="auto" w:fill="EAF1DD" w:themeFill="accent3" w:themeFillTint="33"/>
            <w:vAlign w:val="center"/>
          </w:tcPr>
          <w:p w14:paraId="75395F2B" w14:textId="77777777" w:rsidR="00262BBF" w:rsidRDefault="00262BBF" w:rsidP="008F3C55">
            <w:pPr>
              <w:rPr>
                <w:color w:val="000000"/>
                <w:sz w:val="22"/>
                <w:szCs w:val="22"/>
              </w:rPr>
            </w:pPr>
            <w:r>
              <w:rPr>
                <w:rFonts w:eastAsia="Times New Roman" w:cs="Arial"/>
                <w:color w:val="000000"/>
                <w:sz w:val="22"/>
                <w:szCs w:val="22"/>
              </w:rPr>
              <w:t>$2,728,155</w:t>
            </w:r>
          </w:p>
        </w:tc>
        <w:tc>
          <w:tcPr>
            <w:tcW w:w="1247" w:type="dxa"/>
            <w:tcBorders>
              <w:top w:val="single" w:sz="6" w:space="0" w:color="auto"/>
              <w:left w:val="single" w:sz="6" w:space="0" w:color="auto"/>
              <w:bottom w:val="double" w:sz="6" w:space="0" w:color="auto"/>
              <w:right w:val="single" w:sz="6" w:space="0" w:color="auto"/>
            </w:tcBorders>
            <w:shd w:val="clear" w:color="auto" w:fill="EAF1DD" w:themeFill="accent3" w:themeFillTint="33"/>
            <w:vAlign w:val="center"/>
          </w:tcPr>
          <w:p w14:paraId="3504F56C" w14:textId="77777777" w:rsidR="00262BBF" w:rsidRDefault="00262BBF" w:rsidP="008F3C55">
            <w:pPr>
              <w:rPr>
                <w:color w:val="000000"/>
                <w:sz w:val="22"/>
                <w:szCs w:val="22"/>
              </w:rPr>
            </w:pPr>
            <w:r>
              <w:rPr>
                <w:rFonts w:eastAsia="Times New Roman" w:cs="Arial"/>
                <w:color w:val="000000"/>
                <w:sz w:val="22"/>
                <w:szCs w:val="22"/>
              </w:rPr>
              <w:t>$2,278,733</w:t>
            </w:r>
          </w:p>
        </w:tc>
        <w:tc>
          <w:tcPr>
            <w:tcW w:w="1247" w:type="dxa"/>
            <w:tcBorders>
              <w:top w:val="single" w:sz="6" w:space="0" w:color="auto"/>
              <w:left w:val="single" w:sz="6" w:space="0" w:color="auto"/>
              <w:bottom w:val="double" w:sz="6" w:space="0" w:color="auto"/>
              <w:right w:val="single" w:sz="6" w:space="0" w:color="auto"/>
            </w:tcBorders>
            <w:shd w:val="clear" w:color="auto" w:fill="EAF1DD" w:themeFill="accent3" w:themeFillTint="33"/>
            <w:vAlign w:val="center"/>
          </w:tcPr>
          <w:p w14:paraId="1A48135E" w14:textId="77777777" w:rsidR="00262BBF" w:rsidRDefault="00262BBF" w:rsidP="008F3C55">
            <w:pPr>
              <w:rPr>
                <w:color w:val="000000"/>
                <w:sz w:val="22"/>
                <w:szCs w:val="22"/>
              </w:rPr>
            </w:pPr>
            <w:r>
              <w:rPr>
                <w:rFonts w:eastAsia="Times New Roman" w:cs="Arial"/>
                <w:color w:val="000000"/>
                <w:sz w:val="22"/>
                <w:szCs w:val="22"/>
              </w:rPr>
              <w:t>$1,738,355</w:t>
            </w:r>
          </w:p>
        </w:tc>
        <w:tc>
          <w:tcPr>
            <w:tcW w:w="1247" w:type="dxa"/>
            <w:tcBorders>
              <w:top w:val="single" w:sz="6" w:space="0" w:color="auto"/>
              <w:left w:val="single" w:sz="6" w:space="0" w:color="auto"/>
              <w:bottom w:val="double" w:sz="6" w:space="0" w:color="auto"/>
              <w:right w:val="single" w:sz="6" w:space="0" w:color="auto"/>
            </w:tcBorders>
            <w:shd w:val="clear" w:color="auto" w:fill="EAF1DD" w:themeFill="accent3" w:themeFillTint="33"/>
            <w:vAlign w:val="center"/>
          </w:tcPr>
          <w:p w14:paraId="5A1BBC89" w14:textId="77777777" w:rsidR="00262BBF" w:rsidRDefault="00262BBF" w:rsidP="008F3C55">
            <w:pPr>
              <w:rPr>
                <w:color w:val="000000"/>
                <w:sz w:val="22"/>
                <w:szCs w:val="22"/>
              </w:rPr>
            </w:pPr>
            <w:r>
              <w:rPr>
                <w:rFonts w:eastAsia="Times New Roman" w:cs="Arial"/>
                <w:color w:val="000000"/>
                <w:sz w:val="22"/>
                <w:szCs w:val="22"/>
              </w:rPr>
              <w:t>$2,494,161</w:t>
            </w:r>
          </w:p>
        </w:tc>
        <w:tc>
          <w:tcPr>
            <w:tcW w:w="1247" w:type="dxa"/>
            <w:tcBorders>
              <w:top w:val="single" w:sz="6" w:space="0" w:color="auto"/>
              <w:left w:val="single" w:sz="6" w:space="0" w:color="auto"/>
              <w:bottom w:val="double" w:sz="6" w:space="0" w:color="auto"/>
              <w:right w:val="single" w:sz="6" w:space="0" w:color="auto"/>
            </w:tcBorders>
            <w:shd w:val="clear" w:color="auto" w:fill="DBE5F1" w:themeFill="accent1" w:themeFillTint="33"/>
            <w:vAlign w:val="center"/>
          </w:tcPr>
          <w:p w14:paraId="751CC73B" w14:textId="77777777" w:rsidR="00262BBF" w:rsidRDefault="00262BBF" w:rsidP="008F3C55">
            <w:pPr>
              <w:rPr>
                <w:color w:val="000000"/>
                <w:sz w:val="22"/>
                <w:szCs w:val="22"/>
              </w:rPr>
            </w:pPr>
            <w:r>
              <w:rPr>
                <w:rFonts w:eastAsia="Times New Roman" w:cs="Arial"/>
                <w:color w:val="000000"/>
                <w:sz w:val="22"/>
                <w:szCs w:val="22"/>
              </w:rPr>
              <w:t>$720,000</w:t>
            </w:r>
          </w:p>
        </w:tc>
        <w:tc>
          <w:tcPr>
            <w:tcW w:w="1247" w:type="dxa"/>
            <w:tcBorders>
              <w:top w:val="single" w:sz="6" w:space="0" w:color="auto"/>
              <w:left w:val="single" w:sz="6" w:space="0" w:color="auto"/>
              <w:bottom w:val="double" w:sz="6" w:space="0" w:color="auto"/>
              <w:right w:val="single" w:sz="6" w:space="0" w:color="auto"/>
            </w:tcBorders>
            <w:shd w:val="clear" w:color="auto" w:fill="F2DBDB" w:themeFill="accent2" w:themeFillTint="33"/>
            <w:vAlign w:val="center"/>
          </w:tcPr>
          <w:p w14:paraId="6C141F1D" w14:textId="77777777" w:rsidR="00262BBF" w:rsidRDefault="00262BBF" w:rsidP="008F3C55">
            <w:pPr>
              <w:rPr>
                <w:color w:val="000000"/>
                <w:sz w:val="22"/>
                <w:szCs w:val="22"/>
              </w:rPr>
            </w:pPr>
            <w:r>
              <w:rPr>
                <w:rFonts w:eastAsia="Times New Roman" w:cs="Arial"/>
                <w:color w:val="000000"/>
                <w:sz w:val="22"/>
                <w:szCs w:val="22"/>
              </w:rPr>
              <w:t>$843,347</w:t>
            </w:r>
          </w:p>
        </w:tc>
        <w:tc>
          <w:tcPr>
            <w:tcW w:w="1247" w:type="dxa"/>
            <w:tcBorders>
              <w:top w:val="single" w:sz="6" w:space="0" w:color="auto"/>
              <w:left w:val="single" w:sz="6" w:space="0" w:color="auto"/>
              <w:bottom w:val="double" w:sz="6" w:space="0" w:color="auto"/>
              <w:right w:val="single" w:sz="6" w:space="0" w:color="auto"/>
            </w:tcBorders>
            <w:vAlign w:val="center"/>
          </w:tcPr>
          <w:p w14:paraId="5AFA7EF7" w14:textId="77777777" w:rsidR="00262BBF" w:rsidRDefault="00262BBF" w:rsidP="008F3C55">
            <w:pPr>
              <w:rPr>
                <w:color w:val="000000"/>
                <w:sz w:val="22"/>
                <w:szCs w:val="22"/>
              </w:rPr>
            </w:pPr>
            <w:r>
              <w:rPr>
                <w:rFonts w:eastAsia="Times New Roman" w:cs="Arial"/>
                <w:color w:val="000000"/>
                <w:sz w:val="22"/>
                <w:szCs w:val="22"/>
              </w:rPr>
              <w:t>$1,563,347</w:t>
            </w:r>
          </w:p>
        </w:tc>
      </w:tr>
    </w:tbl>
    <w:p w14:paraId="42FA6720" w14:textId="77777777" w:rsidR="006C431B" w:rsidRDefault="006C431B" w:rsidP="006C431B">
      <w:pPr>
        <w:rPr>
          <w:lang w:val="en-GB"/>
        </w:rPr>
      </w:pPr>
    </w:p>
    <w:p w14:paraId="1B530A53" w14:textId="77777777" w:rsidR="006C431B" w:rsidRDefault="006C431B" w:rsidP="006C431B">
      <w:pPr>
        <w:pStyle w:val="Heading1"/>
        <w:rPr>
          <w:lang w:val="en-GB"/>
        </w:rPr>
      </w:pPr>
      <w:r>
        <w:rPr>
          <w:lang w:val="en-GB"/>
        </w:rPr>
        <w:br w:type="page"/>
      </w:r>
      <w:bookmarkStart w:id="91" w:name="_Toc323462491"/>
      <w:r>
        <w:rPr>
          <w:lang w:val="en-GB"/>
        </w:rPr>
        <w:lastRenderedPageBreak/>
        <w:t>4.0</w:t>
      </w:r>
      <w:r>
        <w:rPr>
          <w:lang w:val="en-GB"/>
        </w:rPr>
        <w:tab/>
        <w:t>Resource Schedule</w:t>
      </w:r>
      <w:bookmarkEnd w:id="91"/>
    </w:p>
    <w:p w14:paraId="5BBFC181" w14:textId="77777777" w:rsidR="00250ABF" w:rsidRDefault="009A47D5" w:rsidP="00250ABF">
      <w:pPr>
        <w:rPr>
          <w:lang w:val="en-GB"/>
        </w:rPr>
      </w:pPr>
      <w:r>
        <w:rPr>
          <w:noProof/>
          <w:lang w:eastAsia="en-AU"/>
        </w:rPr>
        <w:drawing>
          <wp:anchor distT="0" distB="0" distL="114300" distR="114300" simplePos="0" relativeHeight="251663360" behindDoc="1" locked="0" layoutInCell="1" allowOverlap="1" wp14:anchorId="3953D0EE" wp14:editId="5F8312F3">
            <wp:simplePos x="0" y="0"/>
            <wp:positionH relativeFrom="column">
              <wp:posOffset>0</wp:posOffset>
            </wp:positionH>
            <wp:positionV relativeFrom="paragraph">
              <wp:posOffset>-1905</wp:posOffset>
            </wp:positionV>
            <wp:extent cx="8864600" cy="5013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Plan 2012 Resource Schedule draft.gif"/>
                    <pic:cNvPicPr/>
                  </pic:nvPicPr>
                  <pic:blipFill>
                    <a:blip r:embed="rId23">
                      <a:extLst>
                        <a:ext uri="{28A0092B-C50C-407E-A947-70E740481C1C}">
                          <a14:useLocalDpi xmlns:a14="http://schemas.microsoft.com/office/drawing/2010/main" val="0"/>
                        </a:ext>
                      </a:extLst>
                    </a:blip>
                    <a:stretch>
                      <a:fillRect/>
                    </a:stretch>
                  </pic:blipFill>
                  <pic:spPr>
                    <a:xfrm>
                      <a:off x="0" y="0"/>
                      <a:ext cx="8864600" cy="5013325"/>
                    </a:xfrm>
                    <a:prstGeom prst="rect">
                      <a:avLst/>
                    </a:prstGeom>
                  </pic:spPr>
                </pic:pic>
              </a:graphicData>
            </a:graphic>
          </wp:anchor>
        </w:drawing>
      </w:r>
    </w:p>
    <w:p w14:paraId="666F6A45" w14:textId="77777777" w:rsidR="00250ABF" w:rsidRDefault="00250ABF" w:rsidP="00250ABF">
      <w:pPr>
        <w:rPr>
          <w:lang w:val="en-GB"/>
        </w:rPr>
      </w:pPr>
    </w:p>
    <w:p w14:paraId="5B4CD54C" w14:textId="77777777" w:rsidR="00250ABF" w:rsidRDefault="00250ABF" w:rsidP="00250ABF">
      <w:pPr>
        <w:rPr>
          <w:lang w:val="en-GB"/>
        </w:rPr>
      </w:pPr>
    </w:p>
    <w:p w14:paraId="2D9FA498" w14:textId="77777777" w:rsidR="00250ABF" w:rsidRDefault="00250ABF" w:rsidP="00250ABF">
      <w:pPr>
        <w:rPr>
          <w:lang w:val="en-GB"/>
        </w:rPr>
      </w:pPr>
    </w:p>
    <w:p w14:paraId="607A28D8" w14:textId="77777777" w:rsidR="00250ABF" w:rsidRPr="00250ABF" w:rsidRDefault="00250ABF" w:rsidP="00250ABF">
      <w:pPr>
        <w:rPr>
          <w:lang w:val="en-GB"/>
        </w:rPr>
      </w:pPr>
    </w:p>
    <w:p w14:paraId="497DC733" w14:textId="77777777" w:rsidR="006C431B" w:rsidRDefault="006C431B" w:rsidP="006C431B">
      <w:pPr>
        <w:rPr>
          <w:lang w:val="en-GB"/>
        </w:rPr>
      </w:pPr>
    </w:p>
    <w:p w14:paraId="794FDC78" w14:textId="77777777" w:rsidR="00250ABF" w:rsidRDefault="00250ABF" w:rsidP="006C431B">
      <w:pPr>
        <w:rPr>
          <w:lang w:val="en-GB"/>
        </w:rPr>
      </w:pPr>
    </w:p>
    <w:p w14:paraId="07C9EBD9" w14:textId="77777777" w:rsidR="00250ABF" w:rsidRDefault="00250ABF" w:rsidP="006C431B">
      <w:pPr>
        <w:rPr>
          <w:lang w:val="en-GB"/>
        </w:rPr>
      </w:pPr>
    </w:p>
    <w:p w14:paraId="686987DF" w14:textId="77777777" w:rsidR="00250ABF" w:rsidRDefault="00250ABF" w:rsidP="006C431B">
      <w:pPr>
        <w:rPr>
          <w:lang w:val="en-GB"/>
        </w:rPr>
      </w:pPr>
    </w:p>
    <w:p w14:paraId="338E5E03" w14:textId="77777777" w:rsidR="00250ABF" w:rsidRDefault="00250ABF" w:rsidP="006C431B">
      <w:pPr>
        <w:rPr>
          <w:lang w:val="en-GB"/>
        </w:rPr>
      </w:pPr>
    </w:p>
    <w:p w14:paraId="77B9776C" w14:textId="77777777" w:rsidR="00250ABF" w:rsidRDefault="00250ABF" w:rsidP="006C431B">
      <w:pPr>
        <w:rPr>
          <w:lang w:val="en-GB"/>
        </w:rPr>
      </w:pPr>
    </w:p>
    <w:p w14:paraId="21275E60" w14:textId="77777777" w:rsidR="00250ABF" w:rsidRDefault="00250ABF" w:rsidP="006C431B">
      <w:pPr>
        <w:rPr>
          <w:lang w:val="en-GB"/>
        </w:rPr>
      </w:pPr>
    </w:p>
    <w:p w14:paraId="7E5C5154" w14:textId="77777777" w:rsidR="00250ABF" w:rsidRDefault="00250ABF" w:rsidP="006C431B">
      <w:pPr>
        <w:rPr>
          <w:lang w:val="en-GB"/>
        </w:rPr>
      </w:pPr>
    </w:p>
    <w:p w14:paraId="36A8F628" w14:textId="77777777" w:rsidR="00250ABF" w:rsidRDefault="00250ABF" w:rsidP="006C431B">
      <w:pPr>
        <w:rPr>
          <w:lang w:val="en-GB"/>
        </w:rPr>
      </w:pPr>
    </w:p>
    <w:p w14:paraId="0AF83314" w14:textId="77777777" w:rsidR="00250ABF" w:rsidRDefault="00250ABF" w:rsidP="006C431B">
      <w:pPr>
        <w:rPr>
          <w:lang w:val="en-GB"/>
        </w:rPr>
      </w:pPr>
    </w:p>
    <w:p w14:paraId="6ECC31DF" w14:textId="77777777" w:rsidR="00250ABF" w:rsidRDefault="00250ABF" w:rsidP="006C431B">
      <w:pPr>
        <w:rPr>
          <w:lang w:val="en-GB"/>
        </w:rPr>
      </w:pPr>
    </w:p>
    <w:p w14:paraId="2AA22D47" w14:textId="77777777" w:rsidR="00250ABF" w:rsidRDefault="00250ABF" w:rsidP="006C431B">
      <w:pPr>
        <w:rPr>
          <w:lang w:val="en-GB"/>
        </w:rPr>
      </w:pPr>
    </w:p>
    <w:p w14:paraId="2AAFBA9C" w14:textId="77777777" w:rsidR="00250ABF" w:rsidRDefault="00250ABF" w:rsidP="006C431B">
      <w:pPr>
        <w:rPr>
          <w:lang w:val="en-GB"/>
        </w:rPr>
      </w:pPr>
    </w:p>
    <w:p w14:paraId="3296C6E4" w14:textId="77777777" w:rsidR="00250ABF" w:rsidRDefault="00250ABF" w:rsidP="006C431B">
      <w:pPr>
        <w:rPr>
          <w:lang w:val="en-GB"/>
        </w:rPr>
      </w:pPr>
    </w:p>
    <w:p w14:paraId="5D58F8F6" w14:textId="77777777" w:rsidR="00250ABF" w:rsidRPr="006C431B" w:rsidRDefault="005D6A2E" w:rsidP="005209C7">
      <w:pPr>
        <w:ind w:right="627"/>
        <w:rPr>
          <w:lang w:val="en-GB"/>
        </w:rPr>
      </w:pPr>
      <w:r>
        <w:rPr>
          <w:noProof/>
          <w:lang w:eastAsia="en-AU"/>
        </w:rPr>
        <mc:AlternateContent>
          <mc:Choice Requires="wps">
            <w:drawing>
              <wp:anchor distT="0" distB="0" distL="114300" distR="114300" simplePos="0" relativeHeight="251665408" behindDoc="0" locked="0" layoutInCell="1" allowOverlap="1" wp14:anchorId="427AE1F9" wp14:editId="7F3BE44C">
                <wp:simplePos x="0" y="0"/>
                <wp:positionH relativeFrom="column">
                  <wp:posOffset>3613150</wp:posOffset>
                </wp:positionH>
                <wp:positionV relativeFrom="paragraph">
                  <wp:posOffset>438150</wp:posOffset>
                </wp:positionV>
                <wp:extent cx="429260" cy="93345"/>
                <wp:effectExtent l="0" t="0" r="2540"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9334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284.5pt;margin-top:34.5pt;width:33.8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" fillcolor="blue" stroked="f"/>
            </w:pict>
          </mc:Fallback>
        </mc:AlternateContent>
      </w:r>
      <w:r w:rsidR="009A47D5">
        <w:rPr>
          <w:lang w:val="en-GB"/>
        </w:rPr>
        <w:t>Resource inputs are as planned up to the end of September as reflected in Contract Amendment 4. With a further 4month extension to the end of January 2013, all long term inputs (LTA) have been extended accordingly. Additional short term inputs (STA) have been provided as shown in the dark blue bars (              ) in the Resource Schedule.</w:t>
      </w:r>
    </w:p>
    <w:sectPr w:rsidR="00250ABF" w:rsidRPr="006C431B" w:rsidSect="00BD64E2">
      <w:headerReference w:type="even" r:id="rId24"/>
      <w:headerReference w:type="default" r:id="rId25"/>
      <w:footerReference w:type="default" r:id="rId26"/>
      <w:headerReference w:type="first" r:id="rId27"/>
      <w:pgSz w:w="15840" w:h="12240" w:orient="landscape"/>
      <w:pgMar w:top="1134"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31283" w14:textId="77777777" w:rsidR="00174146" w:rsidRDefault="00174146" w:rsidP="00846D48">
      <w:pPr>
        <w:spacing w:before="0" w:after="0"/>
      </w:pPr>
      <w:r>
        <w:separator/>
      </w:r>
    </w:p>
  </w:endnote>
  <w:endnote w:type="continuationSeparator" w:id="0">
    <w:p w14:paraId="6E941B87" w14:textId="77777777" w:rsidR="00174146" w:rsidRDefault="00174146" w:rsidP="00846D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89EF3" w14:textId="77777777" w:rsidR="008F3C55" w:rsidRDefault="008F3C55" w:rsidP="00D577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6CCA9" w14:textId="77777777" w:rsidR="008F3C55" w:rsidRDefault="008F3C55" w:rsidP="00D577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6F407" w14:textId="77777777" w:rsidR="008F3C55" w:rsidRDefault="008F3C55" w:rsidP="00D577C0">
    <w:pPr>
      <w:pStyle w:val="Footer"/>
      <w:ind w:right="360"/>
    </w:pPr>
    <w:r>
      <w:rPr>
        <w:noProof/>
        <w:lang w:eastAsia="en-AU"/>
      </w:rPr>
      <w:drawing>
        <wp:anchor distT="0" distB="0" distL="114300" distR="114300" simplePos="0" relativeHeight="251657728" behindDoc="1" locked="0" layoutInCell="1" allowOverlap="1" wp14:anchorId="76041732" wp14:editId="15FADED7">
          <wp:simplePos x="0" y="0"/>
          <wp:positionH relativeFrom="column">
            <wp:posOffset>-897255</wp:posOffset>
          </wp:positionH>
          <wp:positionV relativeFrom="page">
            <wp:posOffset>37465</wp:posOffset>
          </wp:positionV>
          <wp:extent cx="7519035" cy="10630535"/>
          <wp:effectExtent l="19050" t="0" r="5715" b="0"/>
          <wp:wrapNone/>
          <wp:docPr id="1" name="Picture 1" descr="Cover_Template A4_no_pictures_graphic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_Template A4_no_pictures_graphics only"/>
                  <pic:cNvPicPr>
                    <a:picLocks noChangeAspect="1" noChangeArrowheads="1"/>
                  </pic:cNvPicPr>
                </pic:nvPicPr>
                <pic:blipFill>
                  <a:blip r:embed="rId1"/>
                  <a:srcRect/>
                  <a:stretch>
                    <a:fillRect/>
                  </a:stretch>
                </pic:blipFill>
                <pic:spPr bwMode="auto">
                  <a:xfrm>
                    <a:off x="0" y="0"/>
                    <a:ext cx="7519035" cy="1063053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0C62" w14:textId="77777777" w:rsidR="009A7497" w:rsidRDefault="009A74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E5B59" w14:textId="77777777" w:rsidR="008F3C55" w:rsidRDefault="008F3C55" w:rsidP="00D577C0">
    <w:pPr>
      <w:pStyle w:val="Footer"/>
      <w:ind w:right="360"/>
    </w:pPr>
    <w:r w:rsidRPr="00EB1810">
      <w:rPr>
        <w:sz w:val="18"/>
        <w:szCs w:val="18"/>
      </w:rPr>
      <w:t>Vanuatu TVET Sector Strengthening Program Phase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E9FC" w14:textId="77777777" w:rsidR="008F3C55" w:rsidRDefault="008F3C55" w:rsidP="00384F26">
    <w:pPr>
      <w:pStyle w:val="Footer"/>
      <w:tabs>
        <w:tab w:val="clear" w:pos="4320"/>
        <w:tab w:val="clear" w:pos="8640"/>
        <w:tab w:val="right" w:pos="9356"/>
      </w:tabs>
      <w:ind w:right="360"/>
    </w:pPr>
    <w:r w:rsidRPr="00EB1810">
      <w:rPr>
        <w:sz w:val="18"/>
        <w:szCs w:val="18"/>
      </w:rPr>
      <w:t>Vanuatu TVET Sector Strengthening Program Phase 2</w:t>
    </w:r>
    <w:r>
      <w:rPr>
        <w:sz w:val="18"/>
        <w:szCs w:val="18"/>
      </w:rPr>
      <w:tab/>
    </w:r>
    <w:r w:rsidRPr="00384F26">
      <w:rPr>
        <w:sz w:val="18"/>
        <w:szCs w:val="18"/>
      </w:rPr>
      <w:fldChar w:fldCharType="begin"/>
    </w:r>
    <w:r w:rsidRPr="00384F26">
      <w:rPr>
        <w:sz w:val="18"/>
        <w:szCs w:val="18"/>
      </w:rPr>
      <w:instrText xml:space="preserve"> PAGE   \* MERGEFORMAT </w:instrText>
    </w:r>
    <w:r w:rsidRPr="00384F26">
      <w:rPr>
        <w:sz w:val="18"/>
        <w:szCs w:val="18"/>
      </w:rPr>
      <w:fldChar w:fldCharType="separate"/>
    </w:r>
    <w:r w:rsidR="00477B97">
      <w:rPr>
        <w:noProof/>
        <w:sz w:val="18"/>
        <w:szCs w:val="18"/>
      </w:rPr>
      <w:t>10</w:t>
    </w:r>
    <w:r w:rsidRPr="00384F26">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FF45" w14:textId="77777777" w:rsidR="008F3C55" w:rsidRDefault="008F3C55" w:rsidP="00FA531D">
    <w:pPr>
      <w:pStyle w:val="Footer"/>
      <w:tabs>
        <w:tab w:val="clear" w:pos="4320"/>
        <w:tab w:val="clear" w:pos="8640"/>
        <w:tab w:val="right" w:pos="12758"/>
      </w:tabs>
      <w:ind w:right="360"/>
    </w:pPr>
    <w:r w:rsidRPr="00EB1810">
      <w:rPr>
        <w:sz w:val="18"/>
        <w:szCs w:val="18"/>
      </w:rPr>
      <w:t>Vanuatu TVET Sector Strengthening Program Phase 2</w:t>
    </w:r>
    <w:r>
      <w:rPr>
        <w:sz w:val="18"/>
        <w:szCs w:val="18"/>
      </w:rPr>
      <w:tab/>
    </w:r>
    <w:r w:rsidRPr="00384F26">
      <w:rPr>
        <w:sz w:val="18"/>
        <w:szCs w:val="18"/>
      </w:rPr>
      <w:fldChar w:fldCharType="begin"/>
    </w:r>
    <w:r w:rsidRPr="00384F26">
      <w:rPr>
        <w:sz w:val="18"/>
        <w:szCs w:val="18"/>
      </w:rPr>
      <w:instrText xml:space="preserve"> PAGE   \* MERGEFORMAT </w:instrText>
    </w:r>
    <w:r w:rsidRPr="00384F26">
      <w:rPr>
        <w:sz w:val="18"/>
        <w:szCs w:val="18"/>
      </w:rPr>
      <w:fldChar w:fldCharType="separate"/>
    </w:r>
    <w:r w:rsidR="00477B97">
      <w:rPr>
        <w:noProof/>
        <w:sz w:val="18"/>
        <w:szCs w:val="18"/>
      </w:rPr>
      <w:t>13</w:t>
    </w:r>
    <w:r w:rsidRPr="00384F2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22575" w14:textId="77777777" w:rsidR="00174146" w:rsidRDefault="00174146" w:rsidP="00846D48">
      <w:pPr>
        <w:spacing w:before="0" w:after="0"/>
      </w:pPr>
      <w:r>
        <w:separator/>
      </w:r>
    </w:p>
  </w:footnote>
  <w:footnote w:type="continuationSeparator" w:id="0">
    <w:p w14:paraId="4EC957B7" w14:textId="77777777" w:rsidR="00174146" w:rsidRDefault="00174146" w:rsidP="00846D48">
      <w:pPr>
        <w:spacing w:before="0" w:after="0"/>
      </w:pPr>
      <w:r>
        <w:continuationSeparator/>
      </w:r>
    </w:p>
  </w:footnote>
  <w:footnote w:id="1">
    <w:p w14:paraId="54439361" w14:textId="77777777" w:rsidR="008F3C55" w:rsidRDefault="008F3C55" w:rsidP="00D577C0">
      <w:pPr>
        <w:pStyle w:val="FootnoteText"/>
        <w:rPr>
          <w:rFonts w:asciiTheme="minorHAnsi" w:hAnsiTheme="minorHAnsi"/>
        </w:rPr>
      </w:pPr>
      <w:r>
        <w:rPr>
          <w:rStyle w:val="FootnoteReference"/>
        </w:rPr>
        <w:footnoteRef/>
      </w:r>
      <w:r w:rsidRPr="00FA531D">
        <w:rPr>
          <w:rFonts w:asciiTheme="minorHAnsi" w:hAnsiTheme="minorHAnsi"/>
        </w:rPr>
        <w:t>National TVET Policy P9</w:t>
      </w:r>
    </w:p>
    <w:p w14:paraId="3F79CFB3" w14:textId="77777777" w:rsidR="008F3C55" w:rsidRDefault="008F3C55" w:rsidP="00D577C0">
      <w:pPr>
        <w:pStyle w:val="FootnoteText"/>
      </w:pPr>
    </w:p>
  </w:footnote>
  <w:footnote w:id="2">
    <w:p w14:paraId="3F21C93D" w14:textId="77777777" w:rsidR="008F3C55" w:rsidRPr="00FA531D" w:rsidRDefault="008F3C55">
      <w:pPr>
        <w:pStyle w:val="FootnoteText"/>
        <w:rPr>
          <w:rFonts w:asciiTheme="minorHAnsi" w:hAnsiTheme="minorHAnsi"/>
        </w:rPr>
      </w:pPr>
      <w:r w:rsidRPr="00FA531D">
        <w:rPr>
          <w:rStyle w:val="FootnoteReference"/>
          <w:rFonts w:asciiTheme="minorHAnsi" w:hAnsiTheme="minorHAnsi"/>
        </w:rPr>
        <w:footnoteRef/>
      </w:r>
      <w:r w:rsidRPr="00FA531D">
        <w:rPr>
          <w:rFonts w:asciiTheme="minorHAnsi" w:hAnsiTheme="minorHAnsi"/>
        </w:rPr>
        <w:t xml:space="preserve"> for the purposes of this plan the agency will continue to be referred to as the VNTC but there is a strong likelihood that there will be a change in name to reflect broader post school quality assurance responsibilities under new arrangements</w:t>
      </w:r>
    </w:p>
  </w:footnote>
  <w:footnote w:id="3">
    <w:p w14:paraId="0E320061" w14:textId="77777777" w:rsidR="008F3C55" w:rsidRPr="00CF5657" w:rsidRDefault="008F3C55" w:rsidP="00262BBF">
      <w:pPr>
        <w:pStyle w:val="FootnoteText"/>
        <w:rPr>
          <w:lang w:val="en-US"/>
        </w:rPr>
      </w:pPr>
      <w:r>
        <w:rPr>
          <w:rStyle w:val="FootnoteReference"/>
        </w:rPr>
        <w:footnoteRef/>
      </w:r>
      <w:r>
        <w:rPr>
          <w:rFonts w:ascii="Calibri" w:eastAsia="SimSun" w:hAnsi="Calibri"/>
          <w:sz w:val="16"/>
          <w:szCs w:val="16"/>
        </w:rPr>
        <w:t>For handover arrangements between Phase 2 and Phase 3 contractors – another $25,000 will be included in the Phase 3 contract for this purpose</w:t>
      </w:r>
    </w:p>
  </w:footnote>
  <w:footnote w:id="4">
    <w:p w14:paraId="2F454D33" w14:textId="77777777" w:rsidR="008F3C55" w:rsidRPr="007D0966" w:rsidRDefault="008F3C55" w:rsidP="00262BBF">
      <w:pPr>
        <w:pStyle w:val="FootnoteText"/>
        <w:rPr>
          <w:rFonts w:ascii="Calibri" w:eastAsia="SimSun" w:hAnsi="Calibri"/>
          <w:sz w:val="16"/>
          <w:szCs w:val="16"/>
        </w:rPr>
      </w:pPr>
      <w:r>
        <w:rPr>
          <w:rStyle w:val="FootnoteReference"/>
        </w:rPr>
        <w:footnoteRef/>
      </w:r>
      <w:r w:rsidRPr="00CF5657">
        <w:rPr>
          <w:rFonts w:asciiTheme="minorHAnsi" w:hAnsiTheme="minorHAnsi"/>
          <w:sz w:val="16"/>
          <w:szCs w:val="16"/>
        </w:rPr>
        <w:t xml:space="preserve">$350,000 of the additional $650,000 </w:t>
      </w:r>
      <w:proofErr w:type="spellStart"/>
      <w:r w:rsidRPr="00CF5657">
        <w:rPr>
          <w:rFonts w:asciiTheme="minorHAnsi" w:hAnsiTheme="minorHAnsi"/>
          <w:sz w:val="16"/>
          <w:szCs w:val="16"/>
        </w:rPr>
        <w:t>Imprest</w:t>
      </w:r>
      <w:proofErr w:type="spellEnd"/>
      <w:r w:rsidRPr="00CF5657">
        <w:rPr>
          <w:rFonts w:asciiTheme="minorHAnsi" w:hAnsiTheme="minorHAnsi"/>
          <w:sz w:val="16"/>
          <w:szCs w:val="16"/>
        </w:rPr>
        <w:t xml:space="preserve"> allocation under Contract Amendment 4 was re-allocated into original contract period.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CBB1" w14:textId="77777777" w:rsidR="008F3C55" w:rsidRDefault="008F3C5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B1D3F" w14:textId="77777777" w:rsidR="008F3C55" w:rsidRDefault="008F3C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1CD62" w14:textId="77777777" w:rsidR="009A7497" w:rsidRDefault="009A749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F8458" w14:textId="77777777" w:rsidR="008F3C55" w:rsidRDefault="008F3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0737C" w14:textId="77777777" w:rsidR="008F3C55" w:rsidRDefault="008F3C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B184D" w14:textId="77777777" w:rsidR="008F3C55" w:rsidRDefault="008F3C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E217" w14:textId="77777777" w:rsidR="008F3C55" w:rsidRDefault="008F3C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D2FA" w14:textId="77777777" w:rsidR="008F3C55" w:rsidRPr="00FA531D" w:rsidRDefault="008F3C55" w:rsidP="00FA531D">
    <w:pPr>
      <w:pStyle w:val="Header"/>
      <w:jc w:val="right"/>
      <w:rPr>
        <w:sz w:val="18"/>
        <w:szCs w:val="18"/>
      </w:rPr>
    </w:pPr>
    <w:r w:rsidRPr="00FA531D">
      <w:rPr>
        <w:sz w:val="18"/>
        <w:szCs w:val="18"/>
      </w:rPr>
      <w:t xml:space="preserve">Work Plan June </w:t>
    </w:r>
    <w:r>
      <w:rPr>
        <w:sz w:val="18"/>
        <w:szCs w:val="18"/>
      </w:rPr>
      <w:t xml:space="preserve">2012 </w:t>
    </w:r>
    <w:r w:rsidRPr="00FA531D">
      <w:rPr>
        <w:sz w:val="18"/>
        <w:szCs w:val="18"/>
      </w:rPr>
      <w:t xml:space="preserve">– </w:t>
    </w:r>
    <w:r>
      <w:rPr>
        <w:sz w:val="18"/>
        <w:szCs w:val="18"/>
      </w:rPr>
      <w:t>January</w:t>
    </w:r>
    <w:r w:rsidRPr="00FA531D">
      <w:rPr>
        <w:sz w:val="18"/>
        <w:szCs w:val="18"/>
      </w:rPr>
      <w:t xml:space="preserve"> 201</w:t>
    </w:r>
    <w:r>
      <w:rPr>
        <w:sz w:val="18"/>
        <w:szCs w:val="18"/>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DDEA" w14:textId="77777777" w:rsidR="008F3C55" w:rsidRDefault="008F3C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BAAC0" w14:textId="77777777" w:rsidR="008F3C55" w:rsidRDefault="008F3C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53465" w14:textId="77777777" w:rsidR="009A7497" w:rsidRDefault="009A749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455FF" w14:textId="77777777" w:rsidR="008F3C55" w:rsidRDefault="008F3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205D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7180F"/>
    <w:multiLevelType w:val="hybridMultilevel"/>
    <w:tmpl w:val="52D400C2"/>
    <w:lvl w:ilvl="0" w:tplc="0C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373CF"/>
    <w:multiLevelType w:val="hybridMultilevel"/>
    <w:tmpl w:val="5A52705C"/>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BE4244D"/>
    <w:multiLevelType w:val="hybridMultilevel"/>
    <w:tmpl w:val="E20ED702"/>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635176A8"/>
    <w:multiLevelType w:val="hybridMultilevel"/>
    <w:tmpl w:val="DF58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4097">
      <o:colormru v:ext="edit" colors="blue"/>
      <o:colormenu v:ext="edit" fillcolor="blu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48"/>
    <w:rsid w:val="00002952"/>
    <w:rsid w:val="000135A1"/>
    <w:rsid w:val="00061370"/>
    <w:rsid w:val="000B7BC2"/>
    <w:rsid w:val="00123204"/>
    <w:rsid w:val="00124B4D"/>
    <w:rsid w:val="00165376"/>
    <w:rsid w:val="001659DC"/>
    <w:rsid w:val="00174146"/>
    <w:rsid w:val="0018705E"/>
    <w:rsid w:val="001A2D3E"/>
    <w:rsid w:val="001B2AE9"/>
    <w:rsid w:val="001E1B1F"/>
    <w:rsid w:val="00205523"/>
    <w:rsid w:val="00232C6B"/>
    <w:rsid w:val="00250ABF"/>
    <w:rsid w:val="00262BBF"/>
    <w:rsid w:val="00270294"/>
    <w:rsid w:val="00280E68"/>
    <w:rsid w:val="00283EF1"/>
    <w:rsid w:val="002A2D29"/>
    <w:rsid w:val="002A69CC"/>
    <w:rsid w:val="002C77DE"/>
    <w:rsid w:val="002E0536"/>
    <w:rsid w:val="0033353D"/>
    <w:rsid w:val="00341DB6"/>
    <w:rsid w:val="00364578"/>
    <w:rsid w:val="00384F26"/>
    <w:rsid w:val="003D2F0A"/>
    <w:rsid w:val="003E48EA"/>
    <w:rsid w:val="003F1663"/>
    <w:rsid w:val="003F412B"/>
    <w:rsid w:val="00433F36"/>
    <w:rsid w:val="00445C82"/>
    <w:rsid w:val="00477B97"/>
    <w:rsid w:val="00485D54"/>
    <w:rsid w:val="00493666"/>
    <w:rsid w:val="004D2BF6"/>
    <w:rsid w:val="005209C7"/>
    <w:rsid w:val="00525232"/>
    <w:rsid w:val="0052555A"/>
    <w:rsid w:val="00580C17"/>
    <w:rsid w:val="00595497"/>
    <w:rsid w:val="005D4DD7"/>
    <w:rsid w:val="005D6A2E"/>
    <w:rsid w:val="00610EB5"/>
    <w:rsid w:val="00656713"/>
    <w:rsid w:val="00664023"/>
    <w:rsid w:val="006C431B"/>
    <w:rsid w:val="00705121"/>
    <w:rsid w:val="00717296"/>
    <w:rsid w:val="00742596"/>
    <w:rsid w:val="00770284"/>
    <w:rsid w:val="007D4938"/>
    <w:rsid w:val="00846D48"/>
    <w:rsid w:val="0086157F"/>
    <w:rsid w:val="008A6241"/>
    <w:rsid w:val="008F3C55"/>
    <w:rsid w:val="009052AE"/>
    <w:rsid w:val="009530E8"/>
    <w:rsid w:val="00973CB0"/>
    <w:rsid w:val="009A47D5"/>
    <w:rsid w:val="009A7497"/>
    <w:rsid w:val="009B2D70"/>
    <w:rsid w:val="009B4847"/>
    <w:rsid w:val="009C14DE"/>
    <w:rsid w:val="009C1CD8"/>
    <w:rsid w:val="009D1D55"/>
    <w:rsid w:val="00A12925"/>
    <w:rsid w:val="00A7285C"/>
    <w:rsid w:val="00A94481"/>
    <w:rsid w:val="00AC09F2"/>
    <w:rsid w:val="00B85BFD"/>
    <w:rsid w:val="00B949CC"/>
    <w:rsid w:val="00BA1C78"/>
    <w:rsid w:val="00BC10C8"/>
    <w:rsid w:val="00BD64E2"/>
    <w:rsid w:val="00BE2136"/>
    <w:rsid w:val="00C25E5C"/>
    <w:rsid w:val="00C942A9"/>
    <w:rsid w:val="00CC3BC7"/>
    <w:rsid w:val="00D01507"/>
    <w:rsid w:val="00D577C0"/>
    <w:rsid w:val="00DA0F50"/>
    <w:rsid w:val="00DB28E0"/>
    <w:rsid w:val="00E0077B"/>
    <w:rsid w:val="00E33986"/>
    <w:rsid w:val="00E47665"/>
    <w:rsid w:val="00E50C81"/>
    <w:rsid w:val="00E93BDF"/>
    <w:rsid w:val="00EA214C"/>
    <w:rsid w:val="00EF022D"/>
    <w:rsid w:val="00F013A5"/>
    <w:rsid w:val="00F64EE4"/>
    <w:rsid w:val="00F71749"/>
    <w:rsid w:val="00FA531D"/>
    <w:rsid w:val="00FC0F02"/>
    <w:rsid w:val="00FE4F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blue"/>
      <o:colormenu v:ext="edit" fillcolor="blue" strokecolor="none"/>
    </o:shapedefaults>
    <o:shapelayout v:ext="edit">
      <o:idmap v:ext="edit" data="1"/>
    </o:shapelayout>
  </w:shapeDefaults>
  <w:decimalSymbol w:val="."/>
  <w:listSeparator w:val=","/>
  <w14:docId w14:val="4E60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48"/>
    <w:pPr>
      <w:widowControl w:val="0"/>
      <w:spacing w:before="120" w:after="120"/>
      <w:jc w:val="both"/>
    </w:pPr>
    <w:rPr>
      <w:rFonts w:eastAsia="SimSun"/>
      <w:sz w:val="24"/>
      <w:szCs w:val="24"/>
      <w:lang w:eastAsia="zh-CN"/>
    </w:rPr>
  </w:style>
  <w:style w:type="paragraph" w:styleId="Heading1">
    <w:name w:val="heading 1"/>
    <w:basedOn w:val="Normal"/>
    <w:next w:val="Normal"/>
    <w:link w:val="Heading1Char"/>
    <w:qFormat/>
    <w:rsid w:val="006C431B"/>
    <w:pPr>
      <w:keepNext/>
      <w:spacing w:before="240" w:after="60"/>
      <w:outlineLvl w:val="0"/>
    </w:pPr>
    <w:rPr>
      <w:b/>
      <w:bCs/>
      <w:color w:val="333399"/>
      <w:kern w:val="32"/>
      <w:sz w:val="32"/>
      <w:szCs w:val="32"/>
    </w:rPr>
  </w:style>
  <w:style w:type="paragraph" w:styleId="Heading2">
    <w:name w:val="heading 2"/>
    <w:basedOn w:val="Normal"/>
    <w:next w:val="Normal"/>
    <w:link w:val="Heading2Char"/>
    <w:uiPriority w:val="9"/>
    <w:unhideWhenUsed/>
    <w:qFormat/>
    <w:rsid w:val="00742596"/>
    <w:pPr>
      <w:keepNext/>
      <w:spacing w:before="240" w:after="60"/>
      <w:outlineLvl w:val="1"/>
    </w:pPr>
    <w:rPr>
      <w:rFonts w:ascii="Arial" w:eastAsia="Times New Roman" w:hAnsi="Arial"/>
      <w:b/>
      <w:bCs/>
      <w:iCs/>
      <w:color w:val="333399"/>
      <w:szCs w:val="28"/>
    </w:rPr>
  </w:style>
  <w:style w:type="paragraph" w:styleId="Heading3">
    <w:name w:val="heading 3"/>
    <w:basedOn w:val="Normal"/>
    <w:next w:val="Normal"/>
    <w:link w:val="Heading3Char"/>
    <w:qFormat/>
    <w:rsid w:val="00846D48"/>
    <w:pPr>
      <w:keepNext/>
      <w:outlineLvl w:val="2"/>
    </w:pPr>
    <w:rPr>
      <w:rFonts w:ascii="Arial" w:hAnsi="Arial"/>
      <w:b/>
      <w:bCs/>
      <w:color w:val="33339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431B"/>
    <w:rPr>
      <w:rFonts w:eastAsia="SimSun"/>
      <w:b/>
      <w:bCs/>
      <w:color w:val="333399"/>
      <w:kern w:val="32"/>
      <w:sz w:val="32"/>
      <w:szCs w:val="32"/>
      <w:lang w:eastAsia="zh-CN"/>
    </w:rPr>
  </w:style>
  <w:style w:type="character" w:customStyle="1" w:styleId="Heading3Char">
    <w:name w:val="Heading 3 Char"/>
    <w:link w:val="Heading3"/>
    <w:rsid w:val="00846D48"/>
    <w:rPr>
      <w:rFonts w:ascii="Arial" w:eastAsia="SimSun" w:hAnsi="Arial" w:cs="Arial"/>
      <w:b/>
      <w:bCs/>
      <w:color w:val="333399"/>
      <w:sz w:val="24"/>
      <w:szCs w:val="26"/>
      <w:lang w:val="en-AU" w:eastAsia="zh-CN"/>
    </w:rPr>
  </w:style>
  <w:style w:type="paragraph" w:styleId="FootnoteText">
    <w:name w:val="footnote text"/>
    <w:basedOn w:val="Normal"/>
    <w:link w:val="FootnoteTextChar"/>
    <w:semiHidden/>
    <w:rsid w:val="00846D48"/>
    <w:pPr>
      <w:spacing w:before="0" w:after="0"/>
      <w:jc w:val="left"/>
    </w:pPr>
    <w:rPr>
      <w:rFonts w:ascii="Times New Roman" w:eastAsia="Times New Roman" w:hAnsi="Times New Roman"/>
      <w:sz w:val="20"/>
      <w:szCs w:val="20"/>
    </w:rPr>
  </w:style>
  <w:style w:type="character" w:customStyle="1" w:styleId="FootnoteTextChar">
    <w:name w:val="Footnote Text Char"/>
    <w:link w:val="FootnoteText"/>
    <w:semiHidden/>
    <w:rsid w:val="00846D48"/>
    <w:rPr>
      <w:rFonts w:ascii="Times New Roman" w:eastAsia="Times New Roman" w:hAnsi="Times New Roman" w:cs="Times New Roman"/>
      <w:sz w:val="20"/>
      <w:szCs w:val="20"/>
    </w:rPr>
  </w:style>
  <w:style w:type="character" w:styleId="FootnoteReference">
    <w:name w:val="footnote reference"/>
    <w:semiHidden/>
    <w:rsid w:val="00846D48"/>
    <w:rPr>
      <w:vertAlign w:val="superscript"/>
    </w:rPr>
  </w:style>
  <w:style w:type="character" w:styleId="CommentReference">
    <w:name w:val="annotation reference"/>
    <w:semiHidden/>
    <w:rsid w:val="00846D48"/>
    <w:rPr>
      <w:sz w:val="16"/>
      <w:szCs w:val="16"/>
    </w:rPr>
  </w:style>
  <w:style w:type="paragraph" w:styleId="CommentText">
    <w:name w:val="annotation text"/>
    <w:basedOn w:val="Normal"/>
    <w:link w:val="CommentTextChar"/>
    <w:semiHidden/>
    <w:rsid w:val="00846D48"/>
    <w:rPr>
      <w:sz w:val="20"/>
      <w:szCs w:val="20"/>
    </w:rPr>
  </w:style>
  <w:style w:type="character" w:customStyle="1" w:styleId="CommentTextChar">
    <w:name w:val="Comment Text Char"/>
    <w:link w:val="CommentText"/>
    <w:semiHidden/>
    <w:rsid w:val="00846D48"/>
    <w:rPr>
      <w:rFonts w:ascii="Calibri" w:eastAsia="SimSun" w:hAnsi="Calibri" w:cs="Times New Roman"/>
      <w:sz w:val="20"/>
      <w:szCs w:val="20"/>
      <w:lang w:val="en-AU" w:eastAsia="zh-CN"/>
    </w:rPr>
  </w:style>
  <w:style w:type="paragraph" w:styleId="BalloonText">
    <w:name w:val="Balloon Text"/>
    <w:basedOn w:val="Normal"/>
    <w:link w:val="BalloonTextChar"/>
    <w:uiPriority w:val="99"/>
    <w:semiHidden/>
    <w:unhideWhenUsed/>
    <w:rsid w:val="00846D48"/>
    <w:pPr>
      <w:spacing w:before="0" w:after="0"/>
    </w:pPr>
    <w:rPr>
      <w:rFonts w:ascii="Tahoma" w:hAnsi="Tahoma"/>
      <w:sz w:val="16"/>
      <w:szCs w:val="16"/>
    </w:rPr>
  </w:style>
  <w:style w:type="character" w:customStyle="1" w:styleId="BalloonTextChar">
    <w:name w:val="Balloon Text Char"/>
    <w:link w:val="BalloonText"/>
    <w:uiPriority w:val="99"/>
    <w:semiHidden/>
    <w:rsid w:val="00846D48"/>
    <w:rPr>
      <w:rFonts w:ascii="Tahoma" w:eastAsia="SimSun" w:hAnsi="Tahoma" w:cs="Tahoma"/>
      <w:sz w:val="16"/>
      <w:szCs w:val="16"/>
      <w:lang w:val="en-AU" w:eastAsia="zh-CN"/>
    </w:rPr>
  </w:style>
  <w:style w:type="paragraph" w:customStyle="1" w:styleId="ColorfulList-Accent11">
    <w:name w:val="Colorful List - Accent 11"/>
    <w:basedOn w:val="Normal"/>
    <w:uiPriority w:val="34"/>
    <w:qFormat/>
    <w:rsid w:val="00A94481"/>
    <w:pPr>
      <w:ind w:left="720"/>
      <w:contextualSpacing/>
    </w:pPr>
  </w:style>
  <w:style w:type="paragraph" w:styleId="Footer">
    <w:name w:val="footer"/>
    <w:basedOn w:val="Normal"/>
    <w:link w:val="FooterChar"/>
    <w:uiPriority w:val="99"/>
    <w:unhideWhenUsed/>
    <w:rsid w:val="00D577C0"/>
    <w:pPr>
      <w:tabs>
        <w:tab w:val="center" w:pos="4320"/>
        <w:tab w:val="right" w:pos="8640"/>
      </w:tabs>
    </w:pPr>
  </w:style>
  <w:style w:type="character" w:customStyle="1" w:styleId="FooterChar">
    <w:name w:val="Footer Char"/>
    <w:link w:val="Footer"/>
    <w:uiPriority w:val="99"/>
    <w:rsid w:val="00D577C0"/>
    <w:rPr>
      <w:rFonts w:eastAsia="SimSun"/>
      <w:sz w:val="24"/>
      <w:szCs w:val="24"/>
      <w:lang w:val="en-AU" w:eastAsia="zh-CN"/>
    </w:rPr>
  </w:style>
  <w:style w:type="character" w:styleId="PageNumber">
    <w:name w:val="page number"/>
    <w:uiPriority w:val="99"/>
    <w:semiHidden/>
    <w:unhideWhenUsed/>
    <w:rsid w:val="00D577C0"/>
  </w:style>
  <w:style w:type="paragraph" w:styleId="Header">
    <w:name w:val="header"/>
    <w:basedOn w:val="Normal"/>
    <w:link w:val="HeaderChar"/>
    <w:uiPriority w:val="99"/>
    <w:unhideWhenUsed/>
    <w:rsid w:val="00123204"/>
    <w:pPr>
      <w:tabs>
        <w:tab w:val="center" w:pos="4513"/>
        <w:tab w:val="right" w:pos="9026"/>
      </w:tabs>
    </w:pPr>
  </w:style>
  <w:style w:type="character" w:customStyle="1" w:styleId="HeaderChar">
    <w:name w:val="Header Char"/>
    <w:basedOn w:val="DefaultParagraphFont"/>
    <w:link w:val="Header"/>
    <w:uiPriority w:val="99"/>
    <w:rsid w:val="00123204"/>
    <w:rPr>
      <w:rFonts w:eastAsia="SimSun"/>
      <w:sz w:val="24"/>
      <w:szCs w:val="24"/>
      <w:lang w:eastAsia="zh-CN"/>
    </w:rPr>
  </w:style>
  <w:style w:type="paragraph" w:styleId="TOCHeading">
    <w:name w:val="TOC Heading"/>
    <w:basedOn w:val="Heading1"/>
    <w:next w:val="Normal"/>
    <w:uiPriority w:val="39"/>
    <w:semiHidden/>
    <w:unhideWhenUsed/>
    <w:qFormat/>
    <w:rsid w:val="00384F26"/>
    <w:pPr>
      <w:keepLines/>
      <w:widowControl/>
      <w:spacing w:before="480" w:after="0" w:line="276" w:lineRule="auto"/>
      <w:jc w:val="left"/>
      <w:outlineLvl w:val="9"/>
    </w:pPr>
    <w:rPr>
      <w:rFonts w:ascii="Cambria" w:eastAsia="Times New Roman" w:hAnsi="Cambria"/>
      <w:color w:val="365F91"/>
      <w:kern w:val="0"/>
      <w:sz w:val="28"/>
      <w:szCs w:val="28"/>
      <w:lang w:val="en-US" w:eastAsia="en-US"/>
    </w:rPr>
  </w:style>
  <w:style w:type="paragraph" w:styleId="TOC1">
    <w:name w:val="toc 1"/>
    <w:basedOn w:val="Normal"/>
    <w:next w:val="Normal"/>
    <w:autoRedefine/>
    <w:uiPriority w:val="39"/>
    <w:unhideWhenUsed/>
    <w:rsid w:val="00384F26"/>
  </w:style>
  <w:style w:type="paragraph" w:styleId="TOC3">
    <w:name w:val="toc 3"/>
    <w:basedOn w:val="Normal"/>
    <w:next w:val="Normal"/>
    <w:autoRedefine/>
    <w:uiPriority w:val="39"/>
    <w:unhideWhenUsed/>
    <w:rsid w:val="00384F26"/>
    <w:pPr>
      <w:ind w:left="480"/>
    </w:pPr>
  </w:style>
  <w:style w:type="character" w:styleId="Hyperlink">
    <w:name w:val="Hyperlink"/>
    <w:basedOn w:val="DefaultParagraphFont"/>
    <w:uiPriority w:val="99"/>
    <w:unhideWhenUsed/>
    <w:rsid w:val="00384F26"/>
    <w:rPr>
      <w:color w:val="0000FF"/>
      <w:u w:val="single"/>
    </w:rPr>
  </w:style>
  <w:style w:type="character" w:customStyle="1" w:styleId="Heading2Char">
    <w:name w:val="Heading 2 Char"/>
    <w:basedOn w:val="DefaultParagraphFont"/>
    <w:link w:val="Heading2"/>
    <w:uiPriority w:val="9"/>
    <w:rsid w:val="00742596"/>
    <w:rPr>
      <w:rFonts w:ascii="Arial" w:eastAsia="Times New Roman" w:hAnsi="Arial" w:cs="Times New Roman"/>
      <w:b/>
      <w:bCs/>
      <w:iCs/>
      <w:color w:val="333399"/>
      <w:sz w:val="24"/>
      <w:szCs w:val="28"/>
      <w:lang w:eastAsia="zh-CN"/>
    </w:rPr>
  </w:style>
  <w:style w:type="paragraph" w:styleId="TOC2">
    <w:name w:val="toc 2"/>
    <w:basedOn w:val="Normal"/>
    <w:next w:val="Normal"/>
    <w:autoRedefine/>
    <w:uiPriority w:val="39"/>
    <w:unhideWhenUsed/>
    <w:rsid w:val="00742596"/>
    <w:pPr>
      <w:ind w:left="240"/>
    </w:pPr>
  </w:style>
  <w:style w:type="paragraph" w:styleId="CommentSubject">
    <w:name w:val="annotation subject"/>
    <w:basedOn w:val="CommentText"/>
    <w:next w:val="CommentText"/>
    <w:link w:val="CommentSubjectChar"/>
    <w:uiPriority w:val="99"/>
    <w:semiHidden/>
    <w:unhideWhenUsed/>
    <w:rsid w:val="003E48EA"/>
    <w:rPr>
      <w:b/>
      <w:bCs/>
    </w:rPr>
  </w:style>
  <w:style w:type="character" w:customStyle="1" w:styleId="CommentSubjectChar">
    <w:name w:val="Comment Subject Char"/>
    <w:basedOn w:val="CommentTextChar"/>
    <w:link w:val="CommentSubject"/>
    <w:uiPriority w:val="99"/>
    <w:semiHidden/>
    <w:rsid w:val="003E48EA"/>
    <w:rPr>
      <w:rFonts w:ascii="Calibri" w:eastAsia="SimSun" w:hAnsi="Calibri" w:cs="Times New Roman"/>
      <w:b/>
      <w:bCs/>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48"/>
    <w:pPr>
      <w:widowControl w:val="0"/>
      <w:spacing w:before="120" w:after="120"/>
      <w:jc w:val="both"/>
    </w:pPr>
    <w:rPr>
      <w:rFonts w:eastAsia="SimSun"/>
      <w:sz w:val="24"/>
      <w:szCs w:val="24"/>
      <w:lang w:eastAsia="zh-CN"/>
    </w:rPr>
  </w:style>
  <w:style w:type="paragraph" w:styleId="Heading1">
    <w:name w:val="heading 1"/>
    <w:basedOn w:val="Normal"/>
    <w:next w:val="Normal"/>
    <w:link w:val="Heading1Char"/>
    <w:qFormat/>
    <w:rsid w:val="006C431B"/>
    <w:pPr>
      <w:keepNext/>
      <w:spacing w:before="240" w:after="60"/>
      <w:outlineLvl w:val="0"/>
    </w:pPr>
    <w:rPr>
      <w:b/>
      <w:bCs/>
      <w:color w:val="333399"/>
      <w:kern w:val="32"/>
      <w:sz w:val="32"/>
      <w:szCs w:val="32"/>
    </w:rPr>
  </w:style>
  <w:style w:type="paragraph" w:styleId="Heading2">
    <w:name w:val="heading 2"/>
    <w:basedOn w:val="Normal"/>
    <w:next w:val="Normal"/>
    <w:link w:val="Heading2Char"/>
    <w:uiPriority w:val="9"/>
    <w:unhideWhenUsed/>
    <w:qFormat/>
    <w:rsid w:val="00742596"/>
    <w:pPr>
      <w:keepNext/>
      <w:spacing w:before="240" w:after="60"/>
      <w:outlineLvl w:val="1"/>
    </w:pPr>
    <w:rPr>
      <w:rFonts w:ascii="Arial" w:eastAsia="Times New Roman" w:hAnsi="Arial"/>
      <w:b/>
      <w:bCs/>
      <w:iCs/>
      <w:color w:val="333399"/>
      <w:szCs w:val="28"/>
    </w:rPr>
  </w:style>
  <w:style w:type="paragraph" w:styleId="Heading3">
    <w:name w:val="heading 3"/>
    <w:basedOn w:val="Normal"/>
    <w:next w:val="Normal"/>
    <w:link w:val="Heading3Char"/>
    <w:qFormat/>
    <w:rsid w:val="00846D48"/>
    <w:pPr>
      <w:keepNext/>
      <w:outlineLvl w:val="2"/>
    </w:pPr>
    <w:rPr>
      <w:rFonts w:ascii="Arial" w:hAnsi="Arial"/>
      <w:b/>
      <w:bCs/>
      <w:color w:val="33339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431B"/>
    <w:rPr>
      <w:rFonts w:eastAsia="SimSun"/>
      <w:b/>
      <w:bCs/>
      <w:color w:val="333399"/>
      <w:kern w:val="32"/>
      <w:sz w:val="32"/>
      <w:szCs w:val="32"/>
      <w:lang w:eastAsia="zh-CN"/>
    </w:rPr>
  </w:style>
  <w:style w:type="character" w:customStyle="1" w:styleId="Heading3Char">
    <w:name w:val="Heading 3 Char"/>
    <w:link w:val="Heading3"/>
    <w:rsid w:val="00846D48"/>
    <w:rPr>
      <w:rFonts w:ascii="Arial" w:eastAsia="SimSun" w:hAnsi="Arial" w:cs="Arial"/>
      <w:b/>
      <w:bCs/>
      <w:color w:val="333399"/>
      <w:sz w:val="24"/>
      <w:szCs w:val="26"/>
      <w:lang w:val="en-AU" w:eastAsia="zh-CN"/>
    </w:rPr>
  </w:style>
  <w:style w:type="paragraph" w:styleId="FootnoteText">
    <w:name w:val="footnote text"/>
    <w:basedOn w:val="Normal"/>
    <w:link w:val="FootnoteTextChar"/>
    <w:semiHidden/>
    <w:rsid w:val="00846D48"/>
    <w:pPr>
      <w:spacing w:before="0" w:after="0"/>
      <w:jc w:val="left"/>
    </w:pPr>
    <w:rPr>
      <w:rFonts w:ascii="Times New Roman" w:eastAsia="Times New Roman" w:hAnsi="Times New Roman"/>
      <w:sz w:val="20"/>
      <w:szCs w:val="20"/>
    </w:rPr>
  </w:style>
  <w:style w:type="character" w:customStyle="1" w:styleId="FootnoteTextChar">
    <w:name w:val="Footnote Text Char"/>
    <w:link w:val="FootnoteText"/>
    <w:semiHidden/>
    <w:rsid w:val="00846D48"/>
    <w:rPr>
      <w:rFonts w:ascii="Times New Roman" w:eastAsia="Times New Roman" w:hAnsi="Times New Roman" w:cs="Times New Roman"/>
      <w:sz w:val="20"/>
      <w:szCs w:val="20"/>
    </w:rPr>
  </w:style>
  <w:style w:type="character" w:styleId="FootnoteReference">
    <w:name w:val="footnote reference"/>
    <w:semiHidden/>
    <w:rsid w:val="00846D48"/>
    <w:rPr>
      <w:vertAlign w:val="superscript"/>
    </w:rPr>
  </w:style>
  <w:style w:type="character" w:styleId="CommentReference">
    <w:name w:val="annotation reference"/>
    <w:semiHidden/>
    <w:rsid w:val="00846D48"/>
    <w:rPr>
      <w:sz w:val="16"/>
      <w:szCs w:val="16"/>
    </w:rPr>
  </w:style>
  <w:style w:type="paragraph" w:styleId="CommentText">
    <w:name w:val="annotation text"/>
    <w:basedOn w:val="Normal"/>
    <w:link w:val="CommentTextChar"/>
    <w:semiHidden/>
    <w:rsid w:val="00846D48"/>
    <w:rPr>
      <w:sz w:val="20"/>
      <w:szCs w:val="20"/>
    </w:rPr>
  </w:style>
  <w:style w:type="character" w:customStyle="1" w:styleId="CommentTextChar">
    <w:name w:val="Comment Text Char"/>
    <w:link w:val="CommentText"/>
    <w:semiHidden/>
    <w:rsid w:val="00846D48"/>
    <w:rPr>
      <w:rFonts w:ascii="Calibri" w:eastAsia="SimSun" w:hAnsi="Calibri" w:cs="Times New Roman"/>
      <w:sz w:val="20"/>
      <w:szCs w:val="20"/>
      <w:lang w:val="en-AU" w:eastAsia="zh-CN"/>
    </w:rPr>
  </w:style>
  <w:style w:type="paragraph" w:styleId="BalloonText">
    <w:name w:val="Balloon Text"/>
    <w:basedOn w:val="Normal"/>
    <w:link w:val="BalloonTextChar"/>
    <w:uiPriority w:val="99"/>
    <w:semiHidden/>
    <w:unhideWhenUsed/>
    <w:rsid w:val="00846D48"/>
    <w:pPr>
      <w:spacing w:before="0" w:after="0"/>
    </w:pPr>
    <w:rPr>
      <w:rFonts w:ascii="Tahoma" w:hAnsi="Tahoma"/>
      <w:sz w:val="16"/>
      <w:szCs w:val="16"/>
    </w:rPr>
  </w:style>
  <w:style w:type="character" w:customStyle="1" w:styleId="BalloonTextChar">
    <w:name w:val="Balloon Text Char"/>
    <w:link w:val="BalloonText"/>
    <w:uiPriority w:val="99"/>
    <w:semiHidden/>
    <w:rsid w:val="00846D48"/>
    <w:rPr>
      <w:rFonts w:ascii="Tahoma" w:eastAsia="SimSun" w:hAnsi="Tahoma" w:cs="Tahoma"/>
      <w:sz w:val="16"/>
      <w:szCs w:val="16"/>
      <w:lang w:val="en-AU" w:eastAsia="zh-CN"/>
    </w:rPr>
  </w:style>
  <w:style w:type="paragraph" w:customStyle="1" w:styleId="ColorfulList-Accent11">
    <w:name w:val="Colorful List - Accent 11"/>
    <w:basedOn w:val="Normal"/>
    <w:uiPriority w:val="34"/>
    <w:qFormat/>
    <w:rsid w:val="00A94481"/>
    <w:pPr>
      <w:ind w:left="720"/>
      <w:contextualSpacing/>
    </w:pPr>
  </w:style>
  <w:style w:type="paragraph" w:styleId="Footer">
    <w:name w:val="footer"/>
    <w:basedOn w:val="Normal"/>
    <w:link w:val="FooterChar"/>
    <w:uiPriority w:val="99"/>
    <w:unhideWhenUsed/>
    <w:rsid w:val="00D577C0"/>
    <w:pPr>
      <w:tabs>
        <w:tab w:val="center" w:pos="4320"/>
        <w:tab w:val="right" w:pos="8640"/>
      </w:tabs>
    </w:pPr>
  </w:style>
  <w:style w:type="character" w:customStyle="1" w:styleId="FooterChar">
    <w:name w:val="Footer Char"/>
    <w:link w:val="Footer"/>
    <w:uiPriority w:val="99"/>
    <w:rsid w:val="00D577C0"/>
    <w:rPr>
      <w:rFonts w:eastAsia="SimSun"/>
      <w:sz w:val="24"/>
      <w:szCs w:val="24"/>
      <w:lang w:val="en-AU" w:eastAsia="zh-CN"/>
    </w:rPr>
  </w:style>
  <w:style w:type="character" w:styleId="PageNumber">
    <w:name w:val="page number"/>
    <w:uiPriority w:val="99"/>
    <w:semiHidden/>
    <w:unhideWhenUsed/>
    <w:rsid w:val="00D577C0"/>
  </w:style>
  <w:style w:type="paragraph" w:styleId="Header">
    <w:name w:val="header"/>
    <w:basedOn w:val="Normal"/>
    <w:link w:val="HeaderChar"/>
    <w:uiPriority w:val="99"/>
    <w:unhideWhenUsed/>
    <w:rsid w:val="00123204"/>
    <w:pPr>
      <w:tabs>
        <w:tab w:val="center" w:pos="4513"/>
        <w:tab w:val="right" w:pos="9026"/>
      </w:tabs>
    </w:pPr>
  </w:style>
  <w:style w:type="character" w:customStyle="1" w:styleId="HeaderChar">
    <w:name w:val="Header Char"/>
    <w:basedOn w:val="DefaultParagraphFont"/>
    <w:link w:val="Header"/>
    <w:uiPriority w:val="99"/>
    <w:rsid w:val="00123204"/>
    <w:rPr>
      <w:rFonts w:eastAsia="SimSun"/>
      <w:sz w:val="24"/>
      <w:szCs w:val="24"/>
      <w:lang w:eastAsia="zh-CN"/>
    </w:rPr>
  </w:style>
  <w:style w:type="paragraph" w:styleId="TOCHeading">
    <w:name w:val="TOC Heading"/>
    <w:basedOn w:val="Heading1"/>
    <w:next w:val="Normal"/>
    <w:uiPriority w:val="39"/>
    <w:semiHidden/>
    <w:unhideWhenUsed/>
    <w:qFormat/>
    <w:rsid w:val="00384F26"/>
    <w:pPr>
      <w:keepLines/>
      <w:widowControl/>
      <w:spacing w:before="480" w:after="0" w:line="276" w:lineRule="auto"/>
      <w:jc w:val="left"/>
      <w:outlineLvl w:val="9"/>
    </w:pPr>
    <w:rPr>
      <w:rFonts w:ascii="Cambria" w:eastAsia="Times New Roman" w:hAnsi="Cambria"/>
      <w:color w:val="365F91"/>
      <w:kern w:val="0"/>
      <w:sz w:val="28"/>
      <w:szCs w:val="28"/>
      <w:lang w:val="en-US" w:eastAsia="en-US"/>
    </w:rPr>
  </w:style>
  <w:style w:type="paragraph" w:styleId="TOC1">
    <w:name w:val="toc 1"/>
    <w:basedOn w:val="Normal"/>
    <w:next w:val="Normal"/>
    <w:autoRedefine/>
    <w:uiPriority w:val="39"/>
    <w:unhideWhenUsed/>
    <w:rsid w:val="00384F26"/>
  </w:style>
  <w:style w:type="paragraph" w:styleId="TOC3">
    <w:name w:val="toc 3"/>
    <w:basedOn w:val="Normal"/>
    <w:next w:val="Normal"/>
    <w:autoRedefine/>
    <w:uiPriority w:val="39"/>
    <w:unhideWhenUsed/>
    <w:rsid w:val="00384F26"/>
    <w:pPr>
      <w:ind w:left="480"/>
    </w:pPr>
  </w:style>
  <w:style w:type="character" w:styleId="Hyperlink">
    <w:name w:val="Hyperlink"/>
    <w:basedOn w:val="DefaultParagraphFont"/>
    <w:uiPriority w:val="99"/>
    <w:unhideWhenUsed/>
    <w:rsid w:val="00384F26"/>
    <w:rPr>
      <w:color w:val="0000FF"/>
      <w:u w:val="single"/>
    </w:rPr>
  </w:style>
  <w:style w:type="character" w:customStyle="1" w:styleId="Heading2Char">
    <w:name w:val="Heading 2 Char"/>
    <w:basedOn w:val="DefaultParagraphFont"/>
    <w:link w:val="Heading2"/>
    <w:uiPriority w:val="9"/>
    <w:rsid w:val="00742596"/>
    <w:rPr>
      <w:rFonts w:ascii="Arial" w:eastAsia="Times New Roman" w:hAnsi="Arial" w:cs="Times New Roman"/>
      <w:b/>
      <w:bCs/>
      <w:iCs/>
      <w:color w:val="333399"/>
      <w:sz w:val="24"/>
      <w:szCs w:val="28"/>
      <w:lang w:eastAsia="zh-CN"/>
    </w:rPr>
  </w:style>
  <w:style w:type="paragraph" w:styleId="TOC2">
    <w:name w:val="toc 2"/>
    <w:basedOn w:val="Normal"/>
    <w:next w:val="Normal"/>
    <w:autoRedefine/>
    <w:uiPriority w:val="39"/>
    <w:unhideWhenUsed/>
    <w:rsid w:val="00742596"/>
    <w:pPr>
      <w:ind w:left="240"/>
    </w:pPr>
  </w:style>
  <w:style w:type="paragraph" w:styleId="CommentSubject">
    <w:name w:val="annotation subject"/>
    <w:basedOn w:val="CommentText"/>
    <w:next w:val="CommentText"/>
    <w:link w:val="CommentSubjectChar"/>
    <w:uiPriority w:val="99"/>
    <w:semiHidden/>
    <w:unhideWhenUsed/>
    <w:rsid w:val="003E48EA"/>
    <w:rPr>
      <w:b/>
      <w:bCs/>
    </w:rPr>
  </w:style>
  <w:style w:type="character" w:customStyle="1" w:styleId="CommentSubjectChar">
    <w:name w:val="Comment Subject Char"/>
    <w:basedOn w:val="CommentTextChar"/>
    <w:link w:val="CommentSubject"/>
    <w:uiPriority w:val="99"/>
    <w:semiHidden/>
    <w:rsid w:val="003E48EA"/>
    <w:rPr>
      <w:rFonts w:ascii="Calibri" w:eastAsia="SimSun" w:hAnsi="Calibri" w:cs="Times New Roman"/>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732585">
      <w:bodyDiv w:val="1"/>
      <w:marLeft w:val="0"/>
      <w:marRight w:val="0"/>
      <w:marTop w:val="0"/>
      <w:marBottom w:val="0"/>
      <w:divBdr>
        <w:top w:val="none" w:sz="0" w:space="0" w:color="auto"/>
        <w:left w:val="none" w:sz="0" w:space="0" w:color="auto"/>
        <w:bottom w:val="none" w:sz="0" w:space="0" w:color="auto"/>
        <w:right w:val="none" w:sz="0" w:space="0" w:color="auto"/>
      </w:divBdr>
    </w:div>
    <w:div w:id="16540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gi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E7339B-1EED-40DF-B52B-BE01E18259C0}"/>
</file>

<file path=customXml/itemProps2.xml><?xml version="1.0" encoding="utf-8"?>
<ds:datastoreItem xmlns:ds="http://schemas.openxmlformats.org/officeDocument/2006/customXml" ds:itemID="{722BCD13-CD2C-4945-BD1A-9267AA4CF8F3}"/>
</file>

<file path=customXml/itemProps3.xml><?xml version="1.0" encoding="utf-8"?>
<ds:datastoreItem xmlns:ds="http://schemas.openxmlformats.org/officeDocument/2006/customXml" ds:itemID="{8531E6CD-B753-46B8-8860-675C591E31E1}"/>
</file>

<file path=customXml/itemProps4.xml><?xml version="1.0" encoding="utf-8"?>
<ds:datastoreItem xmlns:ds="http://schemas.openxmlformats.org/officeDocument/2006/customXml" ds:itemID="{602E1383-9F40-410F-A34F-F99E08D2C14E}"/>
</file>

<file path=docProps/app.xml><?xml version="1.0" encoding="utf-8"?>
<Properties xmlns="http://schemas.openxmlformats.org/officeDocument/2006/extended-properties" xmlns:vt="http://schemas.openxmlformats.org/officeDocument/2006/docPropsVTypes">
  <Template>Normal.dotm</Template>
  <TotalTime>0</TotalTime>
  <Pages>15</Pages>
  <Words>4323</Words>
  <Characters>26158</Characters>
  <Application>Microsoft Office Word</Application>
  <DocSecurity>0</DocSecurity>
  <Lines>435</Lines>
  <Paragraphs>147</Paragraphs>
  <ScaleCrop>false</ScaleCrop>
  <Company/>
  <LinksUpToDate>false</LinksUpToDate>
  <CharactersWithSpaces>30334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2013-01-14T04:24:00Z</dcterms:created>
  <dcterms:modified xsi:type="dcterms:W3CDTF">2013-01-14T04:25:00Z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