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4B93C6" w14:textId="672ACB57" w:rsidR="00C03142" w:rsidRDefault="00A37D12" w:rsidP="004C20C7">
      <w:bookmarkStart w:id="0" w:name="_GoBack"/>
      <w:bookmarkEnd w:id="0"/>
      <w:r w:rsidRPr="00A37D12">
        <w:rPr>
          <w:noProof/>
          <w:lang w:val="en-GB" w:eastAsia="en-GB"/>
        </w:rPr>
        <w:drawing>
          <wp:inline distT="0" distB="0" distL="0" distR="0" wp14:anchorId="6FC7B45A" wp14:editId="4FDCE67A">
            <wp:extent cx="6629400" cy="4951283"/>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 Team on the job.jpg"/>
                    <pic:cNvPicPr/>
                  </pic:nvPicPr>
                  <pic:blipFill>
                    <a:blip r:embed="rId8">
                      <a:extLst>
                        <a:ext uri="{28A0092B-C50C-407E-A947-70E740481C1C}">
                          <a14:useLocalDpi xmlns:a14="http://schemas.microsoft.com/office/drawing/2010/main" val="0"/>
                        </a:ext>
                      </a:extLst>
                    </a:blip>
                    <a:stretch>
                      <a:fillRect/>
                    </a:stretch>
                  </pic:blipFill>
                  <pic:spPr>
                    <a:xfrm>
                      <a:off x="0" y="0"/>
                      <a:ext cx="6630120" cy="4951821"/>
                    </a:xfrm>
                    <a:prstGeom prst="rect">
                      <a:avLst/>
                    </a:prstGeom>
                  </pic:spPr>
                </pic:pic>
              </a:graphicData>
            </a:graphic>
          </wp:inline>
        </w:drawing>
      </w:r>
    </w:p>
    <w:p w14:paraId="0F8933E0" w14:textId="77777777" w:rsidR="00920DFD" w:rsidRDefault="00920DFD" w:rsidP="00920DFD">
      <w:pPr>
        <w:pStyle w:val="Title"/>
      </w:pPr>
    </w:p>
    <w:p w14:paraId="4464F3B9" w14:textId="58101838" w:rsidR="00B97687" w:rsidRPr="00804ED7" w:rsidRDefault="00920DFD" w:rsidP="004C20C7">
      <w:pPr>
        <w:pStyle w:val="Title"/>
        <w:rPr>
          <w:b w:val="0"/>
          <w:sz w:val="72"/>
        </w:rPr>
      </w:pPr>
      <w:r w:rsidRPr="00804ED7">
        <w:rPr>
          <w:b w:val="0"/>
          <w:sz w:val="72"/>
        </w:rPr>
        <w:t>Annual Program Monitoring and Evaluation Report</w:t>
      </w:r>
      <w:r w:rsidR="004C20C7" w:rsidRPr="00804ED7">
        <w:rPr>
          <w:b w:val="0"/>
          <w:sz w:val="72"/>
        </w:rPr>
        <w:t xml:space="preserve"> 2014</w:t>
      </w:r>
      <w:r w:rsidRPr="00804ED7">
        <w:rPr>
          <w:b w:val="0"/>
          <w:sz w:val="72"/>
        </w:rPr>
        <w:t xml:space="preserve"> </w:t>
      </w:r>
    </w:p>
    <w:p w14:paraId="4D541F95" w14:textId="7DB437BB" w:rsidR="00920DFD" w:rsidRDefault="00D857A2" w:rsidP="0083515F">
      <w:pPr>
        <w:jc w:val="right"/>
      </w:pPr>
      <w:r w:rsidRPr="00FF1210">
        <w:rPr>
          <w:noProof/>
          <w:lang w:val="en-GB" w:eastAsia="en-GB"/>
        </w:rPr>
        <w:drawing>
          <wp:anchor distT="0" distB="0" distL="114300" distR="114300" simplePos="0" relativeHeight="251668992" behindDoc="1" locked="1" layoutInCell="1" allowOverlap="1" wp14:anchorId="0ACF070A" wp14:editId="664566AF">
            <wp:simplePos x="0" y="0"/>
            <wp:positionH relativeFrom="column">
              <wp:posOffset>0</wp:posOffset>
            </wp:positionH>
            <wp:positionV relativeFrom="paragraph">
              <wp:posOffset>540385</wp:posOffset>
            </wp:positionV>
            <wp:extent cx="6629400" cy="1232535"/>
            <wp:effectExtent l="0" t="0" r="0" b="12065"/>
            <wp:wrapNone/>
            <wp:docPr id="25" name="Picture 0" descr="AAID009 Letterhead Vanua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ID009 Letterhead Vanualava.jpg"/>
                    <pic:cNvPicPr/>
                  </pic:nvPicPr>
                  <pic:blipFill>
                    <a:blip r:embed="rId9" cstate="print"/>
                    <a:srcRect l="634" t="180" b="86797"/>
                    <a:stretch>
                      <a:fillRect/>
                    </a:stretch>
                  </pic:blipFill>
                  <pic:spPr>
                    <a:xfrm>
                      <a:off x="0" y="0"/>
                      <a:ext cx="6629400" cy="1232535"/>
                    </a:xfrm>
                    <a:prstGeom prst="rect">
                      <a:avLst/>
                    </a:prstGeom>
                  </pic:spPr>
                </pic:pic>
              </a:graphicData>
            </a:graphic>
            <wp14:sizeRelH relativeFrom="margin">
              <wp14:pctWidth>0</wp14:pctWidth>
            </wp14:sizeRelH>
            <wp14:sizeRelV relativeFrom="margin">
              <wp14:pctHeight>0</wp14:pctHeight>
            </wp14:sizeRelV>
          </wp:anchor>
        </w:drawing>
      </w:r>
      <w:r w:rsidR="0083515F">
        <w:t>February 2015</w:t>
      </w:r>
    </w:p>
    <w:p w14:paraId="07DFAD2F" w14:textId="77777777" w:rsidR="00920DFD" w:rsidRDefault="00920DFD" w:rsidP="00804ED7">
      <w:pPr>
        <w:rPr>
          <w:noProof/>
        </w:rPr>
      </w:pPr>
    </w:p>
    <w:p w14:paraId="76BE4F59" w14:textId="77777777" w:rsidR="00D857A2" w:rsidRDefault="00D857A2" w:rsidP="008C51B8"/>
    <w:p w14:paraId="7DF6FB12" w14:textId="77777777" w:rsidR="00D857A2" w:rsidRDefault="00D857A2" w:rsidP="008C51B8"/>
    <w:p w14:paraId="070AD78E" w14:textId="77777777" w:rsidR="00D857A2" w:rsidRDefault="00D857A2" w:rsidP="008C51B8"/>
    <w:p w14:paraId="7365AFCB" w14:textId="77777777" w:rsidR="00D857A2" w:rsidRDefault="00D857A2" w:rsidP="008C51B8"/>
    <w:p w14:paraId="4491D147" w14:textId="77777777" w:rsidR="00E654B6" w:rsidRDefault="00E654B6" w:rsidP="008C51B8">
      <w:pPr>
        <w:sectPr w:rsidR="00E654B6" w:rsidSect="00B97687">
          <w:headerReference w:type="default" r:id="rId10"/>
          <w:footerReference w:type="even" r:id="rId11"/>
          <w:footerReference w:type="default" r:id="rId12"/>
          <w:headerReference w:type="first" r:id="rId13"/>
          <w:pgSz w:w="11900" w:h="16840"/>
          <w:pgMar w:top="720" w:right="720" w:bottom="720" w:left="720" w:header="708" w:footer="708" w:gutter="0"/>
          <w:cols w:space="708"/>
          <w:docGrid w:linePitch="360"/>
        </w:sectPr>
      </w:pPr>
    </w:p>
    <w:p w14:paraId="291657FA" w14:textId="069D6FDF" w:rsidR="00E654B6" w:rsidRDefault="00E654B6" w:rsidP="008C51B8"/>
    <w:p w14:paraId="25645DA9" w14:textId="77777777" w:rsidR="00FA0E50" w:rsidRDefault="00FA0E50" w:rsidP="008C51B8"/>
    <w:p w14:paraId="619E3428" w14:textId="77777777" w:rsidR="00FA0E50" w:rsidRDefault="00FA0E50" w:rsidP="008C51B8"/>
    <w:p w14:paraId="0D43D985" w14:textId="77777777" w:rsidR="00FA0E50" w:rsidRDefault="00FA0E50" w:rsidP="008C51B8"/>
    <w:p w14:paraId="7EFC87DF" w14:textId="26B847BB" w:rsidR="00FA0E50" w:rsidRDefault="00FA0E50" w:rsidP="008C51B8">
      <w:r>
        <w:rPr>
          <w:noProof/>
          <w:lang w:val="en-GB" w:eastAsia="en-GB"/>
        </w:rPr>
        <mc:AlternateContent>
          <mc:Choice Requires="wps">
            <w:drawing>
              <wp:anchor distT="0" distB="0" distL="114300" distR="114300" simplePos="0" relativeHeight="251676160" behindDoc="0" locked="0" layoutInCell="1" allowOverlap="1" wp14:anchorId="367B70F4" wp14:editId="3B1AB8FA">
                <wp:simplePos x="0" y="0"/>
                <wp:positionH relativeFrom="column">
                  <wp:posOffset>457200</wp:posOffset>
                </wp:positionH>
                <wp:positionV relativeFrom="paragraph">
                  <wp:posOffset>38100</wp:posOffset>
                </wp:positionV>
                <wp:extent cx="4800600" cy="4914900"/>
                <wp:effectExtent l="25400" t="25400" r="25400" b="38100"/>
                <wp:wrapSquare wrapText="bothSides"/>
                <wp:docPr id="1" name="Text Box 1"/>
                <wp:cNvGraphicFramePr/>
                <a:graphic xmlns:a="http://schemas.openxmlformats.org/drawingml/2006/main">
                  <a:graphicData uri="http://schemas.microsoft.com/office/word/2010/wordprocessingShape">
                    <wps:wsp>
                      <wps:cNvSpPr txBox="1"/>
                      <wps:spPr>
                        <a:xfrm>
                          <a:off x="0" y="0"/>
                          <a:ext cx="4800600" cy="4914900"/>
                        </a:xfrm>
                        <a:prstGeom prst="rect">
                          <a:avLst/>
                        </a:prstGeom>
                        <a:noFill/>
                        <a:ln w="38100" cmpd="sng">
                          <a:solidFill>
                            <a:schemeClr val="accent6">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3727C4" w14:textId="77777777" w:rsidR="00564169" w:rsidRDefault="00564169" w:rsidP="00FA0E50">
                            <w:pPr>
                              <w:rPr>
                                <w:sz w:val="28"/>
                                <w:szCs w:val="28"/>
                              </w:rPr>
                            </w:pPr>
                          </w:p>
                          <w:p w14:paraId="32246FD8" w14:textId="77777777" w:rsidR="00564169" w:rsidRPr="00FA0E50" w:rsidRDefault="00564169" w:rsidP="00FA0E50">
                            <w:pPr>
                              <w:rPr>
                                <w:sz w:val="28"/>
                                <w:szCs w:val="28"/>
                              </w:rPr>
                            </w:pPr>
                            <w:r w:rsidRPr="00FA0E50">
                              <w:rPr>
                                <w:sz w:val="28"/>
                                <w:szCs w:val="28"/>
                              </w:rPr>
                              <w:t>“With the successful results produced by TVET Sector Strengthening Program in MALAMPA and SANMA, and its recent establishment of a third TVET Centre in TORBA, I am convinced that the model of provincial TVET Centres must be supported by my Government and replicated to other provinces so that whole of Vanuatu can benefit.</w:t>
                            </w:r>
                          </w:p>
                          <w:p w14:paraId="3AE37B59" w14:textId="4C8C0DA8" w:rsidR="00564169" w:rsidRPr="00FA0E50" w:rsidRDefault="00564169" w:rsidP="00FA0E50">
                            <w:pPr>
                              <w:rPr>
                                <w:sz w:val="28"/>
                                <w:szCs w:val="28"/>
                              </w:rPr>
                            </w:pPr>
                            <w:r>
                              <w:rPr>
                                <w:sz w:val="28"/>
                                <w:szCs w:val="28"/>
                              </w:rPr>
                              <w:t>“</w:t>
                            </w:r>
                            <w:r w:rsidRPr="00FA0E50">
                              <w:rPr>
                                <w:sz w:val="28"/>
                                <w:szCs w:val="28"/>
                              </w:rPr>
                              <w:t>Today marks a new chapter in the development of the TVET sector in Vanuatu to ensure that our people have access to quality skills training that leads to economic growth outcomes - whether they are working in the formal economy or informal economy, whether they are living in urban areas or rural areas, whether they are a man or a woman, whether they are able-bodied or disabled. The TVET Centre network that has been established in Vanuatu is now a model of best practice for the rest of the Pacific and my Government is extremely pleased to pledge its financial and systemic support to ensure that our TVET system, in a true relationship of partnership with the Australian Government, will be sustained for the long-term.”</w:t>
                            </w:r>
                          </w:p>
                          <w:p w14:paraId="4E75B478" w14:textId="3902F210" w:rsidR="00564169" w:rsidRPr="00FA0E50" w:rsidRDefault="00564169" w:rsidP="00FA0E50">
                            <w:r w:rsidRPr="00FA0E50">
                              <w:t xml:space="preserve">(The Hon. Joe Natuman, Prime Minister of Vanuatu, July 2014)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36pt;margin-top:3pt;width:378pt;height:387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t1svgCAAB0BgAADgAAAGRycy9lMm9Eb2MueG1srFVtb9MwEP6OxH+w8r1LUtKtrdZOoVMR0tgm&#10;NrTPruO0EX7DdtcMxH/nsdM3BkgM8SU9353Pd889dz2/aKUgj9y6RqtJkp9kCeGK6apRy0ny6X7e&#10;GybEeaoqKrTik+SJu+Ri+vrV+caMeV+vtKi4JQii3HhjJsnKezNOU8dWXFJ3og1XMNbaSupxtMu0&#10;snSD6FKk/Sw7TTfaVsZqxp2D9rIzJtMYv6458zd17bgnYpIgNx+/Nn4X4ZtOz+l4aalZNWybBv2H&#10;LCRtFB7dh7qknpK1bX4JJRtmtdO1P2FaprquG8ZjDagmz55Vc7eihsdaAI4ze5jc/wvLrh9vLWkq&#10;9C4hikq06J63nrzVLckDOhvjxnC6M3DzLdTBc6t3UIai29rK8ItyCOzA+WmPbQjGoCyG6FYGE4Ot&#10;GOXFCAfESQ/XjXX+HdeSBGGSWDQvYkofr5zvXHcu4TWl540Q0NOxUGQzSd4M8/iANCjHqWW87LRo&#10;quAY/CKt+ExY8khBCMoYV/40+om1/KCrTn82yPbJ7a/EVI+iIXGhQlAeadaliFPrIUY9Ko8U+DYb&#10;nPXLs8God1oO8l6RZ8NeWWb93uW8zMqsmM9GxdvvyELSvBhvQEYDKoc2AO65oMtt44P57zovKftp&#10;TvI8jQztQETgWMwu1TT0uOtllPyT4B2qH3kNbsSW/hG+yIYIBryDVw2wX3Jx6x8hi1C+5HIH/u5l&#10;rfz+smyUth0FwjI5dL36vEu57vwBxlHdQfTtogVWQVzo6gnUtxqMBHudYfMG9Lyizt9Si10BJfaf&#10;v8GnFho01FspISttv/5OH/zRSFgTEtoNtn5ZU8sTIt4rDDemo0BYHw8FyIODPbYsji1qLWcabMYA&#10;I7soBn8vdmJttXzAmizDqzBRxfD2JPE7cea7jYg1y3hZRiesJ0P9lbozLIQO3QnDd98+UGu2E+rB&#10;oGu921J0/GxQO99wU+ly7XXdxCk+oLoFHqst8nG7hsPuPD5Hr8OfxfQHAAAA//8DAFBLAwQUAAYA&#10;CAAAACEAIs+Fv9wAAAAIAQAADwAAAGRycy9kb3ducmV2LnhtbEyPP0/DMBDFdyS+g3VIbNQmqtIo&#10;xKmqQsXCQsvC5sZHHBGfo9hp0m/PMcF0f97p3e9V28X34oJj7AJpeFwpEEhNsB21Gj5Oh4cCREyG&#10;rOkDoYYrRtjWtzeVKW2Y6R0vx9QKNqFYGg0upaGUMjYOvYmrMCCx9hVGbxKPYyvtaGY2973MlMql&#10;Nx3xB2cG3Dtsvo+T17B+xtfddKLP3M1vL7Te7OUhu2p9f7fsnkAkXNLfMfziMzrUzHQOE9koeg2b&#10;jKMkDTkXlous4ObM+0IpkHUl/weofwAAAP//AwBQSwECLQAUAAYACAAAACEA5JnDwPsAAADhAQAA&#10;EwAAAAAAAAAAAAAAAAAAAAAAW0NvbnRlbnRfVHlwZXNdLnhtbFBLAQItABQABgAIAAAAIQAjsmrh&#10;1wAAAJQBAAALAAAAAAAAAAAAAAAAACwBAABfcmVscy8ucmVsc1BLAQItABQABgAIAAAAIQCh63Wy&#10;+AIAAHQGAAAOAAAAAAAAAAAAAAAAACwCAABkcnMvZTJvRG9jLnhtbFBLAQItABQABgAIAAAAIQAi&#10;z4W/3AAAAAgBAAAPAAAAAAAAAAAAAAAAAFAFAABkcnMvZG93bnJldi54bWxQSwUGAAAAAAQABADz&#10;AAAAWQYAAAAA&#10;" filled="f" strokecolor="#e36c0a [2409]" strokeweight="3pt">
                <v:textbox>
                  <w:txbxContent>
                    <w:p w14:paraId="0B3727C4" w14:textId="77777777" w:rsidR="00564169" w:rsidRDefault="00564169" w:rsidP="00FA0E50">
                      <w:pPr>
                        <w:rPr>
                          <w:sz w:val="28"/>
                          <w:szCs w:val="28"/>
                        </w:rPr>
                      </w:pPr>
                    </w:p>
                    <w:p w14:paraId="32246FD8" w14:textId="77777777" w:rsidR="00564169" w:rsidRPr="00FA0E50" w:rsidRDefault="00564169" w:rsidP="00FA0E50">
                      <w:pPr>
                        <w:rPr>
                          <w:sz w:val="28"/>
                          <w:szCs w:val="28"/>
                        </w:rPr>
                      </w:pPr>
                      <w:r w:rsidRPr="00FA0E50">
                        <w:rPr>
                          <w:sz w:val="28"/>
                          <w:szCs w:val="28"/>
                        </w:rPr>
                        <w:t>“With the successful results produced by TVET Sector Strengthening Program in MALAMPA and SANMA, and its recent establishment of a third TVET Centre in TORBA, I am convinced that the model of provincial TVET Centres must be supported by my Government and replicated to other provinces so that whole of Vanuatu can benefit.</w:t>
                      </w:r>
                    </w:p>
                    <w:p w14:paraId="3AE37B59" w14:textId="4C8C0DA8" w:rsidR="00564169" w:rsidRPr="00FA0E50" w:rsidRDefault="00564169" w:rsidP="00FA0E50">
                      <w:pPr>
                        <w:rPr>
                          <w:sz w:val="28"/>
                          <w:szCs w:val="28"/>
                        </w:rPr>
                      </w:pPr>
                      <w:r>
                        <w:rPr>
                          <w:sz w:val="28"/>
                          <w:szCs w:val="28"/>
                        </w:rPr>
                        <w:t>“</w:t>
                      </w:r>
                      <w:r w:rsidRPr="00FA0E50">
                        <w:rPr>
                          <w:sz w:val="28"/>
                          <w:szCs w:val="28"/>
                        </w:rPr>
                        <w:t>Today marks a new chapter in the development of the TVET sector in Vanuatu to ensure that our people have access to quality skills training that leads to economic growth outcomes - whether they are working in the formal economy or informal economy, whether they are living in urban areas or rural areas, whether they are a man or a woman, whether they are able-bodied or disabled. The TVET Centre network that has been established in Vanuatu is now a model of best practice for the rest of the Pacific and my Government is extremely pleased to pledge its financial and systemic support to ensure that our TVET system, in a true relationship of partnership with the Australian Government, will be sustained for the long-term.”</w:t>
                      </w:r>
                    </w:p>
                    <w:p w14:paraId="4E75B478" w14:textId="3902F210" w:rsidR="00564169" w:rsidRPr="00FA0E50" w:rsidRDefault="00564169" w:rsidP="00FA0E50">
                      <w:r w:rsidRPr="00FA0E50">
                        <w:t xml:space="preserve">(The Hon. Joe </w:t>
                      </w:r>
                      <w:proofErr w:type="spellStart"/>
                      <w:r w:rsidRPr="00FA0E50">
                        <w:t>Natuman</w:t>
                      </w:r>
                      <w:proofErr w:type="spellEnd"/>
                      <w:r w:rsidRPr="00FA0E50">
                        <w:t xml:space="preserve">, Prime Minister of Vanuatu, July 2014) </w:t>
                      </w:r>
                    </w:p>
                  </w:txbxContent>
                </v:textbox>
                <w10:wrap type="square"/>
              </v:shape>
            </w:pict>
          </mc:Fallback>
        </mc:AlternateContent>
      </w:r>
    </w:p>
    <w:p w14:paraId="1669D186" w14:textId="77777777" w:rsidR="00FA0E50" w:rsidRDefault="00FA0E50" w:rsidP="008C51B8"/>
    <w:p w14:paraId="648F1ED1" w14:textId="6176D438" w:rsidR="00FA0E50" w:rsidRDefault="00FA0E50">
      <w:pPr>
        <w:suppressAutoHyphens w:val="0"/>
        <w:spacing w:before="0" w:after="0"/>
        <w:rPr>
          <w:rFonts w:ascii="Calibri" w:eastAsia="MS Gothic" w:hAnsi="Calibri"/>
          <w:bCs/>
          <w:i/>
          <w:color w:val="FF6600"/>
          <w:sz w:val="22"/>
          <w:szCs w:val="20"/>
        </w:rPr>
      </w:pPr>
      <w:r>
        <w:br w:type="page"/>
      </w:r>
    </w:p>
    <w:p w14:paraId="5939DAB9" w14:textId="0200677F" w:rsidR="00C03142" w:rsidRDefault="00C03142" w:rsidP="00C03142">
      <w:pPr>
        <w:pStyle w:val="Heading3"/>
      </w:pPr>
      <w:r>
        <w:lastRenderedPageBreak/>
        <w:t xml:space="preserve">Table of Contents </w:t>
      </w:r>
    </w:p>
    <w:p w14:paraId="6B441D9A" w14:textId="77777777" w:rsidR="00093198" w:rsidRPr="00093198" w:rsidRDefault="00093198" w:rsidP="00093198"/>
    <w:p w14:paraId="21DD6245" w14:textId="77777777" w:rsidR="009C0CF5" w:rsidRDefault="00C03142">
      <w:pPr>
        <w:pStyle w:val="TOC1"/>
        <w:tabs>
          <w:tab w:val="right" w:leader="dot" w:pos="9010"/>
        </w:tabs>
        <w:rPr>
          <w:rFonts w:asciiTheme="minorHAnsi" w:eastAsiaTheme="minorEastAsia" w:hAnsiTheme="minorHAnsi" w:cstheme="minorBidi"/>
          <w:noProof/>
          <w:lang w:eastAsia="ja-JP"/>
        </w:rPr>
      </w:pPr>
      <w:r>
        <w:fldChar w:fldCharType="begin"/>
      </w:r>
      <w:r>
        <w:instrText xml:space="preserve"> TOC \o "1-2" </w:instrText>
      </w:r>
      <w:r>
        <w:fldChar w:fldCharType="separate"/>
      </w:r>
      <w:r w:rsidR="009C0CF5">
        <w:rPr>
          <w:noProof/>
        </w:rPr>
        <w:t>Program Description</w:t>
      </w:r>
      <w:r w:rsidR="009C0CF5">
        <w:rPr>
          <w:noProof/>
        </w:rPr>
        <w:tab/>
      </w:r>
      <w:r w:rsidR="009C0CF5">
        <w:rPr>
          <w:noProof/>
        </w:rPr>
        <w:fldChar w:fldCharType="begin"/>
      </w:r>
      <w:r w:rsidR="009C0CF5">
        <w:rPr>
          <w:noProof/>
        </w:rPr>
        <w:instrText xml:space="preserve"> PAGEREF _Toc285716738 \h </w:instrText>
      </w:r>
      <w:r w:rsidR="009C0CF5">
        <w:rPr>
          <w:noProof/>
        </w:rPr>
      </w:r>
      <w:r w:rsidR="009C0CF5">
        <w:rPr>
          <w:noProof/>
        </w:rPr>
        <w:fldChar w:fldCharType="separate"/>
      </w:r>
      <w:r w:rsidR="003D160B">
        <w:rPr>
          <w:noProof/>
        </w:rPr>
        <w:t>1</w:t>
      </w:r>
      <w:r w:rsidR="009C0CF5">
        <w:rPr>
          <w:noProof/>
        </w:rPr>
        <w:fldChar w:fldCharType="end"/>
      </w:r>
    </w:p>
    <w:p w14:paraId="450FB447" w14:textId="5750B724" w:rsidR="009C0CF5" w:rsidRDefault="009C0CF5">
      <w:pPr>
        <w:pStyle w:val="TOC1"/>
        <w:tabs>
          <w:tab w:val="right" w:leader="dot" w:pos="9010"/>
        </w:tabs>
        <w:rPr>
          <w:rFonts w:asciiTheme="minorHAnsi" w:eastAsiaTheme="minorEastAsia" w:hAnsiTheme="minorHAnsi" w:cstheme="minorBidi"/>
          <w:noProof/>
          <w:lang w:eastAsia="ja-JP"/>
        </w:rPr>
      </w:pPr>
      <w:r>
        <w:rPr>
          <w:noProof/>
        </w:rPr>
        <w:t>Monitoring and Evaluation Tools and Methods</w:t>
      </w:r>
      <w:r>
        <w:rPr>
          <w:noProof/>
        </w:rPr>
        <w:tab/>
      </w:r>
      <w:r>
        <w:rPr>
          <w:noProof/>
        </w:rPr>
        <w:fldChar w:fldCharType="begin"/>
      </w:r>
      <w:r>
        <w:rPr>
          <w:noProof/>
        </w:rPr>
        <w:instrText xml:space="preserve"> PAGEREF _Toc285716739 \h </w:instrText>
      </w:r>
      <w:r>
        <w:rPr>
          <w:noProof/>
        </w:rPr>
      </w:r>
      <w:r>
        <w:rPr>
          <w:noProof/>
        </w:rPr>
        <w:fldChar w:fldCharType="separate"/>
      </w:r>
      <w:r w:rsidR="003D160B">
        <w:rPr>
          <w:noProof/>
        </w:rPr>
        <w:t>2</w:t>
      </w:r>
      <w:r>
        <w:rPr>
          <w:noProof/>
        </w:rPr>
        <w:fldChar w:fldCharType="end"/>
      </w:r>
    </w:p>
    <w:p w14:paraId="0683DF03" w14:textId="77777777" w:rsidR="009C0CF5" w:rsidRDefault="009C0CF5">
      <w:pPr>
        <w:pStyle w:val="TOC1"/>
        <w:tabs>
          <w:tab w:val="right" w:leader="dot" w:pos="9010"/>
        </w:tabs>
        <w:rPr>
          <w:rFonts w:asciiTheme="minorHAnsi" w:eastAsiaTheme="minorEastAsia" w:hAnsiTheme="minorHAnsi" w:cstheme="minorBidi"/>
          <w:noProof/>
          <w:lang w:eastAsia="ja-JP"/>
        </w:rPr>
      </w:pPr>
      <w:r>
        <w:rPr>
          <w:noProof/>
        </w:rPr>
        <w:t>Major Activities in 2014</w:t>
      </w:r>
      <w:r>
        <w:rPr>
          <w:noProof/>
        </w:rPr>
        <w:tab/>
      </w:r>
      <w:r>
        <w:rPr>
          <w:noProof/>
        </w:rPr>
        <w:fldChar w:fldCharType="begin"/>
      </w:r>
      <w:r>
        <w:rPr>
          <w:noProof/>
        </w:rPr>
        <w:instrText xml:space="preserve"> PAGEREF _Toc285716740 \h </w:instrText>
      </w:r>
      <w:r>
        <w:rPr>
          <w:noProof/>
        </w:rPr>
      </w:r>
      <w:r>
        <w:rPr>
          <w:noProof/>
        </w:rPr>
        <w:fldChar w:fldCharType="separate"/>
      </w:r>
      <w:r w:rsidR="003D160B">
        <w:rPr>
          <w:noProof/>
        </w:rPr>
        <w:t>3</w:t>
      </w:r>
      <w:r>
        <w:rPr>
          <w:noProof/>
        </w:rPr>
        <w:fldChar w:fldCharType="end"/>
      </w:r>
    </w:p>
    <w:p w14:paraId="0C0F3A0E" w14:textId="77777777" w:rsidR="009C0CF5" w:rsidRDefault="009C0CF5">
      <w:pPr>
        <w:pStyle w:val="TOC1"/>
        <w:tabs>
          <w:tab w:val="right" w:leader="dot" w:pos="9010"/>
        </w:tabs>
        <w:rPr>
          <w:rFonts w:asciiTheme="minorHAnsi" w:eastAsiaTheme="minorEastAsia" w:hAnsiTheme="minorHAnsi" w:cstheme="minorBidi"/>
          <w:noProof/>
          <w:lang w:eastAsia="ja-JP"/>
        </w:rPr>
      </w:pPr>
      <w:r>
        <w:rPr>
          <w:noProof/>
        </w:rPr>
        <w:t>Results</w:t>
      </w:r>
      <w:r>
        <w:rPr>
          <w:noProof/>
        </w:rPr>
        <w:tab/>
      </w:r>
      <w:r>
        <w:rPr>
          <w:noProof/>
        </w:rPr>
        <w:fldChar w:fldCharType="begin"/>
      </w:r>
      <w:r>
        <w:rPr>
          <w:noProof/>
        </w:rPr>
        <w:instrText xml:space="preserve"> PAGEREF _Toc285716741 \h </w:instrText>
      </w:r>
      <w:r>
        <w:rPr>
          <w:noProof/>
        </w:rPr>
      </w:r>
      <w:r>
        <w:rPr>
          <w:noProof/>
        </w:rPr>
        <w:fldChar w:fldCharType="separate"/>
      </w:r>
      <w:r w:rsidR="003D160B">
        <w:rPr>
          <w:noProof/>
        </w:rPr>
        <w:t>6</w:t>
      </w:r>
      <w:r>
        <w:rPr>
          <w:noProof/>
        </w:rPr>
        <w:fldChar w:fldCharType="end"/>
      </w:r>
    </w:p>
    <w:p w14:paraId="3F32D4E5" w14:textId="77777777" w:rsidR="009C0CF5" w:rsidRDefault="009C0CF5">
      <w:pPr>
        <w:pStyle w:val="TOC2"/>
        <w:tabs>
          <w:tab w:val="right" w:leader="dot" w:pos="9010"/>
        </w:tabs>
        <w:rPr>
          <w:rFonts w:asciiTheme="minorHAnsi" w:eastAsiaTheme="minorEastAsia" w:hAnsiTheme="minorHAnsi" w:cstheme="minorBidi"/>
          <w:noProof/>
          <w:lang w:eastAsia="ja-JP"/>
        </w:rPr>
      </w:pPr>
      <w:r>
        <w:rPr>
          <w:noProof/>
        </w:rPr>
        <w:t>KRA1: National TVET System</w:t>
      </w:r>
      <w:r>
        <w:rPr>
          <w:noProof/>
        </w:rPr>
        <w:tab/>
      </w:r>
      <w:r>
        <w:rPr>
          <w:noProof/>
        </w:rPr>
        <w:fldChar w:fldCharType="begin"/>
      </w:r>
      <w:r>
        <w:rPr>
          <w:noProof/>
        </w:rPr>
        <w:instrText xml:space="preserve"> PAGEREF _Toc285716742 \h </w:instrText>
      </w:r>
      <w:r>
        <w:rPr>
          <w:noProof/>
        </w:rPr>
      </w:r>
      <w:r>
        <w:rPr>
          <w:noProof/>
        </w:rPr>
        <w:fldChar w:fldCharType="separate"/>
      </w:r>
      <w:r w:rsidR="003D160B">
        <w:rPr>
          <w:noProof/>
        </w:rPr>
        <w:t>7</w:t>
      </w:r>
      <w:r>
        <w:rPr>
          <w:noProof/>
        </w:rPr>
        <w:fldChar w:fldCharType="end"/>
      </w:r>
    </w:p>
    <w:p w14:paraId="1C1E3CAB" w14:textId="77777777" w:rsidR="009C0CF5" w:rsidRDefault="009C0CF5">
      <w:pPr>
        <w:pStyle w:val="TOC2"/>
        <w:tabs>
          <w:tab w:val="right" w:leader="dot" w:pos="9010"/>
        </w:tabs>
        <w:rPr>
          <w:rFonts w:asciiTheme="minorHAnsi" w:eastAsiaTheme="minorEastAsia" w:hAnsiTheme="minorHAnsi" w:cstheme="minorBidi"/>
          <w:noProof/>
          <w:lang w:eastAsia="ja-JP"/>
        </w:rPr>
      </w:pPr>
      <w:r>
        <w:rPr>
          <w:noProof/>
        </w:rPr>
        <w:t>KRA2: Provincial Skills Development Coordination</w:t>
      </w:r>
      <w:r>
        <w:rPr>
          <w:noProof/>
        </w:rPr>
        <w:tab/>
      </w:r>
      <w:r>
        <w:rPr>
          <w:noProof/>
        </w:rPr>
        <w:fldChar w:fldCharType="begin"/>
      </w:r>
      <w:r>
        <w:rPr>
          <w:noProof/>
        </w:rPr>
        <w:instrText xml:space="preserve"> PAGEREF _Toc285716743 \h </w:instrText>
      </w:r>
      <w:r>
        <w:rPr>
          <w:noProof/>
        </w:rPr>
      </w:r>
      <w:r>
        <w:rPr>
          <w:noProof/>
        </w:rPr>
        <w:fldChar w:fldCharType="separate"/>
      </w:r>
      <w:r w:rsidR="003D160B">
        <w:rPr>
          <w:noProof/>
        </w:rPr>
        <w:t>13</w:t>
      </w:r>
      <w:r>
        <w:rPr>
          <w:noProof/>
        </w:rPr>
        <w:fldChar w:fldCharType="end"/>
      </w:r>
    </w:p>
    <w:p w14:paraId="4F0A400A" w14:textId="77777777" w:rsidR="009C0CF5" w:rsidRDefault="009C0CF5">
      <w:pPr>
        <w:pStyle w:val="TOC2"/>
        <w:tabs>
          <w:tab w:val="right" w:leader="dot" w:pos="9010"/>
        </w:tabs>
        <w:rPr>
          <w:rFonts w:asciiTheme="minorHAnsi" w:eastAsiaTheme="minorEastAsia" w:hAnsiTheme="minorHAnsi" w:cstheme="minorBidi"/>
          <w:noProof/>
          <w:lang w:eastAsia="ja-JP"/>
        </w:rPr>
      </w:pPr>
      <w:r>
        <w:rPr>
          <w:noProof/>
        </w:rPr>
        <w:t>KRA3: Training, Business Development, and Employment</w:t>
      </w:r>
      <w:r>
        <w:rPr>
          <w:noProof/>
        </w:rPr>
        <w:tab/>
      </w:r>
      <w:r>
        <w:rPr>
          <w:noProof/>
        </w:rPr>
        <w:fldChar w:fldCharType="begin"/>
      </w:r>
      <w:r>
        <w:rPr>
          <w:noProof/>
        </w:rPr>
        <w:instrText xml:space="preserve"> PAGEREF _Toc285716744 \h </w:instrText>
      </w:r>
      <w:r>
        <w:rPr>
          <w:noProof/>
        </w:rPr>
      </w:r>
      <w:r>
        <w:rPr>
          <w:noProof/>
        </w:rPr>
        <w:fldChar w:fldCharType="separate"/>
      </w:r>
      <w:r w:rsidR="003D160B">
        <w:rPr>
          <w:noProof/>
        </w:rPr>
        <w:t>15</w:t>
      </w:r>
      <w:r>
        <w:rPr>
          <w:noProof/>
        </w:rPr>
        <w:fldChar w:fldCharType="end"/>
      </w:r>
    </w:p>
    <w:p w14:paraId="5747AA41" w14:textId="77777777" w:rsidR="009C0CF5" w:rsidRDefault="009C0CF5">
      <w:pPr>
        <w:pStyle w:val="TOC1"/>
        <w:tabs>
          <w:tab w:val="right" w:leader="dot" w:pos="9010"/>
        </w:tabs>
        <w:rPr>
          <w:rFonts w:asciiTheme="minorHAnsi" w:eastAsiaTheme="minorEastAsia" w:hAnsiTheme="minorHAnsi" w:cstheme="minorBidi"/>
          <w:noProof/>
          <w:lang w:eastAsia="ja-JP"/>
        </w:rPr>
      </w:pPr>
      <w:r>
        <w:rPr>
          <w:noProof/>
        </w:rPr>
        <w:t>Monitoring and Evaluation Priorities for 2015</w:t>
      </w:r>
      <w:r>
        <w:rPr>
          <w:noProof/>
        </w:rPr>
        <w:tab/>
      </w:r>
      <w:r>
        <w:rPr>
          <w:noProof/>
        </w:rPr>
        <w:fldChar w:fldCharType="begin"/>
      </w:r>
      <w:r>
        <w:rPr>
          <w:noProof/>
        </w:rPr>
        <w:instrText xml:space="preserve"> PAGEREF _Toc285716745 \h </w:instrText>
      </w:r>
      <w:r>
        <w:rPr>
          <w:noProof/>
        </w:rPr>
      </w:r>
      <w:r>
        <w:rPr>
          <w:noProof/>
        </w:rPr>
        <w:fldChar w:fldCharType="separate"/>
      </w:r>
      <w:r w:rsidR="003D160B">
        <w:rPr>
          <w:noProof/>
        </w:rPr>
        <w:t>26</w:t>
      </w:r>
      <w:r>
        <w:rPr>
          <w:noProof/>
        </w:rPr>
        <w:fldChar w:fldCharType="end"/>
      </w:r>
    </w:p>
    <w:p w14:paraId="735B6BA8" w14:textId="77777777" w:rsidR="009C0CF5" w:rsidRDefault="009C0CF5">
      <w:pPr>
        <w:pStyle w:val="TOC1"/>
        <w:tabs>
          <w:tab w:val="right" w:leader="dot" w:pos="9010"/>
        </w:tabs>
        <w:rPr>
          <w:rFonts w:asciiTheme="minorHAnsi" w:eastAsiaTheme="minorEastAsia" w:hAnsiTheme="minorHAnsi" w:cstheme="minorBidi"/>
          <w:noProof/>
          <w:lang w:eastAsia="ja-JP"/>
        </w:rPr>
      </w:pPr>
      <w:r>
        <w:rPr>
          <w:noProof/>
        </w:rPr>
        <w:t>Conclusions</w:t>
      </w:r>
      <w:r>
        <w:rPr>
          <w:noProof/>
        </w:rPr>
        <w:tab/>
      </w:r>
      <w:r>
        <w:rPr>
          <w:noProof/>
        </w:rPr>
        <w:fldChar w:fldCharType="begin"/>
      </w:r>
      <w:r>
        <w:rPr>
          <w:noProof/>
        </w:rPr>
        <w:instrText xml:space="preserve"> PAGEREF _Toc285716746 \h </w:instrText>
      </w:r>
      <w:r>
        <w:rPr>
          <w:noProof/>
        </w:rPr>
      </w:r>
      <w:r>
        <w:rPr>
          <w:noProof/>
        </w:rPr>
        <w:fldChar w:fldCharType="separate"/>
      </w:r>
      <w:r w:rsidR="003D160B">
        <w:rPr>
          <w:noProof/>
        </w:rPr>
        <w:t>27</w:t>
      </w:r>
      <w:r>
        <w:rPr>
          <w:noProof/>
        </w:rPr>
        <w:fldChar w:fldCharType="end"/>
      </w:r>
    </w:p>
    <w:p w14:paraId="153E0964" w14:textId="77777777" w:rsidR="009C0CF5" w:rsidRDefault="009C0CF5">
      <w:pPr>
        <w:pStyle w:val="TOC1"/>
        <w:tabs>
          <w:tab w:val="right" w:leader="dot" w:pos="9010"/>
        </w:tabs>
        <w:rPr>
          <w:rFonts w:asciiTheme="minorHAnsi" w:eastAsiaTheme="minorEastAsia" w:hAnsiTheme="minorHAnsi" w:cstheme="minorBidi"/>
          <w:noProof/>
          <w:lang w:eastAsia="ja-JP"/>
        </w:rPr>
      </w:pPr>
      <w:r>
        <w:rPr>
          <w:noProof/>
        </w:rPr>
        <w:t>Annex 1: Program Logic</w:t>
      </w:r>
      <w:r>
        <w:rPr>
          <w:noProof/>
        </w:rPr>
        <w:tab/>
      </w:r>
      <w:r>
        <w:rPr>
          <w:noProof/>
        </w:rPr>
        <w:fldChar w:fldCharType="begin"/>
      </w:r>
      <w:r>
        <w:rPr>
          <w:noProof/>
        </w:rPr>
        <w:instrText xml:space="preserve"> PAGEREF _Toc285716747 \h </w:instrText>
      </w:r>
      <w:r>
        <w:rPr>
          <w:noProof/>
        </w:rPr>
      </w:r>
      <w:r>
        <w:rPr>
          <w:noProof/>
        </w:rPr>
        <w:fldChar w:fldCharType="separate"/>
      </w:r>
      <w:r w:rsidR="003D160B">
        <w:rPr>
          <w:noProof/>
        </w:rPr>
        <w:t>29</w:t>
      </w:r>
      <w:r>
        <w:rPr>
          <w:noProof/>
        </w:rPr>
        <w:fldChar w:fldCharType="end"/>
      </w:r>
    </w:p>
    <w:p w14:paraId="07FAF076" w14:textId="77777777" w:rsidR="009C0CF5" w:rsidRDefault="009C0CF5">
      <w:pPr>
        <w:pStyle w:val="TOC1"/>
        <w:tabs>
          <w:tab w:val="right" w:leader="dot" w:pos="9010"/>
        </w:tabs>
        <w:rPr>
          <w:rFonts w:asciiTheme="minorHAnsi" w:eastAsiaTheme="minorEastAsia" w:hAnsiTheme="minorHAnsi" w:cstheme="minorBidi"/>
          <w:noProof/>
          <w:lang w:eastAsia="ja-JP"/>
        </w:rPr>
      </w:pPr>
      <w:r>
        <w:rPr>
          <w:noProof/>
        </w:rPr>
        <w:t>Annex 2: Training Providers and Industry Experts</w:t>
      </w:r>
      <w:r>
        <w:rPr>
          <w:noProof/>
        </w:rPr>
        <w:tab/>
      </w:r>
      <w:r>
        <w:rPr>
          <w:noProof/>
        </w:rPr>
        <w:fldChar w:fldCharType="begin"/>
      </w:r>
      <w:r>
        <w:rPr>
          <w:noProof/>
        </w:rPr>
        <w:instrText xml:space="preserve"> PAGEREF _Toc285716748 \h </w:instrText>
      </w:r>
      <w:r>
        <w:rPr>
          <w:noProof/>
        </w:rPr>
      </w:r>
      <w:r>
        <w:rPr>
          <w:noProof/>
        </w:rPr>
        <w:fldChar w:fldCharType="separate"/>
      </w:r>
      <w:r w:rsidR="003D160B">
        <w:rPr>
          <w:noProof/>
        </w:rPr>
        <w:t>30</w:t>
      </w:r>
      <w:r>
        <w:rPr>
          <w:noProof/>
        </w:rPr>
        <w:fldChar w:fldCharType="end"/>
      </w:r>
    </w:p>
    <w:p w14:paraId="40E79C02" w14:textId="77777777" w:rsidR="009C0CF5" w:rsidRDefault="009C0CF5">
      <w:pPr>
        <w:pStyle w:val="TOC1"/>
        <w:tabs>
          <w:tab w:val="right" w:leader="dot" w:pos="9010"/>
        </w:tabs>
        <w:rPr>
          <w:rFonts w:asciiTheme="minorHAnsi" w:eastAsiaTheme="minorEastAsia" w:hAnsiTheme="minorHAnsi" w:cstheme="minorBidi"/>
          <w:noProof/>
          <w:lang w:eastAsia="ja-JP"/>
        </w:rPr>
      </w:pPr>
      <w:r>
        <w:rPr>
          <w:noProof/>
        </w:rPr>
        <w:t>Annex 3: Stakeholder Interviews</w:t>
      </w:r>
      <w:r>
        <w:rPr>
          <w:noProof/>
        </w:rPr>
        <w:tab/>
      </w:r>
      <w:r>
        <w:rPr>
          <w:noProof/>
        </w:rPr>
        <w:fldChar w:fldCharType="begin"/>
      </w:r>
      <w:r>
        <w:rPr>
          <w:noProof/>
        </w:rPr>
        <w:instrText xml:space="preserve"> PAGEREF _Toc285716749 \h </w:instrText>
      </w:r>
      <w:r>
        <w:rPr>
          <w:noProof/>
        </w:rPr>
      </w:r>
      <w:r>
        <w:rPr>
          <w:noProof/>
        </w:rPr>
        <w:fldChar w:fldCharType="separate"/>
      </w:r>
      <w:r w:rsidR="003D160B">
        <w:rPr>
          <w:noProof/>
        </w:rPr>
        <w:t>31</w:t>
      </w:r>
      <w:r>
        <w:rPr>
          <w:noProof/>
        </w:rPr>
        <w:fldChar w:fldCharType="end"/>
      </w:r>
    </w:p>
    <w:p w14:paraId="1058DAF6" w14:textId="3C15A12A" w:rsidR="009C0CF5" w:rsidRDefault="003D160B">
      <w:pPr>
        <w:pStyle w:val="TOC1"/>
        <w:tabs>
          <w:tab w:val="right" w:leader="dot" w:pos="9010"/>
        </w:tabs>
        <w:rPr>
          <w:rFonts w:asciiTheme="minorHAnsi" w:eastAsiaTheme="minorEastAsia" w:hAnsiTheme="minorHAnsi" w:cstheme="minorBidi"/>
          <w:noProof/>
          <w:lang w:eastAsia="ja-JP"/>
        </w:rPr>
      </w:pPr>
      <w:r>
        <w:rPr>
          <w:noProof/>
        </w:rPr>
        <w:t xml:space="preserve">Annex 4: </w:t>
      </w:r>
      <w:r w:rsidR="009C0CF5">
        <w:rPr>
          <w:noProof/>
        </w:rPr>
        <w:t>Participant Outcomes Survey Sampling and Implementation Procedures</w:t>
      </w:r>
      <w:r w:rsidR="009C0CF5">
        <w:rPr>
          <w:noProof/>
        </w:rPr>
        <w:tab/>
      </w:r>
      <w:r w:rsidR="009C0CF5">
        <w:rPr>
          <w:noProof/>
        </w:rPr>
        <w:fldChar w:fldCharType="begin"/>
      </w:r>
      <w:r w:rsidR="009C0CF5">
        <w:rPr>
          <w:noProof/>
        </w:rPr>
        <w:instrText xml:space="preserve"> PAGEREF _Toc285716750 \h </w:instrText>
      </w:r>
      <w:r w:rsidR="009C0CF5">
        <w:rPr>
          <w:noProof/>
        </w:rPr>
      </w:r>
      <w:r w:rsidR="009C0CF5">
        <w:rPr>
          <w:noProof/>
        </w:rPr>
        <w:fldChar w:fldCharType="separate"/>
      </w:r>
      <w:r>
        <w:rPr>
          <w:noProof/>
        </w:rPr>
        <w:t>32</w:t>
      </w:r>
      <w:r w:rsidR="009C0CF5">
        <w:rPr>
          <w:noProof/>
        </w:rPr>
        <w:fldChar w:fldCharType="end"/>
      </w:r>
    </w:p>
    <w:p w14:paraId="3BD4C7DD" w14:textId="77777777" w:rsidR="009C0CF5" w:rsidRDefault="009C0CF5">
      <w:pPr>
        <w:pStyle w:val="TOC1"/>
        <w:tabs>
          <w:tab w:val="right" w:leader="dot" w:pos="9010"/>
        </w:tabs>
        <w:rPr>
          <w:rFonts w:asciiTheme="minorHAnsi" w:eastAsiaTheme="minorEastAsia" w:hAnsiTheme="minorHAnsi" w:cstheme="minorBidi"/>
          <w:noProof/>
          <w:lang w:eastAsia="ja-JP"/>
        </w:rPr>
      </w:pPr>
      <w:r>
        <w:rPr>
          <w:noProof/>
        </w:rPr>
        <w:t>Annex 5: Participant Outcomes Survey Data</w:t>
      </w:r>
      <w:r>
        <w:rPr>
          <w:noProof/>
        </w:rPr>
        <w:tab/>
      </w:r>
      <w:r>
        <w:rPr>
          <w:noProof/>
        </w:rPr>
        <w:fldChar w:fldCharType="begin"/>
      </w:r>
      <w:r>
        <w:rPr>
          <w:noProof/>
        </w:rPr>
        <w:instrText xml:space="preserve"> PAGEREF _Toc285716751 \h </w:instrText>
      </w:r>
      <w:r>
        <w:rPr>
          <w:noProof/>
        </w:rPr>
      </w:r>
      <w:r>
        <w:rPr>
          <w:noProof/>
        </w:rPr>
        <w:fldChar w:fldCharType="separate"/>
      </w:r>
      <w:r w:rsidR="003D160B">
        <w:rPr>
          <w:noProof/>
        </w:rPr>
        <w:t>36</w:t>
      </w:r>
      <w:r>
        <w:rPr>
          <w:noProof/>
        </w:rPr>
        <w:fldChar w:fldCharType="end"/>
      </w:r>
    </w:p>
    <w:p w14:paraId="016EF5AE" w14:textId="0E30A9A5" w:rsidR="00564169" w:rsidRDefault="00C03142" w:rsidP="008C51B8">
      <w:r>
        <w:fldChar w:fldCharType="end"/>
      </w:r>
    </w:p>
    <w:p w14:paraId="7BE8E898" w14:textId="77777777" w:rsidR="00564169" w:rsidRDefault="00564169">
      <w:pPr>
        <w:suppressAutoHyphens w:val="0"/>
        <w:spacing w:before="0" w:after="0"/>
      </w:pPr>
      <w:r>
        <w:br w:type="page"/>
      </w:r>
    </w:p>
    <w:p w14:paraId="57310243" w14:textId="193A31AD" w:rsidR="00C03142" w:rsidRDefault="00564169" w:rsidP="00564169">
      <w:pPr>
        <w:pStyle w:val="Heading3"/>
      </w:pPr>
      <w:r>
        <w:lastRenderedPageBreak/>
        <w:t>List of Acronyms</w:t>
      </w:r>
    </w:p>
    <w:p w14:paraId="312FFE44" w14:textId="77777777" w:rsidR="00564169" w:rsidRDefault="00564169" w:rsidP="008C51B8"/>
    <w:tbl>
      <w:tblPr>
        <w:tblStyle w:val="TableGrid"/>
        <w:tblW w:w="0" w:type="auto"/>
        <w:tblLook w:val="04A0" w:firstRow="1" w:lastRow="0" w:firstColumn="1" w:lastColumn="0" w:noHBand="0" w:noVBand="1"/>
      </w:tblPr>
      <w:tblGrid>
        <w:gridCol w:w="2093"/>
        <w:gridCol w:w="7143"/>
      </w:tblGrid>
      <w:tr w:rsidR="00713C81" w14:paraId="3F2AD6A5" w14:textId="77777777" w:rsidTr="00564169">
        <w:tc>
          <w:tcPr>
            <w:tcW w:w="2093" w:type="dxa"/>
          </w:tcPr>
          <w:p w14:paraId="5F135772" w14:textId="77777777" w:rsidR="00713C81" w:rsidRDefault="00713C81" w:rsidP="008C51B8">
            <w:r>
              <w:t>AT</w:t>
            </w:r>
          </w:p>
        </w:tc>
        <w:tc>
          <w:tcPr>
            <w:tcW w:w="7143" w:type="dxa"/>
          </w:tcPr>
          <w:p w14:paraId="040E99B1" w14:textId="77777777" w:rsidR="00713C81" w:rsidRDefault="00713C81" w:rsidP="008C51B8">
            <w:r>
              <w:t>Accredited Training</w:t>
            </w:r>
          </w:p>
        </w:tc>
      </w:tr>
      <w:tr w:rsidR="00713C81" w14:paraId="1FE0A2C8" w14:textId="77777777" w:rsidTr="00564169">
        <w:tc>
          <w:tcPr>
            <w:tcW w:w="2093" w:type="dxa"/>
          </w:tcPr>
          <w:p w14:paraId="69794C62" w14:textId="77777777" w:rsidR="00713C81" w:rsidRDefault="00713C81" w:rsidP="008C51B8">
            <w:r>
              <w:t>BDS</w:t>
            </w:r>
          </w:p>
        </w:tc>
        <w:tc>
          <w:tcPr>
            <w:tcW w:w="7143" w:type="dxa"/>
          </w:tcPr>
          <w:p w14:paraId="6D7440A3" w14:textId="77777777" w:rsidR="00713C81" w:rsidRDefault="00713C81" w:rsidP="008C51B8">
            <w:r>
              <w:t xml:space="preserve">Business Development Services </w:t>
            </w:r>
          </w:p>
        </w:tc>
      </w:tr>
      <w:tr w:rsidR="00713C81" w14:paraId="0A2F23CB" w14:textId="77777777" w:rsidTr="00564169">
        <w:tc>
          <w:tcPr>
            <w:tcW w:w="2093" w:type="dxa"/>
          </w:tcPr>
          <w:p w14:paraId="07D185FC" w14:textId="77777777" w:rsidR="00713C81" w:rsidRDefault="00713C81" w:rsidP="008C51B8">
            <w:r>
              <w:t>DFAT</w:t>
            </w:r>
          </w:p>
        </w:tc>
        <w:tc>
          <w:tcPr>
            <w:tcW w:w="7143" w:type="dxa"/>
          </w:tcPr>
          <w:p w14:paraId="0C0DD849" w14:textId="77777777" w:rsidR="00713C81" w:rsidRDefault="00713C81" w:rsidP="008C51B8">
            <w:r>
              <w:t xml:space="preserve">(Australia) Department of Foreign Affairs and Trade </w:t>
            </w:r>
          </w:p>
        </w:tc>
      </w:tr>
      <w:tr w:rsidR="00713C81" w14:paraId="352594AB" w14:textId="77777777" w:rsidTr="00564169">
        <w:tc>
          <w:tcPr>
            <w:tcW w:w="2093" w:type="dxa"/>
          </w:tcPr>
          <w:p w14:paraId="4D7CC9DC" w14:textId="77777777" w:rsidR="00713C81" w:rsidRDefault="00713C81" w:rsidP="008C51B8">
            <w:r>
              <w:t>KRA</w:t>
            </w:r>
          </w:p>
        </w:tc>
        <w:tc>
          <w:tcPr>
            <w:tcW w:w="7143" w:type="dxa"/>
          </w:tcPr>
          <w:p w14:paraId="4758CFB8" w14:textId="77777777" w:rsidR="00713C81" w:rsidRDefault="00713C81" w:rsidP="008C51B8">
            <w:r>
              <w:t xml:space="preserve">(Program) Key Result Area </w:t>
            </w:r>
          </w:p>
        </w:tc>
      </w:tr>
      <w:tr w:rsidR="00713C81" w14:paraId="3115045D" w14:textId="77777777" w:rsidTr="00564169">
        <w:tc>
          <w:tcPr>
            <w:tcW w:w="2093" w:type="dxa"/>
          </w:tcPr>
          <w:p w14:paraId="7DC54141" w14:textId="77777777" w:rsidR="00713C81" w:rsidRDefault="00713C81" w:rsidP="008C51B8">
            <w:r>
              <w:t>LLN</w:t>
            </w:r>
          </w:p>
        </w:tc>
        <w:tc>
          <w:tcPr>
            <w:tcW w:w="7143" w:type="dxa"/>
          </w:tcPr>
          <w:p w14:paraId="1365525A" w14:textId="77777777" w:rsidR="00713C81" w:rsidRDefault="00713C81" w:rsidP="008C51B8">
            <w:r>
              <w:t xml:space="preserve">Language, Literacy and Numeracy </w:t>
            </w:r>
          </w:p>
        </w:tc>
      </w:tr>
      <w:tr w:rsidR="00713C81" w14:paraId="31D71A09" w14:textId="77777777" w:rsidTr="00564169">
        <w:tc>
          <w:tcPr>
            <w:tcW w:w="2093" w:type="dxa"/>
          </w:tcPr>
          <w:p w14:paraId="0E552A12" w14:textId="77777777" w:rsidR="00713C81" w:rsidRDefault="00713C81" w:rsidP="008C51B8">
            <w:r>
              <w:t>M&amp;E</w:t>
            </w:r>
          </w:p>
        </w:tc>
        <w:tc>
          <w:tcPr>
            <w:tcW w:w="7143" w:type="dxa"/>
          </w:tcPr>
          <w:p w14:paraId="743BB68C" w14:textId="77777777" w:rsidR="00713C81" w:rsidRDefault="00713C81" w:rsidP="008C51B8">
            <w:r>
              <w:t xml:space="preserve">Monitoring and Evaluation </w:t>
            </w:r>
          </w:p>
        </w:tc>
      </w:tr>
      <w:tr w:rsidR="00713C81" w14:paraId="6E054B8C" w14:textId="77777777" w:rsidTr="00564169">
        <w:tc>
          <w:tcPr>
            <w:tcW w:w="2093" w:type="dxa"/>
          </w:tcPr>
          <w:p w14:paraId="240EAACE" w14:textId="77777777" w:rsidR="00713C81" w:rsidRDefault="00713C81" w:rsidP="008C51B8">
            <w:r>
              <w:t>MoET</w:t>
            </w:r>
          </w:p>
        </w:tc>
        <w:tc>
          <w:tcPr>
            <w:tcW w:w="7143" w:type="dxa"/>
          </w:tcPr>
          <w:p w14:paraId="61BB6B03" w14:textId="77777777" w:rsidR="00713C81" w:rsidRDefault="00713C81" w:rsidP="008C51B8">
            <w:r>
              <w:t xml:space="preserve">(Vanuatu) Ministry of Education and Training </w:t>
            </w:r>
          </w:p>
        </w:tc>
      </w:tr>
      <w:tr w:rsidR="00713C81" w14:paraId="538F3CD1" w14:textId="77777777" w:rsidTr="00564169">
        <w:tc>
          <w:tcPr>
            <w:tcW w:w="2093" w:type="dxa"/>
          </w:tcPr>
          <w:p w14:paraId="5C30248E" w14:textId="77777777" w:rsidR="00713C81" w:rsidRDefault="00713C81" w:rsidP="008C51B8">
            <w:r>
              <w:t>PGTB</w:t>
            </w:r>
          </w:p>
        </w:tc>
        <w:tc>
          <w:tcPr>
            <w:tcW w:w="7143" w:type="dxa"/>
          </w:tcPr>
          <w:p w14:paraId="3DF74E9A" w14:textId="77777777" w:rsidR="00713C81" w:rsidRDefault="00713C81" w:rsidP="008C51B8">
            <w:r>
              <w:t>Provincial Government Training Board</w:t>
            </w:r>
          </w:p>
        </w:tc>
      </w:tr>
      <w:tr w:rsidR="00713C81" w14:paraId="7CE073AA" w14:textId="77777777" w:rsidTr="00564169">
        <w:tc>
          <w:tcPr>
            <w:tcW w:w="2093" w:type="dxa"/>
          </w:tcPr>
          <w:p w14:paraId="391CF3B8" w14:textId="77777777" w:rsidR="00713C81" w:rsidRDefault="00713C81" w:rsidP="008C51B8">
            <w:r>
              <w:t>PTC</w:t>
            </w:r>
          </w:p>
        </w:tc>
        <w:tc>
          <w:tcPr>
            <w:tcW w:w="7143" w:type="dxa"/>
          </w:tcPr>
          <w:p w14:paraId="26BEB2DC" w14:textId="77777777" w:rsidR="00713C81" w:rsidRDefault="00713C81" w:rsidP="008C51B8">
            <w:r>
              <w:t xml:space="preserve">Provincial Training Coordinator </w:t>
            </w:r>
          </w:p>
        </w:tc>
      </w:tr>
      <w:tr w:rsidR="00713C81" w14:paraId="68CCE840" w14:textId="77777777" w:rsidTr="00564169">
        <w:tc>
          <w:tcPr>
            <w:tcW w:w="2093" w:type="dxa"/>
          </w:tcPr>
          <w:p w14:paraId="49C2477B" w14:textId="77777777" w:rsidR="00713C81" w:rsidRDefault="00713C81" w:rsidP="008C51B8">
            <w:r>
              <w:t>QMS</w:t>
            </w:r>
          </w:p>
        </w:tc>
        <w:tc>
          <w:tcPr>
            <w:tcW w:w="7143" w:type="dxa"/>
          </w:tcPr>
          <w:p w14:paraId="3D3D03F0" w14:textId="77777777" w:rsidR="00713C81" w:rsidRDefault="00713C81" w:rsidP="008C51B8">
            <w:r>
              <w:t>Quality Management System</w:t>
            </w:r>
          </w:p>
        </w:tc>
      </w:tr>
      <w:tr w:rsidR="00713C81" w14:paraId="131D2C59" w14:textId="77777777" w:rsidTr="00564169">
        <w:tc>
          <w:tcPr>
            <w:tcW w:w="2093" w:type="dxa"/>
          </w:tcPr>
          <w:p w14:paraId="17F6C5D4" w14:textId="77777777" w:rsidR="00713C81" w:rsidRDefault="00713C81" w:rsidP="008C51B8">
            <w:r>
              <w:t>RTC</w:t>
            </w:r>
          </w:p>
        </w:tc>
        <w:tc>
          <w:tcPr>
            <w:tcW w:w="7143" w:type="dxa"/>
          </w:tcPr>
          <w:p w14:paraId="7110230A" w14:textId="77777777" w:rsidR="00713C81" w:rsidRDefault="00713C81" w:rsidP="008C51B8">
            <w:r>
              <w:t xml:space="preserve">Rural Training Centre </w:t>
            </w:r>
          </w:p>
        </w:tc>
      </w:tr>
      <w:tr w:rsidR="00713C81" w14:paraId="63830B48" w14:textId="77777777" w:rsidTr="00564169">
        <w:tc>
          <w:tcPr>
            <w:tcW w:w="2093" w:type="dxa"/>
          </w:tcPr>
          <w:p w14:paraId="613B1398" w14:textId="77777777" w:rsidR="00713C81" w:rsidRDefault="00713C81" w:rsidP="008C51B8">
            <w:r>
              <w:t>SAG</w:t>
            </w:r>
          </w:p>
        </w:tc>
        <w:tc>
          <w:tcPr>
            <w:tcW w:w="7143" w:type="dxa"/>
          </w:tcPr>
          <w:p w14:paraId="326B9014" w14:textId="77777777" w:rsidR="00713C81" w:rsidRDefault="00713C81" w:rsidP="008C51B8">
            <w:r>
              <w:t xml:space="preserve">(Program) Strategic Advisory Group </w:t>
            </w:r>
          </w:p>
        </w:tc>
      </w:tr>
      <w:tr w:rsidR="00713C81" w14:paraId="4476706D" w14:textId="77777777" w:rsidTr="00564169">
        <w:tc>
          <w:tcPr>
            <w:tcW w:w="2093" w:type="dxa"/>
          </w:tcPr>
          <w:p w14:paraId="3554B5F4" w14:textId="77777777" w:rsidR="00713C81" w:rsidRDefault="00713C81" w:rsidP="008C51B8">
            <w:r>
              <w:t>TA</w:t>
            </w:r>
          </w:p>
        </w:tc>
        <w:tc>
          <w:tcPr>
            <w:tcW w:w="7143" w:type="dxa"/>
          </w:tcPr>
          <w:p w14:paraId="0DD52198" w14:textId="77777777" w:rsidR="00713C81" w:rsidRDefault="00713C81" w:rsidP="008C51B8">
            <w:r>
              <w:t xml:space="preserve">Technical Assistance </w:t>
            </w:r>
          </w:p>
        </w:tc>
      </w:tr>
      <w:tr w:rsidR="00713C81" w14:paraId="79CC3E68" w14:textId="77777777" w:rsidTr="00564169">
        <w:tc>
          <w:tcPr>
            <w:tcW w:w="2093" w:type="dxa"/>
          </w:tcPr>
          <w:p w14:paraId="0EC3E5E2" w14:textId="77777777" w:rsidR="00713C81" w:rsidRDefault="00713C81" w:rsidP="008C51B8">
            <w:r>
              <w:t>TPSS</w:t>
            </w:r>
          </w:p>
        </w:tc>
        <w:tc>
          <w:tcPr>
            <w:tcW w:w="7143" w:type="dxa"/>
          </w:tcPr>
          <w:p w14:paraId="0C56D23E" w14:textId="77777777" w:rsidR="00713C81" w:rsidRDefault="00713C81" w:rsidP="008C51B8">
            <w:r>
              <w:t xml:space="preserve">Training Provider Support Services </w:t>
            </w:r>
          </w:p>
        </w:tc>
      </w:tr>
      <w:tr w:rsidR="00713C81" w14:paraId="01484964" w14:textId="77777777" w:rsidTr="00564169">
        <w:tc>
          <w:tcPr>
            <w:tcW w:w="2093" w:type="dxa"/>
          </w:tcPr>
          <w:p w14:paraId="2B830A3A" w14:textId="77777777" w:rsidR="00713C81" w:rsidRDefault="00713C81" w:rsidP="008C51B8">
            <w:r>
              <w:t>VQA</w:t>
            </w:r>
          </w:p>
        </w:tc>
        <w:tc>
          <w:tcPr>
            <w:tcW w:w="7143" w:type="dxa"/>
          </w:tcPr>
          <w:p w14:paraId="5D2C2304" w14:textId="77777777" w:rsidR="00713C81" w:rsidRDefault="00713C81" w:rsidP="008C51B8">
            <w:r>
              <w:t xml:space="preserve">Vanuatu Qualifications Authority </w:t>
            </w:r>
          </w:p>
        </w:tc>
      </w:tr>
      <w:tr w:rsidR="00713C81" w14:paraId="7627B6AD" w14:textId="77777777" w:rsidTr="00564169">
        <w:tc>
          <w:tcPr>
            <w:tcW w:w="2093" w:type="dxa"/>
          </w:tcPr>
          <w:p w14:paraId="4D343B3F" w14:textId="77777777" w:rsidR="00713C81" w:rsidRDefault="00713C81" w:rsidP="008C51B8">
            <w:r>
              <w:t>VQTF</w:t>
            </w:r>
          </w:p>
        </w:tc>
        <w:tc>
          <w:tcPr>
            <w:tcW w:w="7143" w:type="dxa"/>
          </w:tcPr>
          <w:p w14:paraId="67D1C963" w14:textId="77777777" w:rsidR="00713C81" w:rsidRDefault="00713C81" w:rsidP="008C51B8">
            <w:r>
              <w:t xml:space="preserve">Vanuatu Qualifications Training Framework </w:t>
            </w:r>
          </w:p>
        </w:tc>
      </w:tr>
      <w:tr w:rsidR="00713C81" w14:paraId="2A7568A4" w14:textId="77777777" w:rsidTr="00564169">
        <w:tc>
          <w:tcPr>
            <w:tcW w:w="2093" w:type="dxa"/>
          </w:tcPr>
          <w:p w14:paraId="6C97F146" w14:textId="77777777" w:rsidR="00713C81" w:rsidRDefault="00713C81" w:rsidP="008C51B8">
            <w:r>
              <w:t>VRDTCA</w:t>
            </w:r>
          </w:p>
        </w:tc>
        <w:tc>
          <w:tcPr>
            <w:tcW w:w="7143" w:type="dxa"/>
          </w:tcPr>
          <w:p w14:paraId="1C0FEFF6" w14:textId="77777777" w:rsidR="00713C81" w:rsidRDefault="00713C81" w:rsidP="008C51B8">
            <w:r>
              <w:t>Vanuatu Rural Development Training Centres Association</w:t>
            </w:r>
          </w:p>
        </w:tc>
      </w:tr>
    </w:tbl>
    <w:p w14:paraId="68906B73" w14:textId="77777777" w:rsidR="00564169" w:rsidRDefault="00564169" w:rsidP="008C51B8"/>
    <w:p w14:paraId="18D3BC00" w14:textId="77777777" w:rsidR="00E654B6" w:rsidRDefault="00E654B6" w:rsidP="008C51B8">
      <w:pPr>
        <w:sectPr w:rsidR="00E654B6" w:rsidSect="00B97687">
          <w:headerReference w:type="default" r:id="rId14"/>
          <w:pgSz w:w="11900" w:h="16840"/>
          <w:pgMar w:top="1440" w:right="1440" w:bottom="1440" w:left="1440" w:header="708" w:footer="708" w:gutter="0"/>
          <w:cols w:space="708"/>
          <w:docGrid w:linePitch="360"/>
        </w:sectPr>
      </w:pPr>
    </w:p>
    <w:p w14:paraId="0DE010CA" w14:textId="77777777" w:rsidR="00E654B6" w:rsidRDefault="00E654B6" w:rsidP="008C51B8"/>
    <w:p w14:paraId="67F0CA9E" w14:textId="77777777" w:rsidR="00E654B6" w:rsidRDefault="00E654B6" w:rsidP="008C51B8"/>
    <w:p w14:paraId="1B99FE8F" w14:textId="65FF210B" w:rsidR="008C51B8" w:rsidRPr="008C51B8" w:rsidRDefault="008C51B8" w:rsidP="008C51B8">
      <w:r>
        <w:t>The TVE</w:t>
      </w:r>
      <w:r w:rsidR="00983869">
        <w:t xml:space="preserve">T System Strengthening Program </w:t>
      </w:r>
      <w:r>
        <w:t>Phase 3</w:t>
      </w:r>
      <w:r w:rsidR="00983869">
        <w:t xml:space="preserve"> (the Program</w:t>
      </w:r>
      <w:r>
        <w:t xml:space="preserve">) commenced in March 2013. This </w:t>
      </w:r>
      <w:r w:rsidR="00931101">
        <w:t>second</w:t>
      </w:r>
      <w:r>
        <w:t xml:space="preserve"> Annual Program M&amp;E Report for Phase 3 reports the</w:t>
      </w:r>
      <w:r w:rsidR="00931101">
        <w:t xml:space="preserve"> results of program work in 2014</w:t>
      </w:r>
      <w:r>
        <w:t xml:space="preserve">. It provides evidence of performance in terms of outputs and progress towards outcomes in line with the </w:t>
      </w:r>
      <w:r w:rsidR="00983869">
        <w:t xml:space="preserve">Program’s </w:t>
      </w:r>
      <w:r>
        <w:t xml:space="preserve">three Key Result Areas and its program logic. </w:t>
      </w:r>
    </w:p>
    <w:p w14:paraId="7DC765FF" w14:textId="77777777" w:rsidR="00FF4106" w:rsidRDefault="008C51B8" w:rsidP="006B03FE">
      <w:pPr>
        <w:pStyle w:val="Heading1"/>
      </w:pPr>
      <w:bookmarkStart w:id="1" w:name="_Toc285716738"/>
      <w:r>
        <w:t>Program Description</w:t>
      </w:r>
      <w:bookmarkEnd w:id="1"/>
      <w:r>
        <w:t xml:space="preserve"> </w:t>
      </w:r>
    </w:p>
    <w:p w14:paraId="65A0F4BA" w14:textId="77777777" w:rsidR="00956A2A" w:rsidRDefault="00956A2A" w:rsidP="00956A2A">
      <w:r w:rsidRPr="00956A2A">
        <w:t xml:space="preserve">Phase 3 of the Vanuatu TVET Sector Strengthening Program </w:t>
      </w:r>
      <w:r w:rsidR="00983869">
        <w:t>is</w:t>
      </w:r>
      <w:r w:rsidRPr="00956A2A">
        <w:t xml:space="preserve"> designed to operate over a four year period from 2013 to 2016.</w:t>
      </w:r>
      <w:r w:rsidR="00983869">
        <w:t xml:space="preserve"> It operates in three Key Result Areas: </w:t>
      </w:r>
    </w:p>
    <w:p w14:paraId="6AD95E9B" w14:textId="77777777" w:rsidR="00983869" w:rsidRDefault="00983869" w:rsidP="0019245A">
      <w:pPr>
        <w:numPr>
          <w:ilvl w:val="0"/>
          <w:numId w:val="8"/>
        </w:numPr>
      </w:pPr>
      <w:r>
        <w:t>National TVET System</w:t>
      </w:r>
    </w:p>
    <w:p w14:paraId="300F54C0" w14:textId="77777777" w:rsidR="00983869" w:rsidRDefault="00983869" w:rsidP="0019245A">
      <w:pPr>
        <w:numPr>
          <w:ilvl w:val="0"/>
          <w:numId w:val="8"/>
        </w:numPr>
      </w:pPr>
      <w:r>
        <w:t>Provincial Skills Development Coordination</w:t>
      </w:r>
    </w:p>
    <w:p w14:paraId="573307B7" w14:textId="77777777" w:rsidR="00983869" w:rsidRPr="00956A2A" w:rsidRDefault="00983869" w:rsidP="0019245A">
      <w:pPr>
        <w:numPr>
          <w:ilvl w:val="0"/>
          <w:numId w:val="8"/>
        </w:numPr>
      </w:pPr>
      <w:r>
        <w:t>Training, Business Development and Employment</w:t>
      </w:r>
    </w:p>
    <w:p w14:paraId="5BBBD9A3" w14:textId="0CDDDC4D" w:rsidR="00956A2A" w:rsidRPr="00956A2A" w:rsidRDefault="00956A2A" w:rsidP="00956A2A">
      <w:r w:rsidRPr="00956A2A">
        <w:t xml:space="preserve">The Program </w:t>
      </w:r>
      <w:r w:rsidR="00983869">
        <w:t xml:space="preserve">is </w:t>
      </w:r>
      <w:r w:rsidRPr="00956A2A">
        <w:t>support</w:t>
      </w:r>
      <w:r w:rsidR="00983869">
        <w:t>ing</w:t>
      </w:r>
      <w:r w:rsidRPr="00956A2A">
        <w:t xml:space="preserve"> the </w:t>
      </w:r>
      <w:r w:rsidR="00890579">
        <w:t>Ministry of Education and Training</w:t>
      </w:r>
      <w:r w:rsidRPr="00956A2A">
        <w:t xml:space="preserve"> </w:t>
      </w:r>
      <w:r w:rsidR="00931101">
        <w:t xml:space="preserve">(MoET) </w:t>
      </w:r>
      <w:r w:rsidRPr="00956A2A">
        <w:t xml:space="preserve">and the Vanuatu </w:t>
      </w:r>
      <w:r w:rsidR="00931101">
        <w:t>Qualifications Authority (VQA)</w:t>
      </w:r>
      <w:r w:rsidRPr="00956A2A">
        <w:t xml:space="preserve"> in the implementation of the National TVET Policy. This include</w:t>
      </w:r>
      <w:r w:rsidR="00983869">
        <w:t>s</w:t>
      </w:r>
      <w:r w:rsidRPr="00956A2A">
        <w:t xml:space="preserve"> assisting with:</w:t>
      </w:r>
    </w:p>
    <w:p w14:paraId="50991A1B" w14:textId="77777777" w:rsidR="00956A2A" w:rsidRPr="00956A2A" w:rsidRDefault="00956A2A" w:rsidP="0019245A">
      <w:pPr>
        <w:numPr>
          <w:ilvl w:val="0"/>
          <w:numId w:val="4"/>
        </w:numPr>
      </w:pPr>
      <w:r w:rsidRPr="00956A2A">
        <w:t>strengthening linkages with national stakeholders;</w:t>
      </w:r>
    </w:p>
    <w:p w14:paraId="1C8B5A1F" w14:textId="77777777" w:rsidR="00956A2A" w:rsidRPr="00956A2A" w:rsidRDefault="00956A2A" w:rsidP="0019245A">
      <w:pPr>
        <w:numPr>
          <w:ilvl w:val="0"/>
          <w:numId w:val="4"/>
        </w:numPr>
      </w:pPr>
      <w:r w:rsidRPr="00956A2A">
        <w:t>increasing awareness and support for investment in skills development, with the potential establishment of a National Training Fund;</w:t>
      </w:r>
    </w:p>
    <w:p w14:paraId="290D28B6" w14:textId="77777777" w:rsidR="00956A2A" w:rsidRPr="00956A2A" w:rsidRDefault="00956A2A" w:rsidP="0019245A">
      <w:pPr>
        <w:numPr>
          <w:ilvl w:val="0"/>
          <w:numId w:val="4"/>
        </w:numPr>
      </w:pPr>
      <w:r w:rsidRPr="00956A2A">
        <w:t>improving the quality of TVET provision; and</w:t>
      </w:r>
    </w:p>
    <w:p w14:paraId="78DF9299" w14:textId="1610AD05" w:rsidR="00956A2A" w:rsidRPr="00956A2A" w:rsidRDefault="00956A2A" w:rsidP="0019245A">
      <w:pPr>
        <w:numPr>
          <w:ilvl w:val="0"/>
          <w:numId w:val="4"/>
        </w:numPr>
      </w:pPr>
      <w:r w:rsidRPr="00956A2A">
        <w:t xml:space="preserve">the provision of technical assistance for </w:t>
      </w:r>
      <w:r w:rsidR="00932FFF">
        <w:t>MoET</w:t>
      </w:r>
      <w:r w:rsidRPr="00956A2A">
        <w:t xml:space="preserve"> and </w:t>
      </w:r>
      <w:r w:rsidR="00931101">
        <w:t>VQA</w:t>
      </w:r>
      <w:r w:rsidRPr="00956A2A">
        <w:t xml:space="preserve"> for improved management of the TVET sector, including capacity building in strategic planning and policy development, implementation and evaluation.</w:t>
      </w:r>
    </w:p>
    <w:p w14:paraId="3407F889" w14:textId="1B8A193C" w:rsidR="00956A2A" w:rsidRPr="00956A2A" w:rsidRDefault="00956A2A" w:rsidP="00956A2A">
      <w:r w:rsidRPr="00956A2A">
        <w:t>At the provincial level, the Program focus</w:t>
      </w:r>
      <w:r w:rsidR="00983869">
        <w:t>es</w:t>
      </w:r>
      <w:r w:rsidRPr="00956A2A">
        <w:t xml:space="preserve"> on facilitating the delivery of nationally accredited skills training and business development </w:t>
      </w:r>
      <w:r w:rsidR="00BC5DD9">
        <w:t xml:space="preserve">support </w:t>
      </w:r>
      <w:r w:rsidRPr="00956A2A">
        <w:t xml:space="preserve">services </w:t>
      </w:r>
      <w:r w:rsidR="00BC5DD9">
        <w:t xml:space="preserve">aligned to provincial economic development priorities. The delivery of theses services is </w:t>
      </w:r>
      <w:r w:rsidRPr="00956A2A">
        <w:t>coordinated th</w:t>
      </w:r>
      <w:r w:rsidR="00931101">
        <w:t xml:space="preserve">rough the TVET Centres in Sanma, </w:t>
      </w:r>
      <w:r w:rsidRPr="00956A2A">
        <w:t>Malampa</w:t>
      </w:r>
      <w:r w:rsidR="00931101">
        <w:t xml:space="preserve"> and Torba</w:t>
      </w:r>
      <w:r w:rsidRPr="00956A2A">
        <w:t xml:space="preserve"> provinces and financed through the Employment and Training Fund</w:t>
      </w:r>
      <w:r w:rsidR="007C0A75">
        <w:t xml:space="preserve"> (ETF)</w:t>
      </w:r>
      <w:r w:rsidRPr="00956A2A">
        <w:t xml:space="preserve">. </w:t>
      </w:r>
      <w:r w:rsidR="00931101">
        <w:t>There</w:t>
      </w:r>
      <w:r w:rsidR="00983869">
        <w:t xml:space="preserve"> </w:t>
      </w:r>
      <w:r w:rsidR="0039699A">
        <w:t>are plans for</w:t>
      </w:r>
      <w:r w:rsidR="00983869">
        <w:t xml:space="preserve"> a fourth Centre, in Tafea, </w:t>
      </w:r>
      <w:r w:rsidR="0039699A">
        <w:t>to</w:t>
      </w:r>
      <w:r w:rsidR="00983869">
        <w:t xml:space="preserve"> open in 201</w:t>
      </w:r>
      <w:r w:rsidR="00931101">
        <w:t>5</w:t>
      </w:r>
      <w:r w:rsidRPr="00956A2A">
        <w:t>.</w:t>
      </w:r>
    </w:p>
    <w:p w14:paraId="30D66A79" w14:textId="77777777" w:rsidR="00956A2A" w:rsidRPr="00956A2A" w:rsidRDefault="00983869" w:rsidP="00956A2A">
      <w:pPr>
        <w:rPr>
          <w:bCs/>
          <w:iCs/>
        </w:rPr>
      </w:pPr>
      <w:r>
        <w:rPr>
          <w:bCs/>
          <w:iCs/>
        </w:rPr>
        <w:t>Three</w:t>
      </w:r>
      <w:r w:rsidR="00956A2A" w:rsidRPr="00956A2A">
        <w:rPr>
          <w:bCs/>
          <w:iCs/>
        </w:rPr>
        <w:t xml:space="preserve"> key strategies underpin the implementation of Phase 3:</w:t>
      </w:r>
    </w:p>
    <w:p w14:paraId="2CBF8178" w14:textId="269B0B5D" w:rsidR="00956A2A" w:rsidRPr="00956A2A" w:rsidRDefault="00956A2A" w:rsidP="0019245A">
      <w:pPr>
        <w:numPr>
          <w:ilvl w:val="0"/>
          <w:numId w:val="5"/>
        </w:numPr>
        <w:rPr>
          <w:lang w:val="en-US"/>
        </w:rPr>
      </w:pPr>
      <w:r w:rsidRPr="00956A2A">
        <w:rPr>
          <w:lang w:val="en-US"/>
        </w:rPr>
        <w:t xml:space="preserve">To continue to strengthen national TVET systems development in the </w:t>
      </w:r>
      <w:r w:rsidR="00D74366">
        <w:rPr>
          <w:lang w:val="en-US"/>
        </w:rPr>
        <w:t>MoET</w:t>
      </w:r>
      <w:r w:rsidRPr="00956A2A">
        <w:rPr>
          <w:lang w:val="en-US"/>
        </w:rPr>
        <w:t xml:space="preserve">, </w:t>
      </w:r>
      <w:r w:rsidR="00931101">
        <w:rPr>
          <w:lang w:val="en-US"/>
        </w:rPr>
        <w:t>VQA</w:t>
      </w:r>
      <w:r w:rsidRPr="00956A2A">
        <w:rPr>
          <w:lang w:val="en-US"/>
        </w:rPr>
        <w:t xml:space="preserve"> and productive sector agencies and to ensure continuing </w:t>
      </w:r>
      <w:r w:rsidRPr="00956A2A">
        <w:rPr>
          <w:b/>
          <w:lang w:val="en-US"/>
        </w:rPr>
        <w:t>convergence</w:t>
      </w:r>
      <w:r w:rsidRPr="00956A2A">
        <w:rPr>
          <w:lang w:val="en-US"/>
        </w:rPr>
        <w:t xml:space="preserve"> between Program and Government of Vanuatu policy, practices and processes.</w:t>
      </w:r>
    </w:p>
    <w:p w14:paraId="49D6A672" w14:textId="77777777" w:rsidR="00956A2A" w:rsidRPr="00956A2A" w:rsidRDefault="00956A2A" w:rsidP="0019245A">
      <w:pPr>
        <w:numPr>
          <w:ilvl w:val="0"/>
          <w:numId w:val="5"/>
        </w:numPr>
        <w:rPr>
          <w:lang w:val="en-US"/>
        </w:rPr>
      </w:pPr>
      <w:r w:rsidRPr="00956A2A">
        <w:rPr>
          <w:lang w:val="en-US"/>
        </w:rPr>
        <w:t xml:space="preserve">To </w:t>
      </w:r>
      <w:r w:rsidRPr="00956A2A">
        <w:rPr>
          <w:b/>
          <w:lang w:val="en-US"/>
        </w:rPr>
        <w:t>consolidate</w:t>
      </w:r>
      <w:r w:rsidRPr="00956A2A">
        <w:rPr>
          <w:lang w:val="en-US"/>
        </w:rPr>
        <w:t xml:space="preserve"> gains made to date at both the provincial and national levels.</w:t>
      </w:r>
    </w:p>
    <w:p w14:paraId="4ABC32B0" w14:textId="77777777" w:rsidR="00983869" w:rsidRPr="00983869" w:rsidRDefault="00956A2A" w:rsidP="0019245A">
      <w:pPr>
        <w:numPr>
          <w:ilvl w:val="0"/>
          <w:numId w:val="5"/>
        </w:numPr>
        <w:rPr>
          <w:lang w:val="en-US"/>
        </w:rPr>
      </w:pPr>
      <w:r w:rsidRPr="00956A2A">
        <w:rPr>
          <w:lang w:val="en-US"/>
        </w:rPr>
        <w:t xml:space="preserve">To </w:t>
      </w:r>
      <w:r w:rsidRPr="00956A2A">
        <w:rPr>
          <w:b/>
          <w:lang w:val="en-US"/>
        </w:rPr>
        <w:t>expand</w:t>
      </w:r>
      <w:r w:rsidRPr="00956A2A">
        <w:rPr>
          <w:lang w:val="en-US"/>
        </w:rPr>
        <w:t xml:space="preserve"> the reach of Program support through the establishment of at least one other provincial TVET Centre and the development of two national strategies - a Disability Inclusion Strategy for the Vanuatu TVET Sector and a National TVET Workplace Literacy and Numeracy Strategy.</w:t>
      </w:r>
    </w:p>
    <w:p w14:paraId="38904F54" w14:textId="274B3825" w:rsidR="008C51B8" w:rsidRDefault="006B7D90" w:rsidP="008C51B8">
      <w:r>
        <w:t xml:space="preserve">The </w:t>
      </w:r>
      <w:r w:rsidR="00983869">
        <w:t>Program</w:t>
      </w:r>
      <w:r>
        <w:t xml:space="preserve"> developed a comprehensive </w:t>
      </w:r>
      <w:r w:rsidR="00983869">
        <w:t xml:space="preserve">Monitoring and Evaluation </w:t>
      </w:r>
      <w:r>
        <w:t xml:space="preserve">Plan to guide all aspects of monitoring and evaluation for Phase 3. </w:t>
      </w:r>
      <w:r w:rsidR="00314B73">
        <w:t xml:space="preserve">As part of </w:t>
      </w:r>
      <w:r w:rsidR="00983869">
        <w:t>the</w:t>
      </w:r>
      <w:r w:rsidR="00314B73">
        <w:t xml:space="preserve"> process</w:t>
      </w:r>
      <w:r w:rsidR="00983869">
        <w:t xml:space="preserve"> of developing the M&amp;E Plan</w:t>
      </w:r>
      <w:r w:rsidR="00314B73">
        <w:t xml:space="preserve">, the </w:t>
      </w:r>
      <w:r w:rsidR="00931101">
        <w:t>program</w:t>
      </w:r>
      <w:r w:rsidR="00314B73">
        <w:t xml:space="preserve"> developed a program logic di</w:t>
      </w:r>
      <w:r w:rsidR="00931101">
        <w:t>agram for Phase 3 (see Annex 1)</w:t>
      </w:r>
      <w:r w:rsidR="00314B73">
        <w:t xml:space="preserve">. </w:t>
      </w:r>
      <w:r>
        <w:t xml:space="preserve">The </w:t>
      </w:r>
      <w:r w:rsidR="0039699A">
        <w:t xml:space="preserve">logic, and the </w:t>
      </w:r>
      <w:r>
        <w:t xml:space="preserve">M&amp;E Plan </w:t>
      </w:r>
      <w:r w:rsidR="00931101">
        <w:t xml:space="preserve">was updated in </w:t>
      </w:r>
      <w:r w:rsidR="0039699A">
        <w:t xml:space="preserve">May 2014 to reflect ongoing developments in the </w:t>
      </w:r>
      <w:r w:rsidR="00BC5DD9">
        <w:t xml:space="preserve">Program </w:t>
      </w:r>
      <w:r w:rsidR="0039699A">
        <w:t>and the lessons learned from the early period of M&amp;E implementation</w:t>
      </w:r>
      <w:r>
        <w:t xml:space="preserve">. </w:t>
      </w:r>
      <w:r w:rsidR="00317849">
        <w:t xml:space="preserve">As well as the program logic, the M&amp;E Plan includes a set of quantitative and qualitative indicators. </w:t>
      </w:r>
    </w:p>
    <w:p w14:paraId="13400948" w14:textId="5684A6C3" w:rsidR="00317849" w:rsidRDefault="002F1248" w:rsidP="00317849">
      <w:pPr>
        <w:pStyle w:val="Heading1"/>
      </w:pPr>
      <w:bookmarkStart w:id="2" w:name="_Toc285716739"/>
      <w:r>
        <w:lastRenderedPageBreak/>
        <w:t>M</w:t>
      </w:r>
      <w:r w:rsidR="009C0CF5">
        <w:t>onitoring and E</w:t>
      </w:r>
      <w:r w:rsidR="009F1F83">
        <w:t xml:space="preserve">valuation </w:t>
      </w:r>
      <w:r w:rsidR="00317849">
        <w:t>Tools and Methods</w:t>
      </w:r>
      <w:bookmarkEnd w:id="2"/>
      <w:r w:rsidR="00317849">
        <w:t xml:space="preserve"> </w:t>
      </w:r>
    </w:p>
    <w:p w14:paraId="0D778C60" w14:textId="1F1EBF6E" w:rsidR="00112C15" w:rsidRDefault="00112C15" w:rsidP="00112C15">
      <w:r>
        <w:t xml:space="preserve">Monitoring and evaluation </w:t>
      </w:r>
      <w:r w:rsidR="005A3FC0">
        <w:t>for the Program</w:t>
      </w:r>
      <w:r>
        <w:t xml:space="preserve"> uses a range of quantitative, qualitative and mixed methods tools to collect and analyse data. It is based on a set of principles, set out in the M&amp;E Plan, and is undertaken with an explicit commitment to ethics and international standards for evaluation work. </w:t>
      </w:r>
      <w:r w:rsidR="005A3FC0" w:rsidRPr="00112C15">
        <w:t>TVET Centre staff are engaged in M&amp;E data collection processes</w:t>
      </w:r>
      <w:r w:rsidR="005A3FC0">
        <w:t>, and participate in p</w:t>
      </w:r>
      <w:r w:rsidR="005A3FC0" w:rsidRPr="00112C15">
        <w:t xml:space="preserve">rogram learning, reflection and adaptive management. Periodic M&amp;E skills workshops are held to build staff capacity to participate in M&amp;E processes and </w:t>
      </w:r>
      <w:r w:rsidR="005A3FC0">
        <w:t>to draw on their experience and insights in the development and refinement of M&amp;E tools and processes</w:t>
      </w:r>
      <w:r w:rsidR="005A3FC0" w:rsidRPr="00112C15">
        <w:t xml:space="preserve">. The M&amp;E system also aims to actively engage </w:t>
      </w:r>
      <w:r w:rsidR="005A3FC0">
        <w:t xml:space="preserve">the Provincial </w:t>
      </w:r>
      <w:r w:rsidR="00901F99">
        <w:t xml:space="preserve">Government </w:t>
      </w:r>
      <w:r w:rsidR="005A3FC0">
        <w:t>Training Boards</w:t>
      </w:r>
      <w:r w:rsidR="005A3FC0" w:rsidRPr="00112C15">
        <w:t xml:space="preserve"> </w:t>
      </w:r>
      <w:r w:rsidR="005A3FC0">
        <w:t>(</w:t>
      </w:r>
      <w:r w:rsidR="005A3FC0" w:rsidRPr="00112C15">
        <w:t>P</w:t>
      </w:r>
      <w:r w:rsidR="00901F99">
        <w:t>G</w:t>
      </w:r>
      <w:r w:rsidR="005A3FC0" w:rsidRPr="00112C15">
        <w:t>TBs</w:t>
      </w:r>
      <w:r w:rsidR="005A3FC0">
        <w:t>)</w:t>
      </w:r>
      <w:r w:rsidR="005A3FC0" w:rsidRPr="00112C15">
        <w:t xml:space="preserve"> in the analysis, interpretation and </w:t>
      </w:r>
      <w:r w:rsidR="005A3FC0">
        <w:t>use</w:t>
      </w:r>
      <w:r w:rsidR="005A3FC0" w:rsidRPr="00112C15">
        <w:t xml:space="preserve"> of results.</w:t>
      </w:r>
    </w:p>
    <w:p w14:paraId="44260495" w14:textId="77777777" w:rsidR="00317849" w:rsidRDefault="00F34A3C" w:rsidP="006B03FE">
      <w:pPr>
        <w:pStyle w:val="Heading3"/>
      </w:pPr>
      <w:r>
        <w:t>Monitoring what we do: Outputs</w:t>
      </w:r>
    </w:p>
    <w:p w14:paraId="018A90D0" w14:textId="77777777" w:rsidR="00F34A3C" w:rsidRDefault="00F34A3C" w:rsidP="008C51B8">
      <w:r>
        <w:t xml:space="preserve">Several tools enable the collection of data for </w:t>
      </w:r>
      <w:r w:rsidR="001A2ED0">
        <w:t xml:space="preserve">monitoring </w:t>
      </w:r>
      <w:r>
        <w:t xml:space="preserve">outputs on a continual basis, particularly focused on accredited training, business development support, and training provider support services: </w:t>
      </w:r>
    </w:p>
    <w:p w14:paraId="3BE23662" w14:textId="17FB144A" w:rsidR="00F34A3C" w:rsidRDefault="00F34A3C" w:rsidP="00F34A3C">
      <w:pPr>
        <w:pStyle w:val="BulletList"/>
      </w:pPr>
      <w:r w:rsidRPr="00A262DC">
        <w:rPr>
          <w:b/>
        </w:rPr>
        <w:t>Baseline Form</w:t>
      </w:r>
      <w:r w:rsidR="000630B2">
        <w:t xml:space="preserve">: Data is collected from all participants in </w:t>
      </w:r>
      <w:r w:rsidR="009052CF">
        <w:t xml:space="preserve">all TVET Centre coordinated </w:t>
      </w:r>
      <w:r w:rsidR="005E0DAF">
        <w:t>accredited training</w:t>
      </w:r>
      <w:r w:rsidR="000630B2">
        <w:t xml:space="preserve"> </w:t>
      </w:r>
      <w:r w:rsidR="00901F99">
        <w:t xml:space="preserve">(AT) </w:t>
      </w:r>
      <w:r w:rsidR="000630B2">
        <w:t xml:space="preserve">and </w:t>
      </w:r>
      <w:r w:rsidR="00901F99">
        <w:t xml:space="preserve">business development </w:t>
      </w:r>
      <w:r w:rsidR="00564169">
        <w:t>services</w:t>
      </w:r>
      <w:r w:rsidR="00901F99">
        <w:t xml:space="preserve"> (</w:t>
      </w:r>
      <w:r w:rsidR="000630B2">
        <w:t>BDS</w:t>
      </w:r>
      <w:r w:rsidR="00901F99">
        <w:t>)</w:t>
      </w:r>
      <w:r w:rsidR="000630B2">
        <w:t xml:space="preserve"> in order to provide insights into the reach and coverage of these activities, enabling analysis by key program variable</w:t>
      </w:r>
      <w:r w:rsidR="009052CF">
        <w:t>s</w:t>
      </w:r>
      <w:r w:rsidR="000630B2">
        <w:t xml:space="preserve"> and providing a baseline against which outcomes can be compared. </w:t>
      </w:r>
    </w:p>
    <w:p w14:paraId="704D17A1" w14:textId="77777777" w:rsidR="00F34A3C" w:rsidRDefault="005E0DAF" w:rsidP="00F34A3C">
      <w:pPr>
        <w:pStyle w:val="BulletList"/>
      </w:pPr>
      <w:r>
        <w:rPr>
          <w:b/>
        </w:rPr>
        <w:t>Accredited Training</w:t>
      </w:r>
      <w:r w:rsidR="00F34A3C" w:rsidRPr="00A262DC">
        <w:rPr>
          <w:b/>
        </w:rPr>
        <w:t xml:space="preserve"> and BDS Progress Reports</w:t>
      </w:r>
      <w:r w:rsidR="00F34A3C">
        <w:t xml:space="preserve">:  </w:t>
      </w:r>
      <w:r w:rsidR="000630B2">
        <w:t xml:space="preserve">TVET Centres consolidate program management data on </w:t>
      </w:r>
      <w:r>
        <w:t>accredited training</w:t>
      </w:r>
      <w:r w:rsidR="000630B2">
        <w:t xml:space="preserve"> and BDS activities into monthly reports, which provide additional reach and coverage data as well as data regarding training provider participation. </w:t>
      </w:r>
    </w:p>
    <w:p w14:paraId="58907279" w14:textId="2477AC7F" w:rsidR="00F34A3C" w:rsidRDefault="00F34A3C" w:rsidP="00F34A3C">
      <w:pPr>
        <w:pStyle w:val="BulletList"/>
      </w:pPr>
      <w:r w:rsidRPr="00A262DC">
        <w:rPr>
          <w:b/>
        </w:rPr>
        <w:t>Participant Feedback Forms</w:t>
      </w:r>
      <w:r w:rsidR="000630B2">
        <w:t xml:space="preserve">: </w:t>
      </w:r>
      <w:r w:rsidR="00D45519">
        <w:t>A simple form collect</w:t>
      </w:r>
      <w:r w:rsidR="00901F99">
        <w:t>s</w:t>
      </w:r>
      <w:r w:rsidR="00D45519">
        <w:t xml:space="preserve"> feedback from </w:t>
      </w:r>
      <w:r w:rsidR="00932FFF">
        <w:t>accredited training</w:t>
      </w:r>
      <w:r w:rsidR="00D45519">
        <w:t xml:space="preserve"> and BDS participants regarding the quality of the activity, utilising a standard set of quality criteria. </w:t>
      </w:r>
    </w:p>
    <w:p w14:paraId="388476E1" w14:textId="0DB0EB42" w:rsidR="00F34A3C" w:rsidRDefault="00932FFF" w:rsidP="00F34A3C">
      <w:pPr>
        <w:pStyle w:val="BulletList"/>
      </w:pPr>
      <w:r>
        <w:rPr>
          <w:b/>
        </w:rPr>
        <w:t>Accredited Training</w:t>
      </w:r>
      <w:r w:rsidR="00F34A3C" w:rsidRPr="00A262DC">
        <w:rPr>
          <w:b/>
        </w:rPr>
        <w:t xml:space="preserve"> and BDS Observations</w:t>
      </w:r>
      <w:r w:rsidR="00D45519">
        <w:t xml:space="preserve">: Quality monitoring is enhanced by routine AT and BDS observations by qualified TVET Centre staff. Staff utilise the standard Observations Record to assess training and BDS delivery according to a set of quality criteria. </w:t>
      </w:r>
    </w:p>
    <w:p w14:paraId="1ADA651F" w14:textId="77777777" w:rsidR="00F34A3C" w:rsidRDefault="00F34A3C" w:rsidP="006B03FE">
      <w:pPr>
        <w:pStyle w:val="Heading3"/>
      </w:pPr>
      <w:r>
        <w:t xml:space="preserve">Monitoring what we achieve: Outcomes </w:t>
      </w:r>
    </w:p>
    <w:p w14:paraId="476606D1" w14:textId="441A662E" w:rsidR="00F34A3C" w:rsidRDefault="00F34A3C" w:rsidP="008C51B8">
      <w:r>
        <w:t xml:space="preserve">The M&amp;E system utilises a number of tools to collect evidence on the extent to which the </w:t>
      </w:r>
      <w:r w:rsidR="00932FFF">
        <w:t>P</w:t>
      </w:r>
      <w:r w:rsidR="00860FDA">
        <w:t>r</w:t>
      </w:r>
      <w:r>
        <w:t xml:space="preserve">ogram progressing towards, and achieving, its outcomes. </w:t>
      </w:r>
    </w:p>
    <w:p w14:paraId="30204E61" w14:textId="603D9D77" w:rsidR="00807906" w:rsidRDefault="00807906" w:rsidP="00807906">
      <w:pPr>
        <w:pStyle w:val="BulletList"/>
      </w:pPr>
      <w:r w:rsidRPr="00A262DC">
        <w:rPr>
          <w:b/>
        </w:rPr>
        <w:t>Participant Outcomes Survey</w:t>
      </w:r>
      <w:r>
        <w:t xml:space="preserve">: </w:t>
      </w:r>
      <w:r w:rsidR="00A11CCE">
        <w:t>The program</w:t>
      </w:r>
      <w:r w:rsidR="00761F8E">
        <w:t xml:space="preserve"> </w:t>
      </w:r>
      <w:r w:rsidR="00860FDA">
        <w:t>began its</w:t>
      </w:r>
      <w:r w:rsidR="00761F8E">
        <w:t xml:space="preserve"> twice-yearly Participant Outcomes Surveys in 2014, </w:t>
      </w:r>
      <w:r w:rsidR="00332EC7">
        <w:t xml:space="preserve">each time </w:t>
      </w:r>
      <w:r w:rsidR="00761F8E">
        <w:t xml:space="preserve">surveying </w:t>
      </w:r>
      <w:r w:rsidR="00332EC7">
        <w:t>a sample of</w:t>
      </w:r>
      <w:r w:rsidR="00761F8E">
        <w:t xml:space="preserve"> past participants to explore their personal, economic and broader outcomes resulting from their </w:t>
      </w:r>
      <w:r w:rsidR="00210BAF">
        <w:t xml:space="preserve">participation in </w:t>
      </w:r>
      <w:r w:rsidR="00761F8E">
        <w:t xml:space="preserve">TVET </w:t>
      </w:r>
      <w:r w:rsidR="00210BAF">
        <w:t xml:space="preserve">Centre </w:t>
      </w:r>
      <w:r w:rsidR="00761F8E">
        <w:t>activities.</w:t>
      </w:r>
      <w:r w:rsidR="00E54BD5">
        <w:t xml:space="preserve"> </w:t>
      </w:r>
    </w:p>
    <w:p w14:paraId="626B9988" w14:textId="47397DE1" w:rsidR="00807906" w:rsidRDefault="00807906" w:rsidP="00807906">
      <w:pPr>
        <w:pStyle w:val="BulletList"/>
      </w:pPr>
      <w:r w:rsidRPr="00A262DC">
        <w:rPr>
          <w:b/>
        </w:rPr>
        <w:t>Case Stud</w:t>
      </w:r>
      <w:r w:rsidR="00332EC7">
        <w:rPr>
          <w:b/>
        </w:rPr>
        <w:t>y DVDs</w:t>
      </w:r>
      <w:r w:rsidR="00A262DC">
        <w:t xml:space="preserve">: </w:t>
      </w:r>
      <w:r w:rsidR="00332EC7">
        <w:t xml:space="preserve">In 2014 the Program </w:t>
      </w:r>
      <w:r w:rsidR="0039699A">
        <w:t xml:space="preserve">prepared the first DVD for Phase 3: </w:t>
      </w:r>
      <w:r w:rsidR="00821EBE" w:rsidRPr="00821EBE">
        <w:rPr>
          <w:i/>
        </w:rPr>
        <w:t>Skilling Women – Empowering Communities</w:t>
      </w:r>
      <w:r w:rsidR="00E54BD5">
        <w:t xml:space="preserve">. </w:t>
      </w:r>
    </w:p>
    <w:p w14:paraId="54EDDC62" w14:textId="34C9C395" w:rsidR="005E0DAF" w:rsidRDefault="005E0DAF" w:rsidP="00807906">
      <w:pPr>
        <w:pStyle w:val="BulletList"/>
      </w:pPr>
      <w:r>
        <w:rPr>
          <w:b/>
        </w:rPr>
        <w:t>Annual Stakeholder Interviews</w:t>
      </w:r>
      <w:r w:rsidR="00332EC7">
        <w:t>: The</w:t>
      </w:r>
      <w:r>
        <w:t xml:space="preserve"> M&amp;E </w:t>
      </w:r>
      <w:r w:rsidR="00332EC7">
        <w:t>Specialist</w:t>
      </w:r>
      <w:r>
        <w:t xml:space="preserve"> undertake</w:t>
      </w:r>
      <w:r w:rsidR="00332EC7">
        <w:t>s</w:t>
      </w:r>
      <w:r>
        <w:t xml:space="preserve"> semi-structure</w:t>
      </w:r>
      <w:r w:rsidR="00210BAF">
        <w:t>d</w:t>
      </w:r>
      <w:r>
        <w:t xml:space="preserve"> interviews to collect qualitative data from key program </w:t>
      </w:r>
      <w:r w:rsidR="00332EC7">
        <w:t>personnel</w:t>
      </w:r>
      <w:r>
        <w:t xml:space="preserve">, government </w:t>
      </w:r>
      <w:r w:rsidR="00210BAF">
        <w:t xml:space="preserve">and productive sector </w:t>
      </w:r>
      <w:r>
        <w:t xml:space="preserve">stakeholders and other key respondents, focusing on monitoring progress towards </w:t>
      </w:r>
      <w:r w:rsidR="00210BAF">
        <w:t xml:space="preserve">systemic-related </w:t>
      </w:r>
      <w:r>
        <w:t xml:space="preserve">outcomes at the national and provincial levels. </w:t>
      </w:r>
    </w:p>
    <w:p w14:paraId="442C7D9C" w14:textId="345E51DE" w:rsidR="00F34A3C" w:rsidRDefault="00657543" w:rsidP="008C51B8">
      <w:r>
        <w:t>In addition to these routine monitoring and evaluation activities,</w:t>
      </w:r>
      <w:r w:rsidR="00821EBE">
        <w:t xml:space="preserve"> the Program is working with the Department of Foreign Affairs and Trade (DFAT) to support a more independent </w:t>
      </w:r>
      <w:r w:rsidR="00821EBE">
        <w:lastRenderedPageBreak/>
        <w:t>evaluation of the Program. Currently scheduled for May 2015, and likely to include both qualitative and quantitative approaches, this evaluation should contribute important evidence</w:t>
      </w:r>
      <w:r w:rsidR="00C26524">
        <w:t xml:space="preserve"> </w:t>
      </w:r>
      <w:r w:rsidR="00CF2E10">
        <w:t>showing what works, under which conditions</w:t>
      </w:r>
      <w:r w:rsidR="00901F99">
        <w:t xml:space="preserve"> (why, and how)</w:t>
      </w:r>
      <w:r w:rsidR="00CF2E10">
        <w:t xml:space="preserve">, </w:t>
      </w:r>
      <w:r w:rsidR="00901F99">
        <w:t xml:space="preserve">and </w:t>
      </w:r>
      <w:r w:rsidR="00CF2E10">
        <w:t xml:space="preserve">for whom. </w:t>
      </w:r>
    </w:p>
    <w:p w14:paraId="64D44F52" w14:textId="67AB4B5F" w:rsidR="00C26524" w:rsidRDefault="009F1F83" w:rsidP="009F1F83">
      <w:pPr>
        <w:pStyle w:val="Heading1"/>
      </w:pPr>
      <w:bookmarkStart w:id="3" w:name="_Toc285716740"/>
      <w:r>
        <w:t>Major Activities in 2014</w:t>
      </w:r>
      <w:bookmarkEnd w:id="3"/>
      <w:r>
        <w:t xml:space="preserve"> </w:t>
      </w:r>
    </w:p>
    <w:p w14:paraId="5BBDD6EE" w14:textId="1D42BF37" w:rsidR="009F1F83" w:rsidRPr="009F1F83" w:rsidRDefault="009F1F83" w:rsidP="009F1F83">
      <w:r>
        <w:t xml:space="preserve">There were </w:t>
      </w:r>
      <w:r w:rsidR="00C45C52">
        <w:t>many</w:t>
      </w:r>
      <w:r>
        <w:t xml:space="preserve"> significant activities in 2014, in addition to the ongoing implementation of </w:t>
      </w:r>
      <w:r w:rsidR="00C45C52">
        <w:t>established</w:t>
      </w:r>
      <w:r>
        <w:t xml:space="preserve"> Program</w:t>
      </w:r>
      <w:r w:rsidR="00C45C52">
        <w:t xml:space="preserve"> activities</w:t>
      </w:r>
      <w:r>
        <w:t xml:space="preserve">. </w:t>
      </w:r>
      <w:r w:rsidR="00C150E4">
        <w:t>A number of these</w:t>
      </w:r>
      <w:r>
        <w:t xml:space="preserve"> are noted below, and discussed further in relevant sections of the Report. </w:t>
      </w:r>
    </w:p>
    <w:p w14:paraId="2CFC573B" w14:textId="4D902725" w:rsidR="009F1F83" w:rsidRDefault="009F1F83" w:rsidP="002F1248">
      <w:pPr>
        <w:pStyle w:val="Heading3"/>
      </w:pPr>
      <w:bookmarkStart w:id="4" w:name="_Toc285711811"/>
      <w:r>
        <w:t>Torba Opening</w:t>
      </w:r>
      <w:bookmarkEnd w:id="4"/>
      <w:r>
        <w:t xml:space="preserve"> </w:t>
      </w:r>
    </w:p>
    <w:p w14:paraId="057EB119" w14:textId="6A13E409" w:rsidR="00BE6F09" w:rsidRDefault="00BE6F09" w:rsidP="00BE6F09">
      <w:r>
        <w:t xml:space="preserve">The most public and prominent development in 2014 was the opening of the third TVET Centre in Torba Province, following the competitive process undertaken in 2013 to select the Province which would host the </w:t>
      </w:r>
      <w:r w:rsidR="004123E1">
        <w:t xml:space="preserve">new </w:t>
      </w:r>
      <w:r>
        <w:t xml:space="preserve">Centre. </w:t>
      </w:r>
      <w:r w:rsidR="00D74794">
        <w:t xml:space="preserve">An important aspect of the approach to establishing the TVET Centre in Torba </w:t>
      </w:r>
      <w:r w:rsidR="00BE7CBF">
        <w:t>was</w:t>
      </w:r>
      <w:r w:rsidR="00D74794">
        <w:t xml:space="preserve"> its strength-based approach. The Chair of the Torba P</w:t>
      </w:r>
      <w:r w:rsidR="00BE7CBF">
        <w:t xml:space="preserve">rovincial </w:t>
      </w:r>
      <w:r w:rsidR="00C45C52">
        <w:t>G</w:t>
      </w:r>
      <w:r w:rsidR="00BE7CBF">
        <w:t xml:space="preserve">overnment </w:t>
      </w:r>
      <w:r w:rsidR="00D74794">
        <w:t>T</w:t>
      </w:r>
      <w:r w:rsidR="00BE7CBF">
        <w:t xml:space="preserve">raining </w:t>
      </w:r>
      <w:r w:rsidR="00D74794">
        <w:t>B</w:t>
      </w:r>
      <w:r w:rsidR="00BE7CBF">
        <w:t>oard (PGTB)</w:t>
      </w:r>
      <w:r w:rsidR="00D74794">
        <w:t xml:space="preserve"> has highlighted the importance of the fact that the TVET Centre is in Torba not because of its isolation or disadvantage, but because it </w:t>
      </w:r>
      <w:r w:rsidR="004123E1">
        <w:t xml:space="preserve">successfully </w:t>
      </w:r>
      <w:r w:rsidR="00D74794">
        <w:t xml:space="preserve">competed </w:t>
      </w:r>
      <w:r w:rsidR="004123E1">
        <w:t xml:space="preserve">in a transparent selection process </w:t>
      </w:r>
      <w:r w:rsidR="00D74794">
        <w:t>against other provinces on the basis of formal and equal criteria. This was also emphasised by many Torba representatives during the joyful opening ceremony in Sola in October 2014. This appears to have contributed to what is emerging as a very strong and positive relationship between the TVET Centre, the Torba P</w:t>
      </w:r>
      <w:r w:rsidR="00C45C52">
        <w:t>G</w:t>
      </w:r>
      <w:r w:rsidR="00D74794">
        <w:t xml:space="preserve">TB and other stakeholders across the province. </w:t>
      </w:r>
    </w:p>
    <w:p w14:paraId="23C2DB15" w14:textId="77777777" w:rsidR="00AD1BCF" w:rsidRDefault="00AD1BCF" w:rsidP="00AD1BCF">
      <w:pPr>
        <w:pStyle w:val="Quote"/>
      </w:pPr>
      <w:r>
        <w:t>“The grassroots people… they spend (much) of their time sitting and listening to speeches with all these terms like “agriculture is important”, “tourism is important”….but it’s like, after some years, it becomes like a kastom story… workshop after workshop and information after information…But now… people see that not only is TVET coming in to teach and train, but also to counsel. We have many workshops, but TVET is unique because it comes and says ‘according to your context’ and the system of TVET becomes ….the most successful Program or organisation to really sink into, adapt into, the system. Very easily. That’s the very important point: the Provincial Government finds it very easy to work with TVET…. Because it comes with the nambawan approach….it comes into the system, respects the system, and that really helps us.”</w:t>
      </w:r>
      <w:r>
        <w:rPr>
          <w:rStyle w:val="FootnoteReference"/>
        </w:rPr>
        <w:footnoteReference w:id="1"/>
      </w:r>
    </w:p>
    <w:p w14:paraId="4A4D15B0" w14:textId="5A1A3B30" w:rsidR="00BE6F09" w:rsidRDefault="00C45C52" w:rsidP="00BE6F09">
      <w:r w:rsidRPr="00263C00">
        <w:rPr>
          <w:noProof/>
          <w:lang w:val="en-GB" w:eastAsia="en-GB"/>
        </w:rPr>
        <w:drawing>
          <wp:anchor distT="0" distB="0" distL="114300" distR="114300" simplePos="0" relativeHeight="251684352" behindDoc="1" locked="0" layoutInCell="1" allowOverlap="1" wp14:anchorId="5F1E6ECE" wp14:editId="1CC7F8E7">
            <wp:simplePos x="0" y="0"/>
            <wp:positionH relativeFrom="column">
              <wp:posOffset>0</wp:posOffset>
            </wp:positionH>
            <wp:positionV relativeFrom="paragraph">
              <wp:posOffset>161925</wp:posOffset>
            </wp:positionV>
            <wp:extent cx="3810000" cy="2070735"/>
            <wp:effectExtent l="0" t="0" r="0" b="1206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07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5E439" w14:textId="579D6F3B" w:rsidR="00BE6F09" w:rsidRDefault="00BE6F09" w:rsidP="00BE6F09"/>
    <w:p w14:paraId="365105AC" w14:textId="77777777" w:rsidR="00BE6F09" w:rsidRDefault="00BE6F09" w:rsidP="00BE6F09"/>
    <w:p w14:paraId="31776CA8" w14:textId="77777777" w:rsidR="009F1F83" w:rsidRDefault="009F1F83" w:rsidP="008C51B8"/>
    <w:p w14:paraId="3F7DA1CA" w14:textId="45D05B33" w:rsidR="00263C00" w:rsidRDefault="00263C00" w:rsidP="009F1F83">
      <w:pPr>
        <w:pStyle w:val="Heading2"/>
      </w:pPr>
    </w:p>
    <w:p w14:paraId="51B49255" w14:textId="65478619" w:rsidR="00263C00" w:rsidRDefault="00C45C52" w:rsidP="009F1F83">
      <w:pPr>
        <w:pStyle w:val="Heading2"/>
      </w:pPr>
      <w:r w:rsidRPr="00263C00">
        <w:rPr>
          <w:noProof/>
          <w:lang w:val="en-GB" w:eastAsia="en-GB"/>
        </w:rPr>
        <w:drawing>
          <wp:anchor distT="0" distB="0" distL="114300" distR="114300" simplePos="0" relativeHeight="251685376" behindDoc="1" locked="0" layoutInCell="1" allowOverlap="1" wp14:anchorId="0448D98F" wp14:editId="229453DB">
            <wp:simplePos x="0" y="0"/>
            <wp:positionH relativeFrom="column">
              <wp:posOffset>2971800</wp:posOffset>
            </wp:positionH>
            <wp:positionV relativeFrom="paragraph">
              <wp:posOffset>1270</wp:posOffset>
            </wp:positionV>
            <wp:extent cx="2461895" cy="1637030"/>
            <wp:effectExtent l="0" t="0" r="1905"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1895"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E9974" w14:textId="77777777" w:rsidR="00263C00" w:rsidRDefault="00263C00" w:rsidP="009F1F83">
      <w:pPr>
        <w:pStyle w:val="Heading2"/>
      </w:pPr>
    </w:p>
    <w:p w14:paraId="2331B110" w14:textId="77777777" w:rsidR="00263C00" w:rsidRDefault="00263C00" w:rsidP="009F1F83">
      <w:pPr>
        <w:pStyle w:val="Heading2"/>
      </w:pPr>
    </w:p>
    <w:p w14:paraId="446275F3" w14:textId="77777777" w:rsidR="00263C00" w:rsidRDefault="00263C00" w:rsidP="009F1F83">
      <w:pPr>
        <w:pStyle w:val="Heading2"/>
      </w:pPr>
    </w:p>
    <w:p w14:paraId="1053BB87" w14:textId="77777777" w:rsidR="00263C00" w:rsidRDefault="00263C00" w:rsidP="009F1F83">
      <w:pPr>
        <w:pStyle w:val="Heading2"/>
      </w:pPr>
    </w:p>
    <w:p w14:paraId="749D8745" w14:textId="77777777" w:rsidR="00C45C52" w:rsidRDefault="00C45C52" w:rsidP="00C45C52"/>
    <w:p w14:paraId="5A5B61BE" w14:textId="77777777" w:rsidR="00C45C52" w:rsidRPr="00C45C52" w:rsidRDefault="00C45C52" w:rsidP="00C45C52"/>
    <w:p w14:paraId="1B13A56C" w14:textId="14EC3967" w:rsidR="009F1F83" w:rsidRDefault="009F1F83" w:rsidP="002F1248">
      <w:pPr>
        <w:pStyle w:val="Heading3"/>
      </w:pPr>
      <w:bookmarkStart w:id="5" w:name="_Toc285711812"/>
      <w:r>
        <w:lastRenderedPageBreak/>
        <w:t>Team Leader Transition</w:t>
      </w:r>
      <w:bookmarkEnd w:id="5"/>
      <w:r>
        <w:t xml:space="preserve"> </w:t>
      </w:r>
    </w:p>
    <w:p w14:paraId="7D4DB6A8" w14:textId="0D7A4465" w:rsidR="007353DC" w:rsidRDefault="00193EF6" w:rsidP="008C51B8">
      <w:r>
        <w:t xml:space="preserve">The long-standing commitment of the Program to localisation, to minimising expatriate staff, and to embedding the Program in Vanuatu and its systems, reached its zenith in December 2014 with the official transition of team leadership to the new Team Leader, Fremden </w:t>
      </w:r>
      <w:r w:rsidR="00CB429C">
        <w:t>Yanhambath. This process reflects the multi-year investment that DFAT and the Program have made in staff development</w:t>
      </w:r>
      <w:r w:rsidR="006674B6">
        <w:t>.</w:t>
      </w:r>
      <w:r w:rsidR="007353DC">
        <w:t xml:space="preserve"> </w:t>
      </w:r>
      <w:r w:rsidR="006674B6">
        <w:t>It realises the original and clear strategic vision of Technical Director Peter Morris, with his focus on localisation,</w:t>
      </w:r>
      <w:r w:rsidR="007353DC">
        <w:t xml:space="preserve"> </w:t>
      </w:r>
      <w:r w:rsidR="006674B6">
        <w:t xml:space="preserve">and </w:t>
      </w:r>
      <w:r w:rsidR="007353DC">
        <w:t xml:space="preserve">represents a unique achievement in the history of donor-funded development programs in Vanuatu. </w:t>
      </w:r>
      <w:r w:rsidR="00924141">
        <w:t>In the year since he completed his Master’s stu</w:t>
      </w:r>
      <w:r w:rsidR="00E62931">
        <w:t>dies in Australia he has establi</w:t>
      </w:r>
      <w:r w:rsidR="00924141">
        <w:t>shed his leadership and authority across Pro</w:t>
      </w:r>
      <w:r w:rsidR="00E62931">
        <w:t xml:space="preserve">gram staff and stakeholders, including those within the Government of Vanuatu, laying the foundation for a new level of closeness for the Program and its partners. </w:t>
      </w:r>
      <w:r w:rsidR="00490B79">
        <w:t xml:space="preserve">The transition of Program leadership to Fremden </w:t>
      </w:r>
      <w:r w:rsidR="00820BAE">
        <w:t xml:space="preserve">also </w:t>
      </w:r>
      <w:r w:rsidR="00490B79">
        <w:t xml:space="preserve">reflects </w:t>
      </w:r>
      <w:r w:rsidR="00820BAE">
        <w:t xml:space="preserve">his own patient and professional commitment to the Program over five years of involvement. </w:t>
      </w:r>
    </w:p>
    <w:p w14:paraId="197444EA" w14:textId="269EA0F2" w:rsidR="00007861" w:rsidRDefault="00343D48" w:rsidP="008C51B8">
      <w:r>
        <w:t>It is also difficult to overstate the importance of the outgoing Team Leader Anna Gibert in the achievements of the Program. Multiple stakeholders from Government, from training providers, and amongst Program staff, emphasised the value of her work and her approach. With cultural understanding, communication skills in all three languages, her tireless commitment to supporting TVET development in Vanuatu and, importantly, her emphasis on relationship building as the bedrock of development, she has built a culture of</w:t>
      </w:r>
      <w:r w:rsidR="00597AFD">
        <w:t xml:space="preserve"> professionalism, respect and relational spirit across the Program team. </w:t>
      </w:r>
      <w:r w:rsidR="00B64BA9">
        <w:t xml:space="preserve">This has been fundamental to the continuing performance of the Program. </w:t>
      </w:r>
    </w:p>
    <w:p w14:paraId="4562EF7F" w14:textId="2F61B1BB" w:rsidR="009F1F83" w:rsidRDefault="009F1F83" w:rsidP="002F1248">
      <w:pPr>
        <w:pStyle w:val="Heading3"/>
      </w:pPr>
      <w:bookmarkStart w:id="6" w:name="_Toc285711813"/>
      <w:r>
        <w:t>Technical Assistance Inputs</w:t>
      </w:r>
      <w:bookmarkEnd w:id="6"/>
      <w:r>
        <w:t xml:space="preserve"> </w:t>
      </w:r>
    </w:p>
    <w:p w14:paraId="0CB1411B" w14:textId="54DFC311" w:rsidR="0019245A" w:rsidRDefault="009F1F83" w:rsidP="008C51B8">
      <w:r>
        <w:t xml:space="preserve">The past year was characterised by an unusual level of </w:t>
      </w:r>
      <w:r w:rsidR="00FC6030">
        <w:t xml:space="preserve">additional </w:t>
      </w:r>
      <w:r>
        <w:t xml:space="preserve">technical assistance </w:t>
      </w:r>
      <w:r w:rsidR="00FC6030">
        <w:t xml:space="preserve">(TA) </w:t>
      </w:r>
      <w:r>
        <w:t xml:space="preserve">activity on the Program, utilising the unallocated adviser budget. This level of TA, not seen on the Program before, was possible in response to several important opportunities arising in the TVET sector and </w:t>
      </w:r>
      <w:r w:rsidR="00F61028">
        <w:t xml:space="preserve">was </w:t>
      </w:r>
      <w:r>
        <w:t xml:space="preserve">enabled by the growing strength of commitment to the sector across the Government of Vanuatu. </w:t>
      </w:r>
      <w:r w:rsidR="00B2235B">
        <w:t>This growing commitment</w:t>
      </w:r>
      <w:r w:rsidR="00283657">
        <w:t xml:space="preserve"> and partnership approach</w:t>
      </w:r>
      <w:r w:rsidR="00B2235B">
        <w:t xml:space="preserve"> resulted in t</w:t>
      </w:r>
      <w:r w:rsidR="007353DC">
        <w:t xml:space="preserve">echnical assistance </w:t>
      </w:r>
      <w:r w:rsidR="00283657">
        <w:t>being meaningfully directed</w:t>
      </w:r>
      <w:r w:rsidR="007353DC">
        <w:t xml:space="preserve"> in a number of key areas</w:t>
      </w:r>
      <w:r w:rsidR="00FC6030">
        <w:t>, complementing the ongoing work of the TVET Systems Adviser</w:t>
      </w:r>
      <w:r w:rsidR="007353DC">
        <w:t xml:space="preserve">: </w:t>
      </w:r>
    </w:p>
    <w:p w14:paraId="71CCDAD6" w14:textId="2FAD65A7" w:rsidR="00C031D1" w:rsidRDefault="00C031D1" w:rsidP="00AD1BCF">
      <w:pPr>
        <w:pStyle w:val="BulletList"/>
      </w:pPr>
      <w:r w:rsidRPr="00AD1BCF">
        <w:rPr>
          <w:b/>
        </w:rPr>
        <w:t>Quality Coach for Training Providers</w:t>
      </w:r>
      <w:r w:rsidR="0019245A">
        <w:t xml:space="preserve">. </w:t>
      </w:r>
      <w:r w:rsidR="00F70BE5">
        <w:t>Jane Wiesner worked for six months to support eighteen training providers across Vanuatu to develop their quality management system (QMS), so that they could meet the requirements of the Vanuatu Qualifications Training Framework (VQTF) and secure their re-registration with the Vanuatu Qualifications Authority</w:t>
      </w:r>
      <w:r w:rsidR="00BF2E90">
        <w:t xml:space="preserve"> (VQA)</w:t>
      </w:r>
      <w:r w:rsidR="00F70BE5">
        <w:t xml:space="preserve">. </w:t>
      </w:r>
    </w:p>
    <w:p w14:paraId="5916E15B" w14:textId="3070734D" w:rsidR="00F52323" w:rsidRDefault="00C031D1" w:rsidP="00802D71">
      <w:pPr>
        <w:pStyle w:val="BulletList"/>
      </w:pPr>
      <w:r w:rsidRPr="00802D71">
        <w:rPr>
          <w:b/>
        </w:rPr>
        <w:t>Skills Planning Adviser</w:t>
      </w:r>
      <w:r w:rsidR="00802D71">
        <w:t xml:space="preserve">. </w:t>
      </w:r>
      <w:r w:rsidR="0064285D">
        <w:t xml:space="preserve">Nick Crosling worked across two three-month assignments to develop Skills Plans for all six provinces of Vanuatu. </w:t>
      </w:r>
      <w:r w:rsidR="00F61028">
        <w:t xml:space="preserve">The process was founded on close consultation and collaboration with Provincial Government Training Boards and representatives from the private sector and industry groups. </w:t>
      </w:r>
    </w:p>
    <w:p w14:paraId="107E8CBD" w14:textId="2C0CE3CA" w:rsidR="0009591F" w:rsidRDefault="00F52323" w:rsidP="0019245A">
      <w:pPr>
        <w:pStyle w:val="BulletList"/>
      </w:pPr>
      <w:r w:rsidRPr="0019245A">
        <w:rPr>
          <w:b/>
        </w:rPr>
        <w:t>TVET Teacher and Manager Qualifications</w:t>
      </w:r>
      <w:r w:rsidR="0019245A">
        <w:t xml:space="preserve">. </w:t>
      </w:r>
      <w:r w:rsidR="00F61028">
        <w:t xml:space="preserve">Sue Hamilton </w:t>
      </w:r>
      <w:r w:rsidR="00892E4E">
        <w:t xml:space="preserve">worked </w:t>
      </w:r>
      <w:r w:rsidR="00F61028">
        <w:t xml:space="preserve">for </w:t>
      </w:r>
      <w:r w:rsidR="006674B6">
        <w:t>three</w:t>
      </w:r>
      <w:r w:rsidR="00F61028">
        <w:t xml:space="preserve"> months with the VQA </w:t>
      </w:r>
      <w:r w:rsidR="00F61028" w:rsidRPr="0092735E">
        <w:t>to review the existing trainer regulatory framework and it</w:t>
      </w:r>
      <w:r w:rsidR="00F61028">
        <w:t>s</w:t>
      </w:r>
      <w:r w:rsidR="00F61028" w:rsidRPr="0092735E">
        <w:t xml:space="preserve"> associated qualifications</w:t>
      </w:r>
      <w:r w:rsidR="00F61028">
        <w:t>.</w:t>
      </w:r>
      <w:r w:rsidR="00F61028" w:rsidRPr="0092735E">
        <w:t xml:space="preserve"> </w:t>
      </w:r>
      <w:r w:rsidR="00F61028">
        <w:t>She worked to revise</w:t>
      </w:r>
      <w:r w:rsidR="00F61028" w:rsidRPr="0092735E">
        <w:t xml:space="preserve"> policies, strategies and qualifications</w:t>
      </w:r>
      <w:r w:rsidR="00F61028">
        <w:t xml:space="preserve"> so they are now in line with VQA </w:t>
      </w:r>
      <w:r w:rsidR="00F61028" w:rsidRPr="0092735E">
        <w:t xml:space="preserve">quality standards. </w:t>
      </w:r>
    </w:p>
    <w:p w14:paraId="7AA36726" w14:textId="04527958" w:rsidR="00D7011D" w:rsidRPr="00AD1BCF" w:rsidRDefault="00D7011D" w:rsidP="0019245A">
      <w:pPr>
        <w:pStyle w:val="BulletList"/>
      </w:pPr>
      <w:r w:rsidRPr="0019245A">
        <w:rPr>
          <w:b/>
        </w:rPr>
        <w:t>Workplace Language, Literacy and Numeracy</w:t>
      </w:r>
      <w:r w:rsidR="0019245A">
        <w:rPr>
          <w:b/>
        </w:rPr>
        <w:t xml:space="preserve">. </w:t>
      </w:r>
      <w:r w:rsidR="0019245A">
        <w:t>C</w:t>
      </w:r>
      <w:r w:rsidR="00662B50">
        <w:t xml:space="preserve">arol Macreadie worked for </w:t>
      </w:r>
      <w:r w:rsidR="002D3169">
        <w:t>four</w:t>
      </w:r>
      <w:r w:rsidR="00662B50">
        <w:t xml:space="preserve"> months to develop four products to support language, literacy and numeracy </w:t>
      </w:r>
      <w:r w:rsidR="003B7401">
        <w:t xml:space="preserve">(LLN) </w:t>
      </w:r>
      <w:r w:rsidR="00662B50">
        <w:t>issues amongst adults in the workplace, and in training. Following intensive work</w:t>
      </w:r>
      <w:r w:rsidR="00F52323">
        <w:t xml:space="preserve"> in collaboration with the VQA and two working groups of stakeholders, Vanuatu now has </w:t>
      </w:r>
      <w:r w:rsidR="00F52323" w:rsidRPr="00AD1BCF">
        <w:t xml:space="preserve">a National Adult LLN Skills Framework, a National Adult LLN Assessment Kit, three </w:t>
      </w:r>
      <w:r w:rsidR="00F52323" w:rsidRPr="00AD1BCF">
        <w:lastRenderedPageBreak/>
        <w:t xml:space="preserve">literacy and three numeracy units for inclusion in Vanuatu’s Generic Skills Training Package, and LLN units within the new Vanuatu Certificate IV in Training and Assessment. </w:t>
      </w:r>
    </w:p>
    <w:p w14:paraId="415EF885" w14:textId="02025CC3" w:rsidR="00AC0268" w:rsidRDefault="008F7815" w:rsidP="0019245A">
      <w:pPr>
        <w:pStyle w:val="BulletList"/>
      </w:pPr>
      <w:r w:rsidRPr="0019245A">
        <w:rPr>
          <w:b/>
        </w:rPr>
        <w:t>Tourism and Hospitality</w:t>
      </w:r>
      <w:r w:rsidR="0019245A" w:rsidRPr="0019245A">
        <w:rPr>
          <w:b/>
        </w:rPr>
        <w:t xml:space="preserve"> Curriculum Training Specialist</w:t>
      </w:r>
      <w:r w:rsidR="0019245A">
        <w:t xml:space="preserve">. </w:t>
      </w:r>
      <w:r w:rsidR="00892E4E">
        <w:t xml:space="preserve">Over late 2014 and into 2015, </w:t>
      </w:r>
      <w:r>
        <w:t xml:space="preserve">Anthony Bailey </w:t>
      </w:r>
      <w:r w:rsidR="00892E4E">
        <w:t>is working</w:t>
      </w:r>
      <w:r>
        <w:t xml:space="preserve"> in </w:t>
      </w:r>
      <w:r w:rsidR="00BF2E90">
        <w:t xml:space="preserve">national </w:t>
      </w:r>
      <w:r>
        <w:t xml:space="preserve">curriculum development for the </w:t>
      </w:r>
      <w:r w:rsidR="00892E4E">
        <w:t xml:space="preserve">tourism </w:t>
      </w:r>
      <w:r>
        <w:t>sector</w:t>
      </w:r>
      <w:r w:rsidR="00BF2E90">
        <w:t xml:space="preserve"> in close collaboration with the VQA</w:t>
      </w:r>
      <w:r>
        <w:t xml:space="preserve">. </w:t>
      </w:r>
      <w:r w:rsidR="00506F38">
        <w:t xml:space="preserve">During the first input, in 2014, </w:t>
      </w:r>
      <w:r w:rsidR="00892E4E">
        <w:t>he</w:t>
      </w:r>
      <w:r w:rsidR="00CF0ED9">
        <w:t xml:space="preserve"> developed two Certificate 1 in Tourism qualifications (Tour Guiding and Accommodation Services). The qualifications include generic skills of competency and basic bookkeeping, as well as specific competencies, and the Specialist also developed necessary additional teaching and learning materials. The two Certificates will be piloted early in 2015, working with selected training providers and trainers. </w:t>
      </w:r>
    </w:p>
    <w:p w14:paraId="768CA566" w14:textId="4A2C206F" w:rsidR="006674B6" w:rsidRDefault="006674B6" w:rsidP="0019245A">
      <w:pPr>
        <w:pStyle w:val="BulletList"/>
      </w:pPr>
      <w:r>
        <w:rPr>
          <w:b/>
        </w:rPr>
        <w:t>Gender Adviser</w:t>
      </w:r>
      <w:r w:rsidRPr="006674B6">
        <w:t>.</w:t>
      </w:r>
      <w:r>
        <w:t xml:space="preserve"> </w:t>
      </w:r>
      <w:r w:rsidRPr="006674B6">
        <w:t xml:space="preserve">Lindy </w:t>
      </w:r>
      <w:r w:rsidR="009F4C63">
        <w:t>Kanan worked for six months, based at the Malampa TVET Centre, to advocate for women’s participation in skills development, to build skills and knowledge amongst Program staff and stakeholders, and to support the development of the Gender Equality Strategy for the TVET Centres.</w:t>
      </w:r>
    </w:p>
    <w:p w14:paraId="793EE3F0" w14:textId="3C8F8F33" w:rsidR="000C699E" w:rsidRDefault="000C699E" w:rsidP="002F1248">
      <w:pPr>
        <w:pStyle w:val="Heading4"/>
      </w:pPr>
      <w:r>
        <w:t xml:space="preserve">Lessons </w:t>
      </w:r>
    </w:p>
    <w:p w14:paraId="1A9C5319" w14:textId="155893FA" w:rsidR="003C7FC9" w:rsidRDefault="000C699E" w:rsidP="008C51B8">
      <w:r>
        <w:t>A numbe</w:t>
      </w:r>
      <w:r w:rsidR="00A6034B">
        <w:t>r of lessons can be drawn</w:t>
      </w:r>
      <w:r>
        <w:t xml:space="preserve"> from the intensive provision of technical assistance in 2014</w:t>
      </w:r>
      <w:r w:rsidR="00993A79">
        <w:t xml:space="preserve">. In general, the TA inputs were more effective than they otherwise might have been because they were </w:t>
      </w:r>
      <w:r w:rsidR="00B17982">
        <w:t xml:space="preserve">tightly </w:t>
      </w:r>
      <w:r w:rsidR="00993A79">
        <w:t xml:space="preserve">specified and targeted specific technical areas, in response to </w:t>
      </w:r>
      <w:r w:rsidR="006048E2">
        <w:t xml:space="preserve">clear </w:t>
      </w:r>
      <w:r w:rsidR="00993A79">
        <w:t>opportunities and needs. In other words, 2014 appeared to be the ‘right’ time for TA after a long period of focusing on building processes, demonstrating local delivery, and developing the deep relationships that ul</w:t>
      </w:r>
      <w:r w:rsidR="006048E2">
        <w:t>timately made technical input more</w:t>
      </w:r>
      <w:r w:rsidR="00993A79">
        <w:t xml:space="preserve"> effective. </w:t>
      </w:r>
      <w:r w:rsidR="003C7FC9">
        <w:t xml:space="preserve">The existence of a discretionary budget for technical advisers was an essential element of flexibility that enabled the Program to be responsive and creative in providing technical input. </w:t>
      </w:r>
    </w:p>
    <w:p w14:paraId="7CBB67F1" w14:textId="2BE637C7" w:rsidR="000C699E" w:rsidRDefault="006048E2" w:rsidP="008C51B8">
      <w:r>
        <w:t>But short-term TA can place substantial demands on Program staff and on those within counterpart organisations who work most closely with advisers. In 2014 the Program placed heavy demands on some Program staff (particularly the operations staff and the TPSS Manager) with multiple concurrent TA inputs, and also caused some challenges for key VQA personnel who were trying to engage with more than one adviser, and advisory task, at once. This was particularly so for the CEO, who was central to much of the technical work. A more sequenced approached may have been more manageable</w:t>
      </w:r>
      <w:r w:rsidR="00892E4E">
        <w:t xml:space="preserve"> for all involved</w:t>
      </w:r>
      <w:r>
        <w:t>.</w:t>
      </w:r>
      <w:r w:rsidR="00892E4E">
        <w:t xml:space="preserve"> However feedback from stakeholder interviews and in discussions at PGTB and </w:t>
      </w:r>
      <w:r w:rsidR="00564169">
        <w:t>Strategic Advisory Group (SAG)</w:t>
      </w:r>
      <w:r w:rsidR="00892E4E">
        <w:t xml:space="preserve"> meetings was almost universally positive on the work of the advisers and the value and relevance of their products. </w:t>
      </w:r>
      <w:r>
        <w:t xml:space="preserve"> </w:t>
      </w:r>
    </w:p>
    <w:p w14:paraId="3AE4779F" w14:textId="77777777" w:rsidR="007D565F" w:rsidRDefault="007D565F">
      <w:pPr>
        <w:suppressAutoHyphens w:val="0"/>
        <w:spacing w:before="0" w:after="0"/>
      </w:pPr>
      <w:r>
        <w:br w:type="page"/>
      </w:r>
    </w:p>
    <w:p w14:paraId="79DB939F" w14:textId="2008C191" w:rsidR="00112C15" w:rsidRDefault="00112C15" w:rsidP="00112C15">
      <w:pPr>
        <w:pStyle w:val="Heading1"/>
      </w:pPr>
      <w:bookmarkStart w:id="7" w:name="_Toc285716741"/>
      <w:r>
        <w:lastRenderedPageBreak/>
        <w:t>Results</w:t>
      </w:r>
      <w:bookmarkEnd w:id="7"/>
    </w:p>
    <w:p w14:paraId="77BB45AD" w14:textId="43521A43" w:rsidR="00280D5A" w:rsidRDefault="00280D5A" w:rsidP="00280D5A">
      <w:r>
        <w:t>This section summarises the findings of data</w:t>
      </w:r>
      <w:r w:rsidR="00D76FCA">
        <w:t xml:space="preserve"> collected and analysed for 2014, including through routine processes, the Participant Outcomes Survey and end-of-year stakeholder interviews</w:t>
      </w:r>
      <w:r w:rsidR="00E266DD">
        <w:rPr>
          <w:rStyle w:val="FootnoteReference"/>
        </w:rPr>
        <w:footnoteReference w:id="2"/>
      </w:r>
      <w:r>
        <w:t xml:space="preserve">. </w:t>
      </w:r>
      <w:r w:rsidR="003F7493">
        <w:t xml:space="preserve">Evidence is also drawn from other qualitative sources including </w:t>
      </w:r>
      <w:r w:rsidR="00BF2E90">
        <w:t>P</w:t>
      </w:r>
      <w:r w:rsidR="003F7493">
        <w:t xml:space="preserve">rogram and adviser reports, media sources and records of meetings and discussions. </w:t>
      </w:r>
    </w:p>
    <w:p w14:paraId="30B340A2" w14:textId="6A2822EB" w:rsidR="003F7493" w:rsidRDefault="003F7493" w:rsidP="00280D5A">
      <w:r>
        <w:t>Across all data, however, what is striking is the sense that 2014 was the year when many long-term efforts came to fruition</w:t>
      </w:r>
      <w:r w:rsidR="00B17982">
        <w:t xml:space="preserve"> </w:t>
      </w:r>
      <w:r>
        <w:t xml:space="preserve">and the results of </w:t>
      </w:r>
      <w:r w:rsidR="005E41DA">
        <w:t>ongoing</w:t>
      </w:r>
      <w:r>
        <w:t xml:space="preserve">, deep engagement and genuine collaborative relationships became evident. </w:t>
      </w:r>
      <w:r w:rsidR="00630DAB">
        <w:t xml:space="preserve">While this is an annual report, most of the achievements it documents are the result of many years of sustained and </w:t>
      </w:r>
      <w:r w:rsidR="00E41E37">
        <w:t xml:space="preserve">focused effort. </w:t>
      </w:r>
      <w:r>
        <w:t xml:space="preserve">The </w:t>
      </w:r>
      <w:r w:rsidR="002238C5">
        <w:t>forthcoming DFAT</w:t>
      </w:r>
      <w:r>
        <w:t xml:space="preserve"> evaluation of the Program will examine this conclusion further, but this report concludes that the developments across all aspects of </w:t>
      </w:r>
      <w:r w:rsidR="002238C5">
        <w:t>the Program in 2014 demonstrate</w:t>
      </w:r>
      <w:r>
        <w:t xml:space="preserve"> the success of the TVET Sector Strengthening Program design</w:t>
      </w:r>
      <w:r w:rsidR="00B17982">
        <w:t xml:space="preserve"> established in Phase 2</w:t>
      </w:r>
      <w:r w:rsidR="002238C5">
        <w:t xml:space="preserve">, and </w:t>
      </w:r>
      <w:r w:rsidR="005E41DA">
        <w:t>validate</w:t>
      </w:r>
      <w:r w:rsidR="00B17982">
        <w:t>s</w:t>
      </w:r>
      <w:r w:rsidR="005E41DA">
        <w:t xml:space="preserve"> </w:t>
      </w:r>
      <w:r w:rsidR="002238C5">
        <w:t xml:space="preserve">the approach </w:t>
      </w:r>
      <w:r w:rsidR="007C0A47">
        <w:t>the</w:t>
      </w:r>
      <w:r w:rsidR="002238C5">
        <w:t xml:space="preserve"> Program </w:t>
      </w:r>
      <w:r w:rsidR="007C0A47">
        <w:t>team has</w:t>
      </w:r>
      <w:r w:rsidR="002238C5">
        <w:t xml:space="preserve"> taken </w:t>
      </w:r>
      <w:r w:rsidR="007C0A47">
        <w:t>throughout</w:t>
      </w:r>
      <w:r w:rsidR="002238C5">
        <w:t xml:space="preserve"> implementation</w:t>
      </w:r>
      <w:r>
        <w:t>. The combination of a long-term approach, embedded in existing systems with flexibility and capacity to respond to opportunities as the</w:t>
      </w:r>
      <w:r w:rsidR="00AA7AEF">
        <w:t>y ari</w:t>
      </w:r>
      <w:r>
        <w:t>se, and supported by a genuine commitment to localisation</w:t>
      </w:r>
      <w:r w:rsidR="00AA7AEF">
        <w:t>, is paying dividends acr</w:t>
      </w:r>
      <w:r w:rsidR="002238C5">
        <w:t>oss the TVET sector in Vanuatu.</w:t>
      </w:r>
      <w:r w:rsidR="007C0A47">
        <w:t xml:space="preserve"> </w:t>
      </w:r>
    </w:p>
    <w:p w14:paraId="19A7B252" w14:textId="77777777" w:rsidR="00D30C86" w:rsidRPr="00280D5A" w:rsidRDefault="00D30C86" w:rsidP="00D30C86">
      <w:pPr>
        <w:pStyle w:val="Quote"/>
      </w:pPr>
      <w:r>
        <w:t>The approach has been: “relational and contextual, reading the situation….development is relationships, and development in Vanuatu is relationships. So if you are not focused on that you can kiss everything else goodbye…You have to have that mindset, not a technical mindset”</w:t>
      </w:r>
      <w:r>
        <w:rPr>
          <w:rStyle w:val="FootnoteReference"/>
        </w:rPr>
        <w:footnoteReference w:id="3"/>
      </w:r>
    </w:p>
    <w:p w14:paraId="71D4AA20" w14:textId="5122177B" w:rsidR="0083303B" w:rsidRDefault="0083303B" w:rsidP="0083303B">
      <w:r>
        <w:t xml:space="preserve">More broadly, there are now indications of an emerging national recognition of the importance of decentralised, relevant service delivery at the provincial level. This is partly due to the demonstration effect of the TVET Centres. </w:t>
      </w:r>
    </w:p>
    <w:p w14:paraId="17527CFB" w14:textId="0DB69444" w:rsidR="00D6022D" w:rsidRDefault="002238C5" w:rsidP="00E46CD3">
      <w:r>
        <w:t xml:space="preserve">Stakeholders interviewed across the TVET sector provided commentary and analysis that </w:t>
      </w:r>
      <w:r w:rsidR="00E46CD3">
        <w:t xml:space="preserve">highlighted, and applauded, </w:t>
      </w:r>
      <w:r w:rsidR="00D30C86">
        <w:t>the</w:t>
      </w:r>
      <w:r w:rsidR="00E46CD3">
        <w:t xml:space="preserve"> inter-related set of factors that have enabled the Program to be so successful. </w:t>
      </w:r>
      <w:r w:rsidR="00C558DC">
        <w:t xml:space="preserve">These are discussed throughout the following section, and include: </w:t>
      </w:r>
    </w:p>
    <w:p w14:paraId="6DEF75B1" w14:textId="77777777" w:rsidR="005E41DA" w:rsidRDefault="005E41DA" w:rsidP="005E41DA">
      <w:pPr>
        <w:pStyle w:val="BulletList"/>
      </w:pPr>
      <w:r>
        <w:t xml:space="preserve">The establishment of the Vanuatu Qualifications Authority and the VQA Board </w:t>
      </w:r>
    </w:p>
    <w:p w14:paraId="16830688" w14:textId="77777777" w:rsidR="005E41DA" w:rsidRDefault="005E41DA" w:rsidP="005E41DA">
      <w:pPr>
        <w:pStyle w:val="BulletList"/>
      </w:pPr>
      <w:r>
        <w:t xml:space="preserve">The shift in responsibility for the TVET sector to the new Ministry of Education and Training </w:t>
      </w:r>
    </w:p>
    <w:p w14:paraId="39080307" w14:textId="77777777" w:rsidR="005E41DA" w:rsidRDefault="005E41DA" w:rsidP="005E41DA">
      <w:pPr>
        <w:pStyle w:val="BulletList"/>
      </w:pPr>
      <w:r>
        <w:t xml:space="preserve">The level of political and budgetary support now in existence for the TVET sector </w:t>
      </w:r>
    </w:p>
    <w:p w14:paraId="58908492" w14:textId="15492515" w:rsidR="00D30C86" w:rsidRDefault="00D30C86" w:rsidP="00D30C86">
      <w:pPr>
        <w:pStyle w:val="BulletList"/>
      </w:pPr>
      <w:r>
        <w:t xml:space="preserve">The changing perception and status of TVET and skills development in Vanuatu </w:t>
      </w:r>
    </w:p>
    <w:p w14:paraId="050E6BC5" w14:textId="2BC39B3A" w:rsidR="00D30C86" w:rsidRDefault="00D30C86" w:rsidP="00D30C86">
      <w:pPr>
        <w:pStyle w:val="BulletList"/>
      </w:pPr>
      <w:r>
        <w:t xml:space="preserve">The new Quality Management Systems within training providers </w:t>
      </w:r>
    </w:p>
    <w:p w14:paraId="656D5660" w14:textId="77777777" w:rsidR="00A434F1" w:rsidRDefault="00A434F1" w:rsidP="00A434F1">
      <w:pPr>
        <w:pStyle w:val="BulletList"/>
      </w:pPr>
      <w:r>
        <w:t xml:space="preserve">Program leadership and the team of staff working on the Program </w:t>
      </w:r>
    </w:p>
    <w:p w14:paraId="06839F75" w14:textId="6F61B784" w:rsidR="00D30C86" w:rsidRDefault="00D30C86" w:rsidP="00D30C86">
      <w:pPr>
        <w:pStyle w:val="BulletList"/>
      </w:pPr>
      <w:r>
        <w:t xml:space="preserve">The strong approach to gender and disability inclusion </w:t>
      </w:r>
    </w:p>
    <w:p w14:paraId="0AD7D2C8" w14:textId="43E99DC9" w:rsidR="000E2B08" w:rsidRDefault="000E2B08" w:rsidP="000E2B08">
      <w:r>
        <w:t xml:space="preserve">A number of challenges were also identified prominently: </w:t>
      </w:r>
    </w:p>
    <w:p w14:paraId="14BDF3E3" w14:textId="29C369ED" w:rsidR="000E2B08" w:rsidRDefault="000E2B08" w:rsidP="000E2B08">
      <w:pPr>
        <w:pStyle w:val="BulletList"/>
      </w:pPr>
      <w:r>
        <w:t>The capacity of training providers in Vanuatu to meet the growing demand for skills development across the country as a result of the expanding TVET Centre network</w:t>
      </w:r>
      <w:r w:rsidR="00A434F1">
        <w:t xml:space="preserve">. </w:t>
      </w:r>
    </w:p>
    <w:p w14:paraId="6CE0C1FC" w14:textId="42810009" w:rsidR="00A434F1" w:rsidRDefault="00A434F1" w:rsidP="000E2B08">
      <w:pPr>
        <w:pStyle w:val="BulletList"/>
      </w:pPr>
      <w:r>
        <w:t xml:space="preserve">The challenges facing training providers in implementing their new quality management systems, and supporting trainers to meet increased qualification requirements </w:t>
      </w:r>
    </w:p>
    <w:bookmarkStart w:id="8" w:name="_Toc285716742"/>
    <w:p w14:paraId="666CF50E" w14:textId="695F0DCE" w:rsidR="00727792" w:rsidRDefault="00A434F1" w:rsidP="00250101">
      <w:pPr>
        <w:pStyle w:val="Heading2"/>
      </w:pPr>
      <w:r>
        <w:rPr>
          <w:noProof/>
          <w:lang w:val="en-GB" w:eastAsia="en-GB"/>
        </w:rPr>
        <w:lastRenderedPageBreak/>
        <mc:AlternateContent>
          <mc:Choice Requires="wps">
            <w:drawing>
              <wp:anchor distT="0" distB="0" distL="114300" distR="114300" simplePos="0" relativeHeight="251696640" behindDoc="0" locked="0" layoutInCell="1" allowOverlap="1" wp14:anchorId="19044560" wp14:editId="50AE972A">
                <wp:simplePos x="0" y="0"/>
                <wp:positionH relativeFrom="column">
                  <wp:posOffset>3886200</wp:posOffset>
                </wp:positionH>
                <wp:positionV relativeFrom="paragraph">
                  <wp:posOffset>359410</wp:posOffset>
                </wp:positionV>
                <wp:extent cx="1714500" cy="4686300"/>
                <wp:effectExtent l="0" t="0" r="12700" b="12700"/>
                <wp:wrapThrough wrapText="bothSides">
                  <wp:wrapPolygon edited="0">
                    <wp:start x="0" y="0"/>
                    <wp:lineTo x="0" y="21541"/>
                    <wp:lineTo x="21440" y="21541"/>
                    <wp:lineTo x="21440" y="0"/>
                    <wp:lineTo x="0" y="0"/>
                  </wp:wrapPolygon>
                </wp:wrapThrough>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686300"/>
                        </a:xfrm>
                        <a:prstGeom prst="rect">
                          <a:avLst/>
                        </a:prstGeom>
                        <a:solidFill>
                          <a:schemeClr val="accent3">
                            <a:lumMod val="40000"/>
                            <a:lumOff val="60000"/>
                          </a:schemeClr>
                        </a:solidFill>
                        <a:ln>
                          <a:noFill/>
                        </a:ln>
                        <a:extLst/>
                      </wps:spPr>
                      <wps:txbx>
                        <w:txbxContent>
                          <w:p w14:paraId="0A26C828" w14:textId="77777777" w:rsidR="00564169" w:rsidRPr="00B17BB1" w:rsidRDefault="00564169" w:rsidP="00A434F1">
                            <w:pPr>
                              <w:pStyle w:val="TextBoxHeading"/>
                            </w:pPr>
                            <w:r w:rsidRPr="00B17BB1">
                              <w:t>Relevant MEF Indicators</w:t>
                            </w:r>
                          </w:p>
                          <w:p w14:paraId="0CD94FF8" w14:textId="0FA58150" w:rsidR="00564169" w:rsidRDefault="00564169" w:rsidP="00A434F1">
                            <w:pPr>
                              <w:pStyle w:val="TableText"/>
                            </w:pPr>
                            <w:r>
                              <w:t># project supported activities to build capacity in MYoET (1.1)</w:t>
                            </w:r>
                          </w:p>
                          <w:p w14:paraId="07DDA1BB" w14:textId="77777777" w:rsidR="00564169" w:rsidRDefault="00564169" w:rsidP="00A434F1">
                            <w:pPr>
                              <w:pStyle w:val="TableText"/>
                            </w:pPr>
                            <w:r>
                              <w:t># project supported activities to build capacity in VQA/VQA (1.2)</w:t>
                            </w:r>
                          </w:p>
                          <w:p w14:paraId="5C924518" w14:textId="53AE0CB8" w:rsidR="00564169" w:rsidRDefault="00564169" w:rsidP="00A434F1">
                            <w:pPr>
                              <w:pStyle w:val="TableText"/>
                            </w:pPr>
                            <w:r>
                              <w:t>New organisational structure for MoET approved (1.3)</w:t>
                            </w:r>
                          </w:p>
                          <w:p w14:paraId="72719277" w14:textId="77777777" w:rsidR="00564169" w:rsidRDefault="00564169" w:rsidP="00A434F1">
                            <w:pPr>
                              <w:pStyle w:val="TableText"/>
                            </w:pPr>
                            <w:r>
                              <w:t>VQA established (1.4)</w:t>
                            </w:r>
                          </w:p>
                          <w:p w14:paraId="0A0CDCE4" w14:textId="226F9012" w:rsidR="00564169" w:rsidRDefault="00564169" w:rsidP="00A434F1">
                            <w:pPr>
                              <w:pStyle w:val="TableText"/>
                            </w:pPr>
                            <w:r>
                              <w:t xml:space="preserve"># new policy and strategy implemented by VQA/VQA and MoET as a result of project support </w:t>
                            </w:r>
                          </w:p>
                          <w:p w14:paraId="2A82BB78" w14:textId="141E162C" w:rsidR="00564169" w:rsidRDefault="00564169" w:rsidP="00A434F1">
                            <w:pPr>
                              <w:pStyle w:val="TableText"/>
                            </w:pPr>
                            <w:r>
                              <w:t>Evidence of leadership in the coordination of the TVET sector by MoET</w:t>
                            </w:r>
                          </w:p>
                          <w:p w14:paraId="745EBD9D" w14:textId="77777777" w:rsidR="00564169" w:rsidRDefault="00564169" w:rsidP="00A434F1">
                            <w:pPr>
                              <w:pStyle w:val="TextBoxHeading"/>
                            </w:pPr>
                            <w:r>
                              <w:t>Program Logic Reference</w:t>
                            </w:r>
                          </w:p>
                          <w:p w14:paraId="719D13C3" w14:textId="3DF15992" w:rsidR="00564169" w:rsidRDefault="00564169" w:rsidP="00A434F1">
                            <w:pPr>
                              <w:pStyle w:val="TableText"/>
                            </w:pPr>
                            <w:r>
                              <w:t>“Capacity development for MoET &amp; VQA”</w:t>
                            </w:r>
                          </w:p>
                          <w:p w14:paraId="320C170D" w14:textId="53885FD8" w:rsidR="00564169" w:rsidRDefault="00564169" w:rsidP="00A434F1">
                            <w:pPr>
                              <w:pStyle w:val="TableText"/>
                            </w:pPr>
                            <w:r>
                              <w:t>“MoET is restructured”</w:t>
                            </w:r>
                          </w:p>
                          <w:p w14:paraId="14DD2744" w14:textId="77777777" w:rsidR="00564169" w:rsidRDefault="00564169" w:rsidP="00A434F1">
                            <w:pPr>
                              <w:pStyle w:val="TableText"/>
                            </w:pPr>
                            <w:r>
                              <w:t>“VQA is reformed (VQA created)”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306pt;margin-top:28.3pt;width:135pt;height:36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lWtSQCAABCBAAADgAAAGRycy9lMm9Eb2MueG1srFNRb9MwEH5H4j9YfqdJu1BG1XQanYaQxkDa&#10;+AGu4zQWjs+c3Sbl13O2267AGyIPVu7O/u677+6WN2Nv2F6h12BrPp2UnCkrodF2W/Nvz/dvrjnz&#10;QdhGGLCq5gfl+c3q9avl4BZqBh2YRiEjEOsXg6t5F4JbFIWXneqFn4BTloItYC8CmbgtGhQDofem&#10;mJXlvBgAG4cglffkvctBvkr4batk+NK2XgVmak7cQjoxnZt4FqulWGxRuE7LIw3xDyx6oS0lPUPd&#10;iSDYDvVfUL2WCB7aMJHQF9C2WqpUA1UzLf+o5qkTTqVaSBzvzjL5/wcrH/dfkemm5rOKMyt66tGz&#10;GgP7ACMjF+kzOL+ga0+OLoaR/NTnVKt3DyC/e2Zh3Qm7VbeIMHRKNMRvGl8WF08zjo8gm+EzNJRH&#10;7AIkoLHFPopHcjBCpz4dzr2JXGRM+W5avS0pJClWza/nV2TEHGJxeu7Qh48KehZ/ao7U/AQv9g8+&#10;5KunKzGbB6Obe21MMuLAqbVBthc0KkJKZcNVem52PfHN/qqkLw8NuWm0snt+chObNLoRKXH7LYmx&#10;MZWFmDTzyR6q8cgwChY1ymqFcTOm3iQ1Y2wDzYEURMiDTItHPx3gT84GGuKa+x87gYoz88lSF95P&#10;qypO/aWBl8bm0hBWElTNA2f5dx3ypuwc6m1HmXLfLdxS51qdNH1hdew3DWqq/LhUcRMu7XTrZfVX&#10;vwAAAP//AwBQSwMEFAAGAAgAAAAhAEV1OX3eAAAACgEAAA8AAABkcnMvZG93bnJldi54bWxMj8FO&#10;wzAQRO9I/IO1SNyo0yqkIcSpAAFnWjhw3MZLEhqvg+006d/jnuA4O6PZN+VmNr04kvOdZQXLRQKC&#10;uLa640bBx/vLTQ7CB2SNvWVScCIPm+ryosRC24m3dNyFRsQS9gUqaEMYCil93ZJBv7ADcfS+rDMY&#10;onSN1A6nWG56uUqSTBrsOH5ocaCnlurDbjQKcI2Ht9R3o8tPP5/fOp0eX58bpa6v5od7EIHm8BeG&#10;M35Ehyoy7e3I2oteQbZcxS1BwW2WgYiBPD8f9grWd2kGsirl/wnVLwAAAP//AwBQSwECLQAUAAYA&#10;CAAAACEA5JnDwPsAAADhAQAAEwAAAAAAAAAAAAAAAAAAAAAAW0NvbnRlbnRfVHlwZXNdLnhtbFBL&#10;AQItABQABgAIAAAAIQAjsmrh1wAAAJQBAAALAAAAAAAAAAAAAAAAACwBAABfcmVscy8ucmVsc1BL&#10;AQItABQABgAIAAAAIQAheVa1JAIAAEIEAAAOAAAAAAAAAAAAAAAAACwCAABkcnMvZTJvRG9jLnht&#10;bFBLAQItABQABgAIAAAAIQBFdTl93gAAAAoBAAAPAAAAAAAAAAAAAAAAAHwEAABkcnMvZG93bnJl&#10;di54bWxQSwUGAAAAAAQABADzAAAAhwUAAAAA&#10;" fillcolor="#d6e3bc [1302]" stroked="f">
                <v:textbox inset=",7.2pt,,7.2pt">
                  <w:txbxContent>
                    <w:p w14:paraId="0A26C828" w14:textId="77777777" w:rsidR="00564169" w:rsidRPr="00B17BB1" w:rsidRDefault="00564169" w:rsidP="00A434F1">
                      <w:pPr>
                        <w:pStyle w:val="TextBoxHeading"/>
                      </w:pPr>
                      <w:r w:rsidRPr="00B17BB1">
                        <w:t>Relevant MEF Indicators</w:t>
                      </w:r>
                    </w:p>
                    <w:p w14:paraId="0CD94FF8" w14:textId="0FA58150" w:rsidR="00564169" w:rsidRDefault="00564169" w:rsidP="00A434F1">
                      <w:pPr>
                        <w:pStyle w:val="TableText"/>
                      </w:pPr>
                      <w:r>
                        <w:t xml:space="preserve"># </w:t>
                      </w:r>
                      <w:proofErr w:type="gramStart"/>
                      <w:r>
                        <w:t>project</w:t>
                      </w:r>
                      <w:proofErr w:type="gramEnd"/>
                      <w:r>
                        <w:t xml:space="preserve"> supported activities to build capacity in </w:t>
                      </w:r>
                      <w:proofErr w:type="spellStart"/>
                      <w:r>
                        <w:t>MYoET</w:t>
                      </w:r>
                      <w:proofErr w:type="spellEnd"/>
                      <w:r>
                        <w:t xml:space="preserve"> (1.1)</w:t>
                      </w:r>
                    </w:p>
                    <w:p w14:paraId="07DDA1BB" w14:textId="77777777" w:rsidR="00564169" w:rsidRDefault="00564169" w:rsidP="00A434F1">
                      <w:pPr>
                        <w:pStyle w:val="TableText"/>
                      </w:pPr>
                      <w:r>
                        <w:t xml:space="preserve"># </w:t>
                      </w:r>
                      <w:proofErr w:type="gramStart"/>
                      <w:r>
                        <w:t>project</w:t>
                      </w:r>
                      <w:proofErr w:type="gramEnd"/>
                      <w:r>
                        <w:t xml:space="preserve"> supported activities to build capacity in VQA/VQA (1.2)</w:t>
                      </w:r>
                    </w:p>
                    <w:p w14:paraId="5C924518" w14:textId="53AE0CB8" w:rsidR="00564169" w:rsidRDefault="00564169" w:rsidP="00A434F1">
                      <w:pPr>
                        <w:pStyle w:val="TableText"/>
                      </w:pPr>
                      <w:r>
                        <w:t xml:space="preserve">New organisational structure for </w:t>
                      </w:r>
                      <w:proofErr w:type="spellStart"/>
                      <w:r>
                        <w:t>MoET</w:t>
                      </w:r>
                      <w:proofErr w:type="spellEnd"/>
                      <w:r>
                        <w:t xml:space="preserve"> approved (1.3)</w:t>
                      </w:r>
                    </w:p>
                    <w:p w14:paraId="72719277" w14:textId="77777777" w:rsidR="00564169" w:rsidRDefault="00564169" w:rsidP="00A434F1">
                      <w:pPr>
                        <w:pStyle w:val="TableText"/>
                      </w:pPr>
                      <w:r>
                        <w:t>VQA established (1.4)</w:t>
                      </w:r>
                    </w:p>
                    <w:p w14:paraId="0A0CDCE4" w14:textId="226F9012" w:rsidR="00564169" w:rsidRDefault="00564169" w:rsidP="00A434F1">
                      <w:pPr>
                        <w:pStyle w:val="TableText"/>
                      </w:pPr>
                      <w:r>
                        <w:t xml:space="preserve"># </w:t>
                      </w:r>
                      <w:proofErr w:type="gramStart"/>
                      <w:r>
                        <w:t>new</w:t>
                      </w:r>
                      <w:proofErr w:type="gramEnd"/>
                      <w:r>
                        <w:t xml:space="preserve"> policy and strategy implemented by VQA/VQA and </w:t>
                      </w:r>
                      <w:proofErr w:type="spellStart"/>
                      <w:r>
                        <w:t>MoET</w:t>
                      </w:r>
                      <w:proofErr w:type="spellEnd"/>
                      <w:r>
                        <w:t xml:space="preserve"> as a result of project support </w:t>
                      </w:r>
                    </w:p>
                    <w:p w14:paraId="2A82BB78" w14:textId="141E162C" w:rsidR="00564169" w:rsidRDefault="00564169" w:rsidP="00A434F1">
                      <w:pPr>
                        <w:pStyle w:val="TableText"/>
                      </w:pPr>
                      <w:r>
                        <w:t xml:space="preserve">Evidence of leadership in the coordination of the TVET sector by </w:t>
                      </w:r>
                      <w:proofErr w:type="spellStart"/>
                      <w:r>
                        <w:t>MoET</w:t>
                      </w:r>
                      <w:proofErr w:type="spellEnd"/>
                    </w:p>
                    <w:p w14:paraId="745EBD9D" w14:textId="77777777" w:rsidR="00564169" w:rsidRDefault="00564169" w:rsidP="00A434F1">
                      <w:pPr>
                        <w:pStyle w:val="TextBoxHeading"/>
                      </w:pPr>
                      <w:r>
                        <w:t>Program Logic Reference</w:t>
                      </w:r>
                    </w:p>
                    <w:p w14:paraId="719D13C3" w14:textId="3DF15992" w:rsidR="00564169" w:rsidRDefault="00564169" w:rsidP="00A434F1">
                      <w:pPr>
                        <w:pStyle w:val="TableText"/>
                      </w:pPr>
                      <w:r>
                        <w:t xml:space="preserve">“Capacity development for </w:t>
                      </w:r>
                      <w:proofErr w:type="spellStart"/>
                      <w:r>
                        <w:t>MoET</w:t>
                      </w:r>
                      <w:proofErr w:type="spellEnd"/>
                      <w:r>
                        <w:t xml:space="preserve"> &amp; VQA”</w:t>
                      </w:r>
                    </w:p>
                    <w:p w14:paraId="320C170D" w14:textId="53885FD8" w:rsidR="00564169" w:rsidRDefault="00564169" w:rsidP="00A434F1">
                      <w:pPr>
                        <w:pStyle w:val="TableText"/>
                      </w:pPr>
                      <w:r>
                        <w:t>“</w:t>
                      </w:r>
                      <w:proofErr w:type="spellStart"/>
                      <w:r>
                        <w:t>MoET</w:t>
                      </w:r>
                      <w:proofErr w:type="spellEnd"/>
                      <w:r>
                        <w:t xml:space="preserve"> is restructured”</w:t>
                      </w:r>
                    </w:p>
                    <w:p w14:paraId="14DD2744" w14:textId="77777777" w:rsidR="00564169" w:rsidRDefault="00564169" w:rsidP="00A434F1">
                      <w:pPr>
                        <w:pStyle w:val="TableText"/>
                      </w:pPr>
                      <w:r>
                        <w:t>“VQA is reformed (VQA created)”</w:t>
                      </w:r>
                    </w:p>
                  </w:txbxContent>
                </v:textbox>
                <w10:wrap type="through"/>
              </v:shape>
            </w:pict>
          </mc:Fallback>
        </mc:AlternateContent>
      </w:r>
      <w:r w:rsidR="00727792">
        <w:t>KRA1: National TVET System</w:t>
      </w:r>
      <w:bookmarkEnd w:id="8"/>
      <w:r w:rsidR="00727792">
        <w:t xml:space="preserve"> </w:t>
      </w:r>
    </w:p>
    <w:p w14:paraId="5C9F06A7" w14:textId="313F8E7A" w:rsidR="00633D3A" w:rsidRDefault="000455FB" w:rsidP="009B7C3C">
      <w:r>
        <w:t xml:space="preserve">Phase </w:t>
      </w:r>
      <w:r w:rsidR="0083303B">
        <w:t>3 has seen the continuation of P</w:t>
      </w:r>
      <w:r>
        <w:t>rogram efforts to sustain and deepen its relationships</w:t>
      </w:r>
      <w:r w:rsidR="003B6338">
        <w:t xml:space="preserve"> with the national T</w:t>
      </w:r>
      <w:r w:rsidR="00945CAF">
        <w:t xml:space="preserve">VET system. </w:t>
      </w:r>
      <w:r w:rsidR="0083303B">
        <w:t xml:space="preserve">As noted, </w:t>
      </w:r>
      <w:r w:rsidR="00945CAF">
        <w:t xml:space="preserve">2014 proved to be </w:t>
      </w:r>
      <w:r w:rsidR="003F7493">
        <w:t>the</w:t>
      </w:r>
      <w:r w:rsidR="003B6338">
        <w:t xml:space="preserve"> period when the preceding years of work came to fruition in several important ways</w:t>
      </w:r>
      <w:r w:rsidR="0083303B">
        <w:t>, following</w:t>
      </w:r>
      <w:r w:rsidR="003B6338">
        <w:t xml:space="preserve"> the announcements by the Minister of Education in December 2013 </w:t>
      </w:r>
      <w:r w:rsidR="00633D3A">
        <w:t xml:space="preserve">regarding Government of Vanuatu commitments to the TVET sector. </w:t>
      </w:r>
      <w:r w:rsidR="00D6022D">
        <w:t>The sum of these developments in the national system represent the most substantial shift in the sector for several years, and also indicate very substantial progress towards the outcomes of the TVET program. They represent a major advance in the significance and prominence of TVET in the broader education</w:t>
      </w:r>
      <w:r w:rsidR="0083303B">
        <w:t xml:space="preserve"> and training</w:t>
      </w:r>
      <w:r w:rsidR="00D6022D">
        <w:t xml:space="preserve"> sector in Vanuatu.</w:t>
      </w:r>
      <w:r w:rsidR="00A434F1" w:rsidRPr="00A434F1">
        <w:rPr>
          <w:noProof/>
          <w:lang w:val="en-US"/>
        </w:rPr>
        <w:t xml:space="preserve"> </w:t>
      </w:r>
    </w:p>
    <w:p w14:paraId="30D6E9A0" w14:textId="0934BB3F" w:rsidR="00633D3A" w:rsidRDefault="00633D3A" w:rsidP="00633D3A">
      <w:pPr>
        <w:pStyle w:val="Heading3"/>
      </w:pPr>
      <w:r>
        <w:t xml:space="preserve">Legislative </w:t>
      </w:r>
      <w:r w:rsidR="00630DAB">
        <w:t>and Institutional</w:t>
      </w:r>
    </w:p>
    <w:p w14:paraId="02D0CFCF" w14:textId="081C47F2" w:rsidR="0009591F" w:rsidRDefault="0009591F" w:rsidP="0009591F">
      <w:r>
        <w:t xml:space="preserve">Responsibility for TVET has been </w:t>
      </w:r>
      <w:r w:rsidR="00F409DA">
        <w:t>transferred</w:t>
      </w:r>
      <w:r>
        <w:t xml:space="preserve"> to the Ministry of Education, which has become the Ministry of Education and Training (MoET). Within the Ministry there is now </w:t>
      </w:r>
      <w:r w:rsidR="00DF7949">
        <w:t xml:space="preserve">a </w:t>
      </w:r>
      <w:r>
        <w:t>Directorate of Tertiary Education, which includes a TVET Division</w:t>
      </w:r>
      <w:r w:rsidR="00DF7949">
        <w:t xml:space="preserve"> and provision for TVET Centres in all six Provinces</w:t>
      </w:r>
      <w:r>
        <w:t xml:space="preserve">. </w:t>
      </w:r>
      <w:r w:rsidR="00DF7949">
        <w:t>This institutional change finally clarified governance responsibility for TVET within the Government of Vanuatu</w:t>
      </w:r>
      <w:r w:rsidR="008B5408">
        <w:rPr>
          <w:rStyle w:val="FootnoteReference"/>
        </w:rPr>
        <w:footnoteReference w:id="4"/>
      </w:r>
      <w:r w:rsidR="008B5408">
        <w:t xml:space="preserve">. </w:t>
      </w:r>
    </w:p>
    <w:p w14:paraId="1FC0DFD7" w14:textId="67580CD0" w:rsidR="0009591F" w:rsidRDefault="00633D3A" w:rsidP="009B7C3C">
      <w:r>
        <w:t xml:space="preserve">The Vanuatu Qualifications Authority Act passed Parliament in </w:t>
      </w:r>
      <w:r w:rsidR="005D743F">
        <w:t xml:space="preserve">April, </w:t>
      </w:r>
      <w:r w:rsidR="00CE4699">
        <w:t xml:space="preserve">repealing </w:t>
      </w:r>
      <w:r w:rsidR="005D743F">
        <w:t xml:space="preserve">the Vanuatu National Training Council </w:t>
      </w:r>
      <w:r w:rsidR="00CE4699">
        <w:t xml:space="preserve">Act and replacing it with </w:t>
      </w:r>
      <w:r w:rsidR="005D743F">
        <w:t xml:space="preserve">the Vanuatu Qualifications Authority (VQA). </w:t>
      </w:r>
      <w:r w:rsidR="00DF7949">
        <w:t>It</w:t>
      </w:r>
      <w:r w:rsidR="00801C15">
        <w:t xml:space="preserve"> also established a new </w:t>
      </w:r>
      <w:r w:rsidR="00CE4699">
        <w:t xml:space="preserve">structure for the </w:t>
      </w:r>
      <w:r w:rsidR="00801C15">
        <w:t xml:space="preserve">Board of the VQA, which now brings representatives from </w:t>
      </w:r>
      <w:r w:rsidR="00CE4699">
        <w:t xml:space="preserve">public and private sector </w:t>
      </w:r>
      <w:r w:rsidR="00801C15">
        <w:t xml:space="preserve">stakeholders with an interest in skills </w:t>
      </w:r>
      <w:r w:rsidR="00F409DA">
        <w:t xml:space="preserve">and economic </w:t>
      </w:r>
      <w:r w:rsidR="00801C15">
        <w:t>development into the regul</w:t>
      </w:r>
      <w:r w:rsidR="00F646F1">
        <w:t>atory and advisory framework</w:t>
      </w:r>
      <w:r w:rsidR="00801C15">
        <w:t xml:space="preserve">. </w:t>
      </w:r>
    </w:p>
    <w:p w14:paraId="4633C998" w14:textId="6BC95EA1" w:rsidR="00633D3A" w:rsidRDefault="0009591F" w:rsidP="009B7C3C">
      <w:r>
        <w:t xml:space="preserve">These two major institutional changes together represent an important milestone in the development of the TVET system (and </w:t>
      </w:r>
      <w:r w:rsidR="00F409DA">
        <w:t xml:space="preserve">the </w:t>
      </w:r>
      <w:r>
        <w:t xml:space="preserve">explicit aims supported by the Program), and subsequently catalysed a number of significant further developments. As changes in the formal sectoral arrangements they signify material shifts in the level of support and engagement in TVET within the Government of Vanuatu.  </w:t>
      </w:r>
    </w:p>
    <w:p w14:paraId="43ADC2E7" w14:textId="77777777" w:rsidR="00945CAF" w:rsidRPr="00D6022D" w:rsidRDefault="00945CAF" w:rsidP="00945CAF">
      <w:pPr>
        <w:pStyle w:val="Quote"/>
      </w:pPr>
      <w:r>
        <w:t xml:space="preserve"> “</w:t>
      </w:r>
      <w:r w:rsidRPr="00D6022D">
        <w:t>A fundamental premise of the VTVETSSP design has been development of sustainable models of TVET sector behavior at the provincial level that could be observed, understood and rolled out at national levels. By broadening understanding at the political level of the potential for economic and social change through targeted skill development, the VTVETSSP has created an appetite for further investment by the Government of Vanuatu.</w:t>
      </w:r>
      <w:r>
        <w:t>”</w:t>
      </w:r>
      <w:r>
        <w:rPr>
          <w:rStyle w:val="FootnoteReference"/>
        </w:rPr>
        <w:footnoteReference w:id="5"/>
      </w:r>
      <w:r w:rsidRPr="00C34F63">
        <w:t xml:space="preserve"> </w:t>
      </w:r>
    </w:p>
    <w:p w14:paraId="0CE6B8BE" w14:textId="77777777" w:rsidR="00633D3A" w:rsidRDefault="00633D3A" w:rsidP="00633D3A">
      <w:pPr>
        <w:pStyle w:val="Heading3"/>
      </w:pPr>
      <w:r>
        <w:t xml:space="preserve">Budgetary Commitments </w:t>
      </w:r>
    </w:p>
    <w:p w14:paraId="183AC41F" w14:textId="5D9C7CC8" w:rsidR="00302E06" w:rsidRDefault="00BE5F72" w:rsidP="0072616E">
      <w:pPr>
        <w:rPr>
          <w:rFonts w:ascii="Helvetica" w:hAnsi="Helvetica" w:cs="Helvetica"/>
          <w:lang w:val="en-US"/>
        </w:rPr>
      </w:pPr>
      <w:r>
        <w:t xml:space="preserve">In December 2014 the final processes to transfer </w:t>
      </w:r>
      <w:r w:rsidR="009F203A">
        <w:t xml:space="preserve">three </w:t>
      </w:r>
      <w:r>
        <w:t xml:space="preserve">Provincial Training Coordinator (PTC) positions in the TVET Centres into the Public Services Commission </w:t>
      </w:r>
      <w:r w:rsidR="00F409DA">
        <w:t>were</w:t>
      </w:r>
      <w:r>
        <w:t xml:space="preserve"> completed, and PTCs began to receive Government of Vanuatu salary payments instead of Program salaries. </w:t>
      </w:r>
      <w:r w:rsidR="00D77A99">
        <w:t xml:space="preserve">The activation of the </w:t>
      </w:r>
      <w:r w:rsidR="00485FC0">
        <w:t>Government</w:t>
      </w:r>
      <w:r w:rsidR="00D77A99">
        <w:t xml:space="preserve"> of Vanuatu’s </w:t>
      </w:r>
      <w:r w:rsidR="005264CD">
        <w:t xml:space="preserve">financial allocations to the salaries and costs of the </w:t>
      </w:r>
      <w:r w:rsidR="005264CD">
        <w:lastRenderedPageBreak/>
        <w:t>TVET Centres</w:t>
      </w:r>
      <w:r w:rsidR="00485FC0">
        <w:t xml:space="preserve"> is</w:t>
      </w:r>
      <w:r w:rsidR="005264CD">
        <w:t xml:space="preserve"> the most </w:t>
      </w:r>
      <w:r w:rsidR="00485FC0">
        <w:t>tangible</w:t>
      </w:r>
      <w:r w:rsidR="005264CD">
        <w:t xml:space="preserve"> step towards genuine sustainability for the sector</w:t>
      </w:r>
      <w:r w:rsidR="00210BAF">
        <w:t xml:space="preserve"> and the </w:t>
      </w:r>
      <w:r w:rsidR="003073FE">
        <w:t xml:space="preserve">establishment of </w:t>
      </w:r>
      <w:r w:rsidR="00210BAF">
        <w:t xml:space="preserve">the TVET Centre model as </w:t>
      </w:r>
      <w:r w:rsidR="003073FE">
        <w:t xml:space="preserve">the </w:t>
      </w:r>
      <w:r w:rsidR="00210BAF">
        <w:t>Government’s own mechanism for decentralised TVET planning and service delivery</w:t>
      </w:r>
      <w:r w:rsidR="00485FC0">
        <w:t>. The significance of this shift – often sought but often not achieved</w:t>
      </w:r>
      <w:r w:rsidR="003F71E9">
        <w:t xml:space="preserve"> </w:t>
      </w:r>
      <w:r w:rsidR="00485FC0">
        <w:t>–</w:t>
      </w:r>
      <w:r w:rsidR="0072616E">
        <w:t xml:space="preserve"> is great, as summarised by the Technical Director: </w:t>
      </w:r>
    </w:p>
    <w:p w14:paraId="660195CA" w14:textId="621C8C53" w:rsidR="00302E06" w:rsidRPr="00B822F9" w:rsidRDefault="00302E06" w:rsidP="00B822F9">
      <w:pPr>
        <w:pStyle w:val="Quote"/>
      </w:pPr>
      <w:r w:rsidRPr="00B822F9">
        <w:t>“While we have observed increasing GoV commitment over the past couple of years it is great to see now the real evidence of that commitment in the form of on-going budget allocations to the sector.</w:t>
      </w:r>
    </w:p>
    <w:p w14:paraId="50617C4E" w14:textId="7C403C18" w:rsidR="00302E06" w:rsidRPr="00B822F9" w:rsidRDefault="00302E06" w:rsidP="00B822F9">
      <w:pPr>
        <w:pStyle w:val="Quote"/>
      </w:pPr>
      <w:r w:rsidRPr="00B822F9">
        <w:t>This level of GoV commitment is a product of the overall Program achievements which have clearly been seen by Government and the community to be important contributors to provincial economic development.</w:t>
      </w:r>
    </w:p>
    <w:p w14:paraId="67744720" w14:textId="702BBC5D" w:rsidR="00302E06" w:rsidRPr="00B822F9" w:rsidRDefault="00302E06" w:rsidP="00B822F9">
      <w:pPr>
        <w:pStyle w:val="Quote"/>
      </w:pPr>
      <w:r w:rsidRPr="00B822F9">
        <w:t xml:space="preserve">But we have also observed how difficult it is to translate verbal commitments into actual practice. As we have seen, it is no small thing for a developing </w:t>
      </w:r>
      <w:r w:rsidR="00570A2D">
        <w:t xml:space="preserve">country </w:t>
      </w:r>
      <w:r w:rsidRPr="00B822F9">
        <w:t>with enormous and competing demands on scarce resources to agree to additional public service positions. This can only occur if there are strong and persistent advocates within Government who have the evidence base to support their proposals.”</w:t>
      </w:r>
      <w:r w:rsidR="0072616E" w:rsidRPr="003F7493">
        <w:rPr>
          <w:rStyle w:val="FootnoteReference"/>
          <w:rFonts w:asciiTheme="majorHAnsi" w:hAnsiTheme="majorHAnsi"/>
          <w:position w:val="0"/>
          <w:sz w:val="21"/>
          <w:szCs w:val="21"/>
          <w:vertAlign w:val="superscript"/>
        </w:rPr>
        <w:footnoteReference w:id="6"/>
      </w:r>
    </w:p>
    <w:p w14:paraId="5FC6D5B5" w14:textId="6318A4BC" w:rsidR="00D76FCA" w:rsidRDefault="00BE5F72" w:rsidP="009B7C3C">
      <w:r>
        <w:t>This financial investment in the TVET Centres has now opened the way forward for Australia, through the Program, to also support a fourth TVET Centre, in Tafea Province</w:t>
      </w:r>
      <w:r>
        <w:rPr>
          <w:rStyle w:val="FootnoteReference"/>
        </w:rPr>
        <w:footnoteReference w:id="7"/>
      </w:r>
      <w:r>
        <w:t xml:space="preserve"> in 2015. </w:t>
      </w:r>
    </w:p>
    <w:p w14:paraId="6A016648" w14:textId="4E4333AB" w:rsidR="00D76FCA" w:rsidRDefault="00F409DA" w:rsidP="009B7C3C">
      <w:r>
        <w:t>On the other hand</w:t>
      </w:r>
      <w:r w:rsidR="00FD1D68">
        <w:t>, th</w:t>
      </w:r>
      <w:r w:rsidR="00CC19C2">
        <w:t>ough</w:t>
      </w:r>
      <w:r w:rsidR="00FD1D68">
        <w:t xml:space="preserve">, stakeholders </w:t>
      </w:r>
      <w:r>
        <w:t>observe</w:t>
      </w:r>
      <w:r w:rsidR="00FD1D68">
        <w:t xml:space="preserve"> that the TVET sector remains </w:t>
      </w:r>
      <w:r>
        <w:t xml:space="preserve">generally </w:t>
      </w:r>
      <w:r w:rsidR="00FD1D68">
        <w:t xml:space="preserve">under-funded in Vanuatu. The full implementation of the VQA Act and the Education and Training Act, including the full resourcing of the VQA and the new MoET structure, is constrained by funding shortfalls, and this will continue to hamper the development of the sector. </w:t>
      </w:r>
    </w:p>
    <w:p w14:paraId="799EA6F4" w14:textId="77777777" w:rsidR="008420B1" w:rsidRDefault="008420B1" w:rsidP="00886AA7">
      <w:pPr>
        <w:pStyle w:val="Heading3"/>
      </w:pPr>
      <w:r>
        <w:t xml:space="preserve">Sustainability </w:t>
      </w:r>
    </w:p>
    <w:p w14:paraId="2C95CBC4" w14:textId="575638CA" w:rsidR="00CC19C2" w:rsidRDefault="00716DCB" w:rsidP="00E41E37">
      <w:r>
        <w:t xml:space="preserve">With </w:t>
      </w:r>
      <w:r w:rsidR="00F409DA">
        <w:t>the transition to a ni-Vanuatu Team L</w:t>
      </w:r>
      <w:r>
        <w:t>eader, the transfer of PTC positions into the public service, and the investments now being made by the Government of Vanuatu towards developing a Tafea TVET Centre, there continues to be tangible progress towards real sustainability. There is now a high degree of faith in the TVET Centre model within Government of Vanuatu</w:t>
      </w:r>
      <w:r>
        <w:rPr>
          <w:rStyle w:val="FootnoteReference"/>
        </w:rPr>
        <w:footnoteReference w:id="8"/>
      </w:r>
      <w:r w:rsidR="00BE415A">
        <w:t xml:space="preserve"> and confidence that it can be sustained within the Vanuatu system and with Vanuatu resources. </w:t>
      </w:r>
    </w:p>
    <w:p w14:paraId="0DE3E1BD" w14:textId="77777777" w:rsidR="003F71E9" w:rsidRDefault="005049C6" w:rsidP="00E41E37">
      <w:r>
        <w:t xml:space="preserve">Discussions regarding sustainability at the December 2014 Strategic Advisory Group </w:t>
      </w:r>
      <w:r w:rsidR="003F71E9">
        <w:t xml:space="preserve">(SAG) </w:t>
      </w:r>
      <w:r>
        <w:t xml:space="preserve">meeting covered many of the issues also raised in stakeholder interviews, and covered throughout this report. In summary, the overall assessment </w:t>
      </w:r>
      <w:r w:rsidR="003F71E9">
        <w:t xml:space="preserve">by the SAG </w:t>
      </w:r>
      <w:r>
        <w:t xml:space="preserve">of the sustainability of Program achievements was broadly very positive, </w:t>
      </w:r>
      <w:r w:rsidR="00CC19C2">
        <w:t>especially in light of the very substantial institutional</w:t>
      </w:r>
      <w:r w:rsidR="003F71E9">
        <w:t>, budgetary</w:t>
      </w:r>
      <w:r w:rsidR="00CC19C2">
        <w:t xml:space="preserve"> and system changes in 2014. There was equally </w:t>
      </w:r>
      <w:r>
        <w:t xml:space="preserve">an acknowledgement that there continue to be challenges </w:t>
      </w:r>
      <w:r w:rsidR="003F71E9">
        <w:t>with</w:t>
      </w:r>
      <w:r>
        <w:t xml:space="preserve"> full implementation, with </w:t>
      </w:r>
      <w:r w:rsidR="00CC19C2">
        <w:t xml:space="preserve">still limited Government financial resources, constraints within training providers, and further to go in establishing TVET as a valued option for education and training that meets employer and enterprise needs. </w:t>
      </w:r>
    </w:p>
    <w:p w14:paraId="36CB749C" w14:textId="7A57B63F" w:rsidR="00E41E37" w:rsidRDefault="0023264A" w:rsidP="00E41E37">
      <w:r>
        <w:t>The Technical Director summarised</w:t>
      </w:r>
      <w:r w:rsidR="00BE415A">
        <w:t xml:space="preserve"> the situation</w:t>
      </w:r>
      <w:r>
        <w:t xml:space="preserve"> at the end of 2014</w:t>
      </w:r>
      <w:r w:rsidR="00BE415A">
        <w:t xml:space="preserve">: </w:t>
      </w:r>
    </w:p>
    <w:p w14:paraId="6DAA1AD3" w14:textId="212929B7" w:rsidR="00BE415A" w:rsidRPr="000A46D3" w:rsidRDefault="00BE415A" w:rsidP="00BE415A">
      <w:pPr>
        <w:pStyle w:val="Quote"/>
      </w:pPr>
      <w:r>
        <w:t>“I believe there is now a critical mass of support for ongoing commitment by the Government of Vanuatu irrespective of the volatile political environment…. Both the preceding and current Prime Ministers have expressed support and commitment for the sector”</w:t>
      </w:r>
      <w:r>
        <w:rPr>
          <w:rStyle w:val="FootnoteReference"/>
        </w:rPr>
        <w:footnoteReference w:id="9"/>
      </w:r>
    </w:p>
    <w:p w14:paraId="03A35799" w14:textId="03A79A5F" w:rsidR="001623FD" w:rsidRDefault="00E41E37" w:rsidP="005C553B">
      <w:pPr>
        <w:pStyle w:val="Heading3"/>
      </w:pPr>
      <w:r>
        <w:lastRenderedPageBreak/>
        <w:t xml:space="preserve">Perceptions and Status of TVET Sector </w:t>
      </w:r>
    </w:p>
    <w:p w14:paraId="1918E285" w14:textId="5A47415D" w:rsidR="00E41E37" w:rsidRDefault="0079271D" w:rsidP="00E41E37">
      <w:r>
        <w:t xml:space="preserve">A number of stakeholders highlighted the changing status of the TVET sector in Vanuatu as an important indicator of </w:t>
      </w:r>
      <w:r w:rsidR="00B60193">
        <w:t>progress</w:t>
      </w:r>
      <w:r>
        <w:t xml:space="preserve">. </w:t>
      </w:r>
      <w:r w:rsidR="00AD1BCF">
        <w:t xml:space="preserve">Several commented on the fact that, until recently, TVET had been considered as </w:t>
      </w:r>
      <w:r w:rsidR="00CC19C2">
        <w:t xml:space="preserve">largely a system to </w:t>
      </w:r>
      <w:r w:rsidR="00B60193">
        <w:t>provide</w:t>
      </w:r>
      <w:r w:rsidR="00CC19C2">
        <w:t xml:space="preserve"> training for youth who were not going on to further formal education. It was seen as a ‘second-best’ option and </w:t>
      </w:r>
      <w:r w:rsidR="00FF0C67">
        <w:t>generally</w:t>
      </w:r>
      <w:r w:rsidR="00CC19C2">
        <w:t xml:space="preserve"> not something relevant to people already in the workforce, or to employers and businesses. And certainly it had not been given priority by the Government of Vanuatu. </w:t>
      </w:r>
    </w:p>
    <w:p w14:paraId="5338510E" w14:textId="3FA5C9EA" w:rsidR="00CC19C2" w:rsidRDefault="00CC19C2" w:rsidP="00E41E37">
      <w:r>
        <w:t xml:space="preserve">However there is evidence that the perception of the TVET sector is changing in Vanuatu. </w:t>
      </w:r>
      <w:r w:rsidR="00250101">
        <w:t xml:space="preserve">Stakeholders commented that this was partly the result of the changes in government arrangements, such as the creation of MoET, as well as the tangible demonstration of personal impact at the community level by the TVET Centres. The Chair of the Torba Provincial Government Training Board offered the most compelling articulation of the changing perceptions, as well as the effect of the new Torba TVET Centre: </w:t>
      </w:r>
    </w:p>
    <w:p w14:paraId="51346AC6" w14:textId="77777777" w:rsidR="00AD1BCF" w:rsidRDefault="00AD1BCF" w:rsidP="00AD1BCF">
      <w:pPr>
        <w:pStyle w:val="Quote"/>
      </w:pPr>
      <w:r>
        <w:t>“TVET coming to Torba has given a second chance for those who see for many, many years, an education system… a chance to train… for the first time they can see they are still important in society, they are still valuable…. [they can] become a human resource, a useful human resource….. In Torba Province it is very difficult… with access, we are very disadvantaged. So TVET when it comes, it … addresses the area of access. Gives us a second chance to be part of the development statements made by government many times.”</w:t>
      </w:r>
      <w:r>
        <w:rPr>
          <w:rStyle w:val="FootnoteReference"/>
        </w:rPr>
        <w:footnoteReference w:id="10"/>
      </w:r>
      <w:r>
        <w:t xml:space="preserve"> </w:t>
      </w:r>
    </w:p>
    <w:p w14:paraId="0FA779A7" w14:textId="603DC011" w:rsidR="009402B5" w:rsidRPr="00E41E37" w:rsidRDefault="009402B5" w:rsidP="00E41E37">
      <w:r>
        <w:t xml:space="preserve">The level of understanding of TVET varies across </w:t>
      </w:r>
      <w:r w:rsidR="009F203A">
        <w:t xml:space="preserve">productive </w:t>
      </w:r>
      <w:r>
        <w:t>sector</w:t>
      </w:r>
      <w:r w:rsidR="009F203A">
        <w:t xml:space="preserve"> departments</w:t>
      </w:r>
      <w:r>
        <w:t xml:space="preserve"> within </w:t>
      </w:r>
      <w:r w:rsidR="009F203A">
        <w:t xml:space="preserve">the </w:t>
      </w:r>
      <w:r>
        <w:t xml:space="preserve">Government of Vanuatu. Clearly, given the continuing success of the TVET for Tourism Program, the tourism sector is very clear on the place of skills development in sector development. Other productive sectors are still to develop their appreciation of the sector, and the role of the TVET Centres. The representation of productive sectors in the VQA Board, as well as the growing number of formal MOUs with the Program, are likely to assist in this regard. </w:t>
      </w:r>
    </w:p>
    <w:p w14:paraId="705CBD94" w14:textId="056FE71A" w:rsidR="005E6EBA" w:rsidRDefault="005E6EBA" w:rsidP="005E6EBA">
      <w:pPr>
        <w:pStyle w:val="Heading3"/>
      </w:pPr>
      <w:r>
        <w:t xml:space="preserve">Training Provider Capacity </w:t>
      </w:r>
    </w:p>
    <w:p w14:paraId="5ED929B1" w14:textId="3BFE2DCF" w:rsidR="005E6EBA" w:rsidRDefault="005E6EBA" w:rsidP="005E6EBA">
      <w:r>
        <w:rPr>
          <w:noProof/>
          <w:lang w:val="en-GB" w:eastAsia="en-GB"/>
        </w:rPr>
        <mc:AlternateContent>
          <mc:Choice Requires="wps">
            <w:drawing>
              <wp:anchor distT="0" distB="0" distL="114300" distR="114300" simplePos="0" relativeHeight="251687424" behindDoc="0" locked="0" layoutInCell="1" allowOverlap="1" wp14:anchorId="39242E55" wp14:editId="3C124497">
                <wp:simplePos x="0" y="0"/>
                <wp:positionH relativeFrom="column">
                  <wp:posOffset>4000500</wp:posOffset>
                </wp:positionH>
                <wp:positionV relativeFrom="paragraph">
                  <wp:posOffset>156845</wp:posOffset>
                </wp:positionV>
                <wp:extent cx="1714500" cy="2743200"/>
                <wp:effectExtent l="0" t="0" r="12700" b="0"/>
                <wp:wrapTight wrapText="bothSides">
                  <wp:wrapPolygon edited="0">
                    <wp:start x="0" y="0"/>
                    <wp:lineTo x="0" y="21400"/>
                    <wp:lineTo x="21440" y="21400"/>
                    <wp:lineTo x="21440" y="0"/>
                    <wp:lineTo x="0" y="0"/>
                  </wp:wrapPolygon>
                </wp:wrapTight>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743200"/>
                        </a:xfrm>
                        <a:prstGeom prst="rect">
                          <a:avLst/>
                        </a:prstGeom>
                        <a:solidFill>
                          <a:srgbClr val="D7E4BD"/>
                        </a:solidFill>
                        <a:ln>
                          <a:noFill/>
                        </a:ln>
                        <a:extLst/>
                      </wps:spPr>
                      <wps:txbx>
                        <w:txbxContent>
                          <w:p w14:paraId="2E6A6395" w14:textId="77777777" w:rsidR="00564169" w:rsidRPr="00B17BB1" w:rsidRDefault="00564169" w:rsidP="005E6EBA">
                            <w:pPr>
                              <w:pStyle w:val="TextBoxHeading"/>
                            </w:pPr>
                            <w:r w:rsidRPr="00B17BB1">
                              <w:t>Relevant MEF Indicators</w:t>
                            </w:r>
                          </w:p>
                          <w:p w14:paraId="427B086C" w14:textId="77777777" w:rsidR="00564169" w:rsidRDefault="00564169" w:rsidP="005E6EBA">
                            <w:pPr>
                              <w:pStyle w:val="TableText"/>
                            </w:pPr>
                            <w:r>
                              <w:t xml:space="preserve"># </w:t>
                            </w:r>
                            <w:r w:rsidRPr="00B17BB1">
                              <w:t>training</w:t>
                            </w:r>
                            <w:r>
                              <w:t xml:space="preserve"> providers provided with capacity development support (3.9)</w:t>
                            </w:r>
                          </w:p>
                          <w:p w14:paraId="04FEE10B" w14:textId="77777777" w:rsidR="00564169" w:rsidRDefault="00564169" w:rsidP="005E6EBA">
                            <w:pPr>
                              <w:pStyle w:val="TableText"/>
                            </w:pPr>
                            <w:r>
                              <w:t># training providers providing accredited training through TVET Centres (3.10)</w:t>
                            </w:r>
                          </w:p>
                          <w:p w14:paraId="410C1340" w14:textId="77777777" w:rsidR="00564169" w:rsidRDefault="00564169" w:rsidP="005E6EBA">
                            <w:pPr>
                              <w:pStyle w:val="TextBoxHeading"/>
                            </w:pPr>
                            <w:r>
                              <w:t>Program Logic Reference</w:t>
                            </w:r>
                          </w:p>
                          <w:p w14:paraId="074B5732" w14:textId="77777777" w:rsidR="00564169" w:rsidRDefault="00564169" w:rsidP="005E6EBA">
                            <w:pPr>
                              <w:pStyle w:val="TableText"/>
                            </w:pPr>
                            <w:r>
                              <w:t xml:space="preserve">“Training </w:t>
                            </w:r>
                            <w:r w:rsidRPr="00B17BB1">
                              <w:t>providers</w:t>
                            </w:r>
                            <w:r>
                              <w:t xml:space="preserve"> that comply with national QA requirements are more able to provide (equitable) AT in provinces in relevant skills areas”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15pt;margin-top:12.35pt;width:135pt;height:3in;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NvhgkCAAACBAAADgAAAGRycy9lMm9Eb2MueG1srFPbjtMwEH1H4h8sv9O0JVCImq52WxYhLRdp&#10;lw9wHCexcDxm7DYpX8/YaUuBN8SL5bHHZ86cM17fjL1hB4Vegy35YjbnTFkJtbZtyb8+3b94w5kP&#10;wtbCgFUlPyrPbzbPn60HV6gldGBqhYxArC8GV/IuBFdkmZed6oWfgVOWLhvAXgQKsc1qFAOh9yZb&#10;zuevswGwdghSeU+nu+mSbxJ+0ygZPjeNV4GZkhO3kFZMaxXXbLMWRYvCdVqeaIh/YNELbanoBWon&#10;gmB71H9B9VoieGjCTEKfQdNoqVIP1M1i/kc3j51wKvVC4nh3kcn/P1j56fAFma5LTkZZ0ZNFT2oM&#10;7A5Glkd1BucLSnp0lBZGOiaXU6fePYD85pmFbSdsq24RYeiUqIndIr7Mrp5OOD6CVMNHqKmM2AdI&#10;QGODfZSOxGCETi4dL85EKjKWXC3yV3O6knS3XOUvyftUQxTn5w59eK+gZ3FTciTrE7w4PPgQ6Yji&#10;nBKreTC6vtfGpADbamuQHQSNyW71Lr/bndB/SzM2JluIzybE6YRYnmrElmOXU79hrMak7fKsZAX1&#10;kTRAmAaRPg5tOsAfnA00hCX33/cCFWfmgyUd3y7yPE7tdYDXQXUdCCsJquSBs2m7DdOk7x3qtqNK&#10;k3MWbkn7RidVIuOJ1ckxGrQk1ulTxEm+jlPWr6+7+QkAAP//AwBQSwMEFAAGAAgAAAAhAOGyWTvh&#10;AAAACgEAAA8AAABkcnMvZG93bnJldi54bWxMj8FOwzAMhu9IvENkJG4sXVc6KE0nBELsMBCMSVzT&#10;xrSFxqmadCtvP+8ER9u/Pn9/vppsJ/Y4+NaRgvksAoFUOdNSrWD38XR1A8IHTUZ3jlDBL3pYFedn&#10;uc6MO9A77rehFgwhn2kFTQh9JqWvGrTaz1yPxLcvN1gdeBxqaQZ9YLjtZBxFqbS6Jf7Q6B4fGqx+&#10;tqNVkNrvjf5cvz6Xi128eRnfkvljtVbq8mK6vwMRcAp/YTjpszoU7FS6kYwXHTMWEXcJCuJkCYID&#10;t9FpUSpIrtMlyCKX/ysURwAAAP//AwBQSwECLQAUAAYACAAAACEA5JnDwPsAAADhAQAAEwAAAAAA&#10;AAAAAAAAAAAAAAAAW0NvbnRlbnRfVHlwZXNdLnhtbFBLAQItABQABgAIAAAAIQAjsmrh1wAAAJQB&#10;AAALAAAAAAAAAAAAAAAAACwBAABfcmVscy8ucmVsc1BLAQItABQABgAIAAAAIQAuQ2+GCQIAAAIE&#10;AAAOAAAAAAAAAAAAAAAAACwCAABkcnMvZTJvRG9jLnhtbFBLAQItABQABgAIAAAAIQDhslk74QAA&#10;AAoBAAAPAAAAAAAAAAAAAAAAAGEEAABkcnMvZG93bnJldi54bWxQSwUGAAAAAAQABADzAAAAbwUA&#10;AAAA&#10;" fillcolor="#d7e4bd" stroked="f">
                <v:textbox inset=",7.2pt,,7.2pt">
                  <w:txbxContent>
                    <w:p w14:paraId="2E6A6395" w14:textId="77777777" w:rsidR="00564169" w:rsidRPr="00B17BB1" w:rsidRDefault="00564169" w:rsidP="005E6EBA">
                      <w:pPr>
                        <w:pStyle w:val="TextBoxHeading"/>
                      </w:pPr>
                      <w:r w:rsidRPr="00B17BB1">
                        <w:t>Relevant MEF Indicators</w:t>
                      </w:r>
                    </w:p>
                    <w:p w14:paraId="427B086C" w14:textId="77777777" w:rsidR="00564169" w:rsidRDefault="00564169" w:rsidP="005E6EBA">
                      <w:pPr>
                        <w:pStyle w:val="TableText"/>
                      </w:pPr>
                      <w:r>
                        <w:t xml:space="preserve"># </w:t>
                      </w:r>
                      <w:proofErr w:type="gramStart"/>
                      <w:r w:rsidRPr="00B17BB1">
                        <w:t>training</w:t>
                      </w:r>
                      <w:proofErr w:type="gramEnd"/>
                      <w:r>
                        <w:t xml:space="preserve"> providers provided with capacity development support (3.9)</w:t>
                      </w:r>
                    </w:p>
                    <w:p w14:paraId="04FEE10B" w14:textId="77777777" w:rsidR="00564169" w:rsidRDefault="00564169" w:rsidP="005E6EBA">
                      <w:pPr>
                        <w:pStyle w:val="TableText"/>
                      </w:pPr>
                      <w:r>
                        <w:t xml:space="preserve"># </w:t>
                      </w:r>
                      <w:proofErr w:type="gramStart"/>
                      <w:r>
                        <w:t>training</w:t>
                      </w:r>
                      <w:proofErr w:type="gramEnd"/>
                      <w:r>
                        <w:t xml:space="preserve"> providers providing accredited training through TVET Centres (3.10)</w:t>
                      </w:r>
                    </w:p>
                    <w:p w14:paraId="410C1340" w14:textId="77777777" w:rsidR="00564169" w:rsidRDefault="00564169" w:rsidP="005E6EBA">
                      <w:pPr>
                        <w:pStyle w:val="TextBoxHeading"/>
                      </w:pPr>
                      <w:r>
                        <w:t>Program Logic Reference</w:t>
                      </w:r>
                    </w:p>
                    <w:p w14:paraId="074B5732" w14:textId="77777777" w:rsidR="00564169" w:rsidRDefault="00564169" w:rsidP="005E6EBA">
                      <w:pPr>
                        <w:pStyle w:val="TableText"/>
                      </w:pPr>
                      <w:r>
                        <w:t xml:space="preserve">“Training </w:t>
                      </w:r>
                      <w:r w:rsidRPr="00B17BB1">
                        <w:t>providers</w:t>
                      </w:r>
                      <w:r>
                        <w:t xml:space="preserve"> that comply with national QA requirements are more able to provide (equitable) AT in provinces in relevant skills areas”</w:t>
                      </w:r>
                    </w:p>
                  </w:txbxContent>
                </v:textbox>
                <w10:wrap type="tight"/>
              </v:shape>
            </w:pict>
          </mc:Fallback>
        </mc:AlternateContent>
      </w:r>
      <w:r>
        <w:t>An important element of the program’s work, which crosses both the development of the national TVET system (KRA 1) and the provision of good quality skills development services (KRA 2), and which underpins the servi</w:t>
      </w:r>
      <w:r w:rsidR="00FF0C67">
        <w:t>ce delivery activities of KRA 3</w:t>
      </w:r>
      <w:r>
        <w:t xml:space="preserve"> is the continual strengthening of training providers in Vanuatu. The contracting and management of local providers is an important component of building their capacity</w:t>
      </w:r>
      <w:r w:rsidR="00111D60">
        <w:t>. But 2014</w:t>
      </w:r>
      <w:r>
        <w:t xml:space="preserve"> has seen the Program make a substantial </w:t>
      </w:r>
      <w:r w:rsidR="00111D60">
        <w:t>additional investment in</w:t>
      </w:r>
      <w:r>
        <w:t xml:space="preserve"> capacity development for Vanuatu’s training providers, in response to the</w:t>
      </w:r>
      <w:r w:rsidR="0095347F">
        <w:t xml:space="preserve"> </w:t>
      </w:r>
      <w:r>
        <w:t xml:space="preserve">suspension </w:t>
      </w:r>
      <w:r w:rsidR="0095347F">
        <w:t xml:space="preserve">of their registration </w:t>
      </w:r>
      <w:r>
        <w:t>by the Vanuatu Qualifications Authority</w:t>
      </w:r>
      <w:r w:rsidR="00111D60">
        <w:t xml:space="preserve"> in late 2013</w:t>
      </w:r>
      <w:r>
        <w:t xml:space="preserve">. </w:t>
      </w:r>
    </w:p>
    <w:p w14:paraId="0AD1F9BA" w14:textId="28D38C8F" w:rsidR="00AD1BCF" w:rsidRDefault="00111D60" w:rsidP="00AD1BCF">
      <w:r>
        <w:t xml:space="preserve">Central to this support was the development and provision of </w:t>
      </w:r>
      <w:r w:rsidR="00AD1BCF">
        <w:t>an intensive coaching</w:t>
      </w:r>
      <w:r>
        <w:t xml:space="preserve"> program for training providers. The Quality Coach,</w:t>
      </w:r>
      <w:r w:rsidR="00AD1BCF">
        <w:t xml:space="preserve"> </w:t>
      </w:r>
      <w:r>
        <w:t>Jane</w:t>
      </w:r>
      <w:r w:rsidR="00AD1BCF">
        <w:t xml:space="preserve"> Wiesner</w:t>
      </w:r>
      <w:r>
        <w:t>,</w:t>
      </w:r>
      <w:r w:rsidR="00AD1BCF">
        <w:t xml:space="preserve"> supported providers to establish a foundational understanding of quality management, and then to develop and document their own QMS and submit it to the VQA. In addition, she supported the development of capacity within the Vanuatu Rural Development Training Centres Association (VRDTCA) in its role supporting rural training centres (RTCs) in Vanuatu.</w:t>
      </w:r>
    </w:p>
    <w:p w14:paraId="0B78AB50" w14:textId="3561B831" w:rsidR="00AD1BCF" w:rsidRDefault="003A5006" w:rsidP="00AD1BCF">
      <w:r>
        <w:lastRenderedPageBreak/>
        <w:t>As a result, the</w:t>
      </w:r>
      <w:r w:rsidR="005E6EBA">
        <w:t xml:space="preserve"> end of 2014 sees some major milestones achieved: training providers have developed and documented their quality management systems, and have submitted them to the VQA as evidence in support of their re-registration. Training providers in PGTB meetings and stakeholder interviews identified this as an important achievement reflecting their commitment to providing good quality training</w:t>
      </w:r>
      <w:r w:rsidR="0023264A">
        <w:t>, and most training providers should have re-registration finalised early in 2015</w:t>
      </w:r>
      <w:r w:rsidR="005E6EBA">
        <w:t xml:space="preserve">. </w:t>
      </w:r>
      <w:r w:rsidR="00AD1BCF">
        <w:t xml:space="preserve">The suspensions were difficult for all training providers and </w:t>
      </w:r>
      <w:r w:rsidR="002F5007">
        <w:t>others in the sector (such as the TVET Centres, and the many individual trainees enrolled in TVET courses)</w:t>
      </w:r>
      <w:r w:rsidR="00AD1BCF">
        <w:t xml:space="preserve">. However there appears to be some shared views that quality was a concern. The dramatic approach taken by VQA certainly elicited tangible responses, including through the substantial support the Program provided through the Quality Coaching Program. Ultimately it seems </w:t>
      </w:r>
      <w:r>
        <w:t>that</w:t>
      </w:r>
      <w:r w:rsidR="00AD1BCF">
        <w:t xml:space="preserve">, as one stakeholder commented; “it hurt, but it helped”. </w:t>
      </w:r>
    </w:p>
    <w:p w14:paraId="5DFB3429" w14:textId="64D47748" w:rsidR="003A5006" w:rsidRDefault="003A5006" w:rsidP="003A5006">
      <w:r>
        <w:t xml:space="preserve">Several stakeholders commented that they do expect to see training quality improve now that quality management systems have been established. Within the Program there </w:t>
      </w:r>
      <w:r w:rsidR="002F5007">
        <w:t>is</w:t>
      </w:r>
      <w:r>
        <w:t xml:space="preserve"> already </w:t>
      </w:r>
      <w:r w:rsidR="002F5007">
        <w:t xml:space="preserve">a perception of </w:t>
      </w:r>
      <w:r>
        <w:t>early indications that some training providers are taking a more quality-focussed approach, with improvements in proposals and reporting documents reflecting the influence of the quality coaching program</w:t>
      </w:r>
      <w:r>
        <w:rPr>
          <w:rStyle w:val="FootnoteReference"/>
        </w:rPr>
        <w:footnoteReference w:id="11"/>
      </w:r>
      <w:r>
        <w:t xml:space="preserve">.  </w:t>
      </w:r>
    </w:p>
    <w:p w14:paraId="23CB104C" w14:textId="6318E147" w:rsidR="005E6EBA" w:rsidRDefault="005E6EBA" w:rsidP="005E6EBA">
      <w:r>
        <w:t xml:space="preserve">However </w:t>
      </w:r>
      <w:r w:rsidR="0023264A">
        <w:t>training providers and stakeholders</w:t>
      </w:r>
      <w:r>
        <w:t xml:space="preserve"> equally acknowledged that the </w:t>
      </w:r>
      <w:r w:rsidRPr="00EC7F1A">
        <w:rPr>
          <w:i/>
        </w:rPr>
        <w:t>implementation</w:t>
      </w:r>
      <w:r>
        <w:t xml:space="preserve"> of quality management systems – which will start in 2015 – will be a substantial challenge. </w:t>
      </w:r>
      <w:r w:rsidR="0079271D">
        <w:t xml:space="preserve">This is likely to be the case for even the most established training providers; the challenge may be greater still for the smaller and rural training providers. </w:t>
      </w:r>
      <w:r>
        <w:t>The Progr</w:t>
      </w:r>
      <w:r w:rsidR="0023264A">
        <w:t xml:space="preserve">am must monitor this carefully and may need to provide further support so the advances of 2014 are not lost. </w:t>
      </w:r>
    </w:p>
    <w:p w14:paraId="33473EB9" w14:textId="0A812D59" w:rsidR="00892E4E" w:rsidRDefault="00711154" w:rsidP="005E6EBA">
      <w:r>
        <w:t xml:space="preserve">The centrality of training providers to the TVET sector also raises some significant challenges. With the expansion of the Program to a third Province, it became evident that there are limits in the capacity of existing training providers to meet the level of demand for training delivery. A major </w:t>
      </w:r>
      <w:r w:rsidR="0095347F">
        <w:t xml:space="preserve">reason </w:t>
      </w:r>
      <w:r w:rsidR="00F14255">
        <w:t>is</w:t>
      </w:r>
      <w:r>
        <w:t xml:space="preserve"> the </w:t>
      </w:r>
      <w:r w:rsidR="0095347F">
        <w:t xml:space="preserve">limited </w:t>
      </w:r>
      <w:r>
        <w:t>availability of individual trainers,</w:t>
      </w:r>
      <w:r w:rsidR="00F14255">
        <w:t>, which is an issue that s</w:t>
      </w:r>
      <w:r>
        <w:t>everal stakeholders highlighted</w:t>
      </w:r>
      <w:r w:rsidR="00F14255">
        <w:t>.</w:t>
      </w:r>
      <w:r>
        <w:t xml:space="preserve">. In the larger training providers staff are already engaged in full-time training, so can only provide TVET Centre training in semester breaks. </w:t>
      </w:r>
      <w:r w:rsidR="00F97085">
        <w:t>The requirement to travel to varied training sites creates an additional hurdle to the deployment of trainers. Expansion to a fourth, and possibly further Provinces, is only likely to exacerbate this issue</w:t>
      </w:r>
      <w:r w:rsidR="00FD1D68">
        <w:rPr>
          <w:rStyle w:val="FootnoteReference"/>
        </w:rPr>
        <w:footnoteReference w:id="12"/>
      </w:r>
      <w:r w:rsidR="00F97085">
        <w:t xml:space="preserve">. </w:t>
      </w:r>
    </w:p>
    <w:p w14:paraId="2D699CEC" w14:textId="3EF973AD" w:rsidR="007C00E5" w:rsidRPr="0025284B" w:rsidRDefault="00F97085" w:rsidP="005E6EBA">
      <w:r w:rsidRPr="0025284B">
        <w:t>The VQA</w:t>
      </w:r>
      <w:r w:rsidR="007C00E5" w:rsidRPr="0025284B">
        <w:t xml:space="preserve"> requirement that trainers must</w:t>
      </w:r>
      <w:r w:rsidRPr="0025284B">
        <w:t xml:space="preserve"> meet higher levels of qualifications will place an additional burden on training providers</w:t>
      </w:r>
      <w:r w:rsidR="007C00E5" w:rsidRPr="0025284B">
        <w:t xml:space="preserve"> in 2015</w:t>
      </w:r>
      <w:r w:rsidR="003F52B3" w:rsidRPr="0025284B">
        <w:t>, especially in light of the fact that trainer availability is already proving a constraint to expanded training delivery</w:t>
      </w:r>
      <w:r w:rsidRPr="0025284B">
        <w:t>.</w:t>
      </w:r>
      <w:r w:rsidR="003F52B3" w:rsidRPr="0025284B">
        <w:t xml:space="preserve"> The foundations for trainer upgrading were laid in 2014 with the</w:t>
      </w:r>
      <w:r w:rsidR="004B6155" w:rsidRPr="0025284B">
        <w:t xml:space="preserve"> work of the technical adviser in TVET teacher and manager quality. </w:t>
      </w:r>
      <w:r w:rsidR="003F52B3" w:rsidRPr="0025284B">
        <w:t xml:space="preserve">She reviewed the existing regulatory framework and its associated qualifications </w:t>
      </w:r>
      <w:r w:rsidR="00892E4E" w:rsidRPr="0025284B">
        <w:t>(Com</w:t>
      </w:r>
      <w:r w:rsidR="002F5007">
        <w:t>munity Trainer Certificate</w:t>
      </w:r>
      <w:r w:rsidR="00892E4E" w:rsidRPr="0025284B">
        <w:t xml:space="preserve"> I &amp; II, Certificate of Vocational T</w:t>
      </w:r>
      <w:r w:rsidR="002F5007">
        <w:t>raining and Assessment</w:t>
      </w:r>
      <w:r w:rsidR="003F52B3" w:rsidRPr="0025284B">
        <w:t xml:space="preserve">), so that </w:t>
      </w:r>
      <w:r w:rsidR="00892E4E" w:rsidRPr="0025284B">
        <w:t xml:space="preserve">new trainer qualification standards </w:t>
      </w:r>
      <w:r w:rsidR="0025284B" w:rsidRPr="0025284B">
        <w:t>would at</w:t>
      </w:r>
      <w:r w:rsidR="00892E4E" w:rsidRPr="0025284B">
        <w:t xml:space="preserve"> least match regional quality standards</w:t>
      </w:r>
      <w:r w:rsidR="0025284B" w:rsidRPr="0025284B">
        <w:t>. This is intended to both improve training quality in Vanuatu, and to deepen</w:t>
      </w:r>
      <w:r w:rsidR="00892E4E" w:rsidRPr="0025284B">
        <w:t xml:space="preserve"> the credibility of the Vanuatu quality system within a regional context.</w:t>
      </w:r>
      <w:r w:rsidR="002F5007">
        <w:t xml:space="preserve"> A competitive process by the Government of Vanuatu selected the Vanuatu Institute of Teacher Education as the provider for these qualifications, however implementation is currently stalled. </w:t>
      </w:r>
    </w:p>
    <w:p w14:paraId="02E68885" w14:textId="5312F57A" w:rsidR="00F97085" w:rsidRDefault="004B6155" w:rsidP="005E6EBA">
      <w:r>
        <w:t xml:space="preserve">Looking ahead to 2015, the </w:t>
      </w:r>
      <w:r w:rsidR="007F3B2F">
        <w:t xml:space="preserve">next step in implementing the quality agenda </w:t>
      </w:r>
      <w:r>
        <w:t xml:space="preserve">is course accreditation. This will be demanding and place additional burdens on training providers. This is likely to be a significant area of demand on the Program. </w:t>
      </w:r>
    </w:p>
    <w:p w14:paraId="1D44E4E7" w14:textId="788339E8" w:rsidR="00E41E37" w:rsidRPr="00E41E37" w:rsidRDefault="00E41E37" w:rsidP="00E41E37">
      <w:pPr>
        <w:pStyle w:val="Heading3"/>
      </w:pPr>
      <w:r>
        <w:lastRenderedPageBreak/>
        <w:t>Media Coverage</w:t>
      </w:r>
    </w:p>
    <w:p w14:paraId="3BDDE71D" w14:textId="02D77EA1" w:rsidR="00922D52" w:rsidRDefault="007C5026" w:rsidP="009B7C3C">
      <w:r>
        <w:t xml:space="preserve">Media monitoring by the TVET program has </w:t>
      </w:r>
      <w:r w:rsidR="009E16C4">
        <w:t>continued to achieve</w:t>
      </w:r>
      <w:r>
        <w:t xml:space="preserve"> a high level of coverage for </w:t>
      </w:r>
      <w:r w:rsidR="00894865">
        <w:t xml:space="preserve">TVET Centre </w:t>
      </w:r>
      <w:r>
        <w:t xml:space="preserve">skills development activities, especially in the print media. </w:t>
      </w:r>
      <w:r w:rsidR="00922D52">
        <w:t>This reflects ongoing efforts by Program staff, including the Field Communications Officer</w:t>
      </w:r>
      <w:r w:rsidR="00DB5D93">
        <w:t xml:space="preserve"> (a position created in early 2014)</w:t>
      </w:r>
      <w:r w:rsidR="00922D52">
        <w:t xml:space="preserve">. The opening of the Torba TVET Centre was the catalyst for substantial coverage, but there has also been regular general coverage, including media stories generated entirely independently of the Program. </w:t>
      </w:r>
      <w:r w:rsidR="008C248A">
        <w:t>Social media is also beginning to reflect inter</w:t>
      </w:r>
      <w:r w:rsidR="00E266DD">
        <w:t>e</w:t>
      </w:r>
      <w:r w:rsidR="008C248A">
        <w:t xml:space="preserve">st in the TVET sector, including via the active Facebook page </w:t>
      </w:r>
      <w:r w:rsidR="008C248A" w:rsidRPr="00A66183">
        <w:rPr>
          <w:i/>
        </w:rPr>
        <w:t>Yumi Tok</w:t>
      </w:r>
      <w:r w:rsidR="00A275D8">
        <w:rPr>
          <w:i/>
        </w:rPr>
        <w:t>tok</w:t>
      </w:r>
      <w:r w:rsidR="008C248A" w:rsidRPr="00A66183">
        <w:rPr>
          <w:i/>
        </w:rPr>
        <w:t xml:space="preserve">  Stret</w:t>
      </w:r>
      <w:r w:rsidR="008C248A">
        <w:t xml:space="preserve">. </w:t>
      </w:r>
    </w:p>
    <w:p w14:paraId="2E104184" w14:textId="45B4980A" w:rsidR="00DB5D93" w:rsidRDefault="007C5026" w:rsidP="009B7C3C">
      <w:r>
        <w:t xml:space="preserve">This </w:t>
      </w:r>
      <w:r w:rsidR="00922D52">
        <w:t xml:space="preserve">level of sustained </w:t>
      </w:r>
      <w:r>
        <w:t>medi</w:t>
      </w:r>
      <w:r w:rsidR="00922D52">
        <w:t xml:space="preserve">a coverage contributes to the positive profile of the </w:t>
      </w:r>
      <w:r w:rsidR="00D07A71">
        <w:t xml:space="preserve">TVET Sector </w:t>
      </w:r>
      <w:r>
        <w:t xml:space="preserve">and thus to the broader advocacy work </w:t>
      </w:r>
      <w:r w:rsidR="00645D61">
        <w:t>for national investment into the TVET system of Vanuatu</w:t>
      </w:r>
      <w:r w:rsidR="00922D52">
        <w:t xml:space="preserve">; the public profile of the Program </w:t>
      </w:r>
      <w:r w:rsidR="00A275D8">
        <w:t xml:space="preserve">and the TVET Centres </w:t>
      </w:r>
      <w:r w:rsidR="00922D52">
        <w:t>has certainly contributed to the continuing political support for TVET development and the tangible Government of Vanuatu commitments</w:t>
      </w:r>
      <w:r w:rsidR="00645D61">
        <w:t xml:space="preserve">. </w:t>
      </w:r>
    </w:p>
    <w:p w14:paraId="1C3E5EAD" w14:textId="54554040" w:rsidR="007C5026" w:rsidRDefault="00DB5D93" w:rsidP="009B7C3C">
      <w:r>
        <w:rPr>
          <w:noProof/>
          <w:lang w:val="en-GB" w:eastAsia="en-GB"/>
        </w:rPr>
        <w:drawing>
          <wp:anchor distT="0" distB="0" distL="114300" distR="114300" simplePos="0" relativeHeight="251666944" behindDoc="0" locked="0" layoutInCell="1" allowOverlap="1" wp14:anchorId="2CAF1670" wp14:editId="5F05B106">
            <wp:simplePos x="0" y="0"/>
            <wp:positionH relativeFrom="column">
              <wp:posOffset>1905</wp:posOffset>
            </wp:positionH>
            <wp:positionV relativeFrom="paragraph">
              <wp:posOffset>519430</wp:posOffset>
            </wp:positionV>
            <wp:extent cx="5141595" cy="310007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4.jpg"/>
                    <pic:cNvPicPr/>
                  </pic:nvPicPr>
                  <pic:blipFill>
                    <a:blip r:embed="rId17">
                      <a:extLst>
                        <a:ext uri="{28A0092B-C50C-407E-A947-70E740481C1C}">
                          <a14:useLocalDpi xmlns:a14="http://schemas.microsoft.com/office/drawing/2010/main" val="0"/>
                        </a:ext>
                      </a:extLst>
                    </a:blip>
                    <a:stretch>
                      <a:fillRect/>
                    </a:stretch>
                  </pic:blipFill>
                  <pic:spPr>
                    <a:xfrm>
                      <a:off x="0" y="0"/>
                      <a:ext cx="5141595" cy="3100070"/>
                    </a:xfrm>
                    <a:prstGeom prst="rect">
                      <a:avLst/>
                    </a:prstGeom>
                  </pic:spPr>
                </pic:pic>
              </a:graphicData>
            </a:graphic>
            <wp14:sizeRelH relativeFrom="page">
              <wp14:pctWidth>0</wp14:pctWidth>
            </wp14:sizeRelH>
            <wp14:sizeRelV relativeFrom="page">
              <wp14:pctHeight>0</wp14:pctHeight>
            </wp14:sizeRelV>
          </wp:anchor>
        </w:drawing>
      </w:r>
      <w:r w:rsidR="00922D52">
        <w:t>Media coverage</w:t>
      </w:r>
      <w:r w:rsidR="00645D61">
        <w:t xml:space="preserve"> is also a</w:t>
      </w:r>
      <w:r>
        <w:t xml:space="preserve">n important </w:t>
      </w:r>
      <w:r w:rsidR="00645D61">
        <w:t xml:space="preserve">component of the public diplomacy effort for the Government of Australia. </w:t>
      </w:r>
    </w:p>
    <w:p w14:paraId="7720E2C4" w14:textId="77777777" w:rsidR="00DB5D93" w:rsidRDefault="00DB5D93" w:rsidP="0023264A">
      <w:pPr>
        <w:pStyle w:val="Heading3"/>
      </w:pPr>
    </w:p>
    <w:p w14:paraId="307F9C33" w14:textId="77777777" w:rsidR="0023264A" w:rsidRDefault="0023264A" w:rsidP="0023264A">
      <w:pPr>
        <w:pStyle w:val="Heading3"/>
      </w:pPr>
      <w:r>
        <w:t xml:space="preserve">Disability Inclusion </w:t>
      </w:r>
    </w:p>
    <w:p w14:paraId="2A982D11" w14:textId="3BB0B871" w:rsidR="0023264A" w:rsidRDefault="0023264A" w:rsidP="0023264A">
      <w:r>
        <w:t xml:space="preserve">The Program made considerable investment in disability inclusion in 2014, building on the </w:t>
      </w:r>
      <w:r w:rsidR="00116AB9">
        <w:t>work that</w:t>
      </w:r>
      <w:r>
        <w:t xml:space="preserve"> began in 2013. The Program continued to employ a Disability </w:t>
      </w:r>
      <w:r w:rsidR="00A275D8">
        <w:t xml:space="preserve">Inclusion </w:t>
      </w:r>
      <w:r>
        <w:t>Officer</w:t>
      </w:r>
      <w:r>
        <w:rPr>
          <w:rStyle w:val="FootnoteReference"/>
        </w:rPr>
        <w:footnoteReference w:id="13"/>
      </w:r>
      <w:r>
        <w:t xml:space="preserve"> in the Sanma Centre (but who provided support across all three Centres) as well as the Disability Inclusion Adviser. The </w:t>
      </w:r>
      <w:r w:rsidRPr="00F243C8">
        <w:rPr>
          <w:i/>
        </w:rPr>
        <w:t>TVET Sector Disability Inclusion Strategy</w:t>
      </w:r>
      <w:r>
        <w:t xml:space="preserve"> was presented to the Strategic Advisory Group meeting in July. The VQA is very supportive of disability inclusion across the sector, and has invited the Program to work with them to develop a Disability Inclusive TVET Policy. Work on this will commence early in 2015. This represents an important milestone in progress towards a more inclusive TVET sector in Vanuatu. </w:t>
      </w:r>
    </w:p>
    <w:p w14:paraId="2B05A52B" w14:textId="6C49F7A0" w:rsidR="0023264A" w:rsidRDefault="0023264A" w:rsidP="0023264A">
      <w:r>
        <w:t>Other achievements</w:t>
      </w:r>
      <w:r w:rsidR="002B3FF1">
        <w:t xml:space="preserve"> in disability inclusion in 2014</w:t>
      </w:r>
      <w:r>
        <w:t xml:space="preserve"> include: </w:t>
      </w:r>
    </w:p>
    <w:p w14:paraId="129E1ABF" w14:textId="77777777" w:rsidR="0023264A" w:rsidRDefault="0023264A" w:rsidP="0023264A">
      <w:pPr>
        <w:pStyle w:val="BulletList"/>
      </w:pPr>
      <w:r>
        <w:lastRenderedPageBreak/>
        <w:t>Creation, training and support for Disability Focal Persons amongst the staff of each TVET Centre, and disability awareness training for all TVET Program staff</w:t>
      </w:r>
    </w:p>
    <w:p w14:paraId="5674C6BC" w14:textId="77777777" w:rsidR="0023264A" w:rsidRDefault="0023264A" w:rsidP="0023264A">
      <w:pPr>
        <w:pStyle w:val="BulletList"/>
      </w:pPr>
      <w:r>
        <w:t xml:space="preserve">Training and awareness raising amongst provincial and national stakeholders from across government, which included individual action plans to advance disability inclusion within departments, ministries and provincial government. </w:t>
      </w:r>
    </w:p>
    <w:p w14:paraId="58F900B9" w14:textId="77777777" w:rsidR="0023264A" w:rsidRDefault="0023264A" w:rsidP="0023264A">
      <w:pPr>
        <w:pStyle w:val="BulletList"/>
      </w:pPr>
      <w:r>
        <w:t xml:space="preserve">Positive and sustained media coverage of efforts to make skills development accessible to people with disabilities, contributing to a broader effort in Vanuatu to advance disability inclusion. </w:t>
      </w:r>
    </w:p>
    <w:p w14:paraId="69BB1B6E" w14:textId="228C12BF" w:rsidR="002B3FF1" w:rsidRDefault="002B3FF1" w:rsidP="0023264A">
      <w:r>
        <w:t xml:space="preserve">A striking feature of many stakeholder interviews was the frequency with which disability inclusion was mentioned as an important development in 2014. This observation was made by stakeholders from training providers, </w:t>
      </w:r>
      <w:r w:rsidR="00AD666D">
        <w:t xml:space="preserve">from Government, and </w:t>
      </w:r>
      <w:r>
        <w:t xml:space="preserve">within Program staff. </w:t>
      </w:r>
      <w:r w:rsidR="00AD666D">
        <w:t xml:space="preserve">In the absence of previous interviews it is not possible to confirm that this is a recent development, however there are certainly indications that this level of awareness is new. </w:t>
      </w:r>
    </w:p>
    <w:p w14:paraId="639D9EA8" w14:textId="72E0ED68" w:rsidR="0023264A" w:rsidRDefault="00256136" w:rsidP="0023264A">
      <w:r>
        <w:t>Most importantly, the i</w:t>
      </w:r>
      <w:r w:rsidR="0023264A">
        <w:t xml:space="preserve">mplementation of the Disability Inclusion Strategy across the TVET Program also appears to be paying </w:t>
      </w:r>
      <w:r w:rsidR="00AD666D">
        <w:t xml:space="preserve">material </w:t>
      </w:r>
      <w:r w:rsidR="0023264A">
        <w:t>dividends in the participation of people with a disability in skills development</w:t>
      </w:r>
      <w:r w:rsidR="002B3FF1">
        <w:t xml:space="preserve">, with a doubling in the proportion of TVET Centre participants who have a disability. </w:t>
      </w:r>
      <w:r w:rsidR="00AD666D">
        <w:t>This is a dramatic improvement in inclusion, and f</w:t>
      </w:r>
      <w:r w:rsidR="002B3FF1">
        <w:t xml:space="preserve">urther details are provided on </w:t>
      </w:r>
      <w:r w:rsidR="00A10F88">
        <w:t>page 22</w:t>
      </w:r>
      <w:r w:rsidR="0023264A">
        <w:t xml:space="preserve">. </w:t>
      </w:r>
    </w:p>
    <w:p w14:paraId="13B3036E" w14:textId="04E90D2D" w:rsidR="00922D52" w:rsidRDefault="00922D52" w:rsidP="00E41E37"/>
    <w:p w14:paraId="75CAE8CE" w14:textId="77777777" w:rsidR="00945CAF" w:rsidRDefault="00945CAF" w:rsidP="00E41E37"/>
    <w:p w14:paraId="6CD54E4C" w14:textId="77777777" w:rsidR="00486DA6" w:rsidRDefault="00486DA6">
      <w:pPr>
        <w:suppressAutoHyphens w:val="0"/>
        <w:spacing w:before="0" w:after="0"/>
        <w:rPr>
          <w:rFonts w:ascii="Calibri" w:eastAsia="MS Gothic" w:hAnsi="Calibri"/>
          <w:caps/>
          <w:color w:val="FF6600"/>
          <w:sz w:val="22"/>
          <w:szCs w:val="20"/>
        </w:rPr>
      </w:pPr>
      <w:r>
        <w:br w:type="page"/>
      </w:r>
    </w:p>
    <w:p w14:paraId="1FC2D0F7" w14:textId="70A108A3" w:rsidR="00727792" w:rsidRDefault="00727792" w:rsidP="00112C15">
      <w:pPr>
        <w:pStyle w:val="Heading2"/>
      </w:pPr>
      <w:bookmarkStart w:id="9" w:name="_Toc285716743"/>
      <w:r>
        <w:lastRenderedPageBreak/>
        <w:t>KRA2: Provincial Skills Development Coordination</w:t>
      </w:r>
      <w:bookmarkEnd w:id="9"/>
      <w:r>
        <w:t xml:space="preserve"> </w:t>
      </w:r>
    </w:p>
    <w:p w14:paraId="7BD31374" w14:textId="67D4E346" w:rsidR="00D44A10" w:rsidRDefault="00D44A10" w:rsidP="002126B9">
      <w:pPr>
        <w:rPr>
          <w:noProof/>
          <w:lang w:val="en-US"/>
        </w:rPr>
      </w:pPr>
      <w:r>
        <w:rPr>
          <w:noProof/>
          <w:lang w:val="en-US"/>
        </w:rPr>
        <w:t xml:space="preserve">In interviews, stakeholders mentioned three main issues in considering how the coordination of skills development had changed over the course of 2014. Most prominent was the development of the Skills Plans, which are discussed further below. Another issue discussed was the continuing improvement in cooperation and coordination across some sectors, although this is not universal and continues at a relatively slow pace. Finally, some stakeholders observed that the level of engagement in skills development by individual leaders in provincial government could be instrumental in the extent to which coordination was effective. </w:t>
      </w:r>
    </w:p>
    <w:p w14:paraId="49BDB8FB" w14:textId="67D32AEA" w:rsidR="005D7256" w:rsidRDefault="000500A1" w:rsidP="002126B9">
      <w:pPr>
        <w:rPr>
          <w:noProof/>
          <w:lang w:val="en-US"/>
        </w:rPr>
      </w:pPr>
      <w:r>
        <w:rPr>
          <w:noProof/>
          <w:lang w:val="en-US"/>
        </w:rPr>
        <w:t xml:space="preserve">As already noted, the most substantial event at a provincial level in 2014 was the opening of the Torba TVET Centre and the start of skills development activity in Torba Province. </w:t>
      </w:r>
    </w:p>
    <w:p w14:paraId="6E821C6B" w14:textId="3C399E49" w:rsidR="00BA63DA" w:rsidRDefault="005D7256" w:rsidP="002126B9">
      <w:r>
        <w:rPr>
          <w:noProof/>
          <w:lang w:val="en-GB" w:eastAsia="en-GB"/>
        </w:rPr>
        <mc:AlternateContent>
          <mc:Choice Requires="wps">
            <w:drawing>
              <wp:anchor distT="0" distB="0" distL="114300" distR="114300" simplePos="0" relativeHeight="251663872" behindDoc="0" locked="0" layoutInCell="1" allowOverlap="1" wp14:anchorId="756C3578" wp14:editId="4845083E">
                <wp:simplePos x="0" y="0"/>
                <wp:positionH relativeFrom="column">
                  <wp:posOffset>3886200</wp:posOffset>
                </wp:positionH>
                <wp:positionV relativeFrom="paragraph">
                  <wp:posOffset>11430</wp:posOffset>
                </wp:positionV>
                <wp:extent cx="1714500" cy="4800600"/>
                <wp:effectExtent l="0" t="0" r="12700" b="0"/>
                <wp:wrapThrough wrapText="bothSides">
                  <wp:wrapPolygon edited="0">
                    <wp:start x="0" y="0"/>
                    <wp:lineTo x="0" y="21486"/>
                    <wp:lineTo x="21440" y="21486"/>
                    <wp:lineTo x="21440" y="0"/>
                    <wp:lineTo x="0" y="0"/>
                  </wp:wrapPolygon>
                </wp:wrapThrough>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800600"/>
                        </a:xfrm>
                        <a:prstGeom prst="rect">
                          <a:avLst/>
                        </a:prstGeom>
                        <a:solidFill>
                          <a:schemeClr val="accent3">
                            <a:lumMod val="40000"/>
                            <a:lumOff val="60000"/>
                          </a:schemeClr>
                        </a:solidFill>
                        <a:ln>
                          <a:noFill/>
                        </a:ln>
                        <a:extLst/>
                      </wps:spPr>
                      <wps:txbx>
                        <w:txbxContent>
                          <w:p w14:paraId="483F9B4C" w14:textId="77777777" w:rsidR="00564169" w:rsidRPr="00B17BB1" w:rsidRDefault="00564169" w:rsidP="002B7CF3">
                            <w:pPr>
                              <w:pStyle w:val="TextBoxHeading"/>
                            </w:pPr>
                            <w:r w:rsidRPr="00B17BB1">
                              <w:t>Relevant MEF Indicators</w:t>
                            </w:r>
                          </w:p>
                          <w:p w14:paraId="4B358C99" w14:textId="2CE57B70" w:rsidR="00564169" w:rsidRDefault="00564169" w:rsidP="002B7CF3">
                            <w:pPr>
                              <w:pStyle w:val="TableText"/>
                            </w:pPr>
                            <w:r>
                              <w:t># P</w:t>
                            </w:r>
                            <w:r w:rsidR="004041DA">
                              <w:t>G</w:t>
                            </w:r>
                            <w:r>
                              <w:t>TB meetings (2.1)</w:t>
                            </w:r>
                          </w:p>
                          <w:p w14:paraId="605FA930" w14:textId="77777777" w:rsidR="00564169" w:rsidRDefault="00564169" w:rsidP="002B7CF3">
                            <w:pPr>
                              <w:pStyle w:val="TableText"/>
                            </w:pPr>
                            <w:r>
                              <w:t># Provincial Skills Development Plans prepared (2.2)</w:t>
                            </w:r>
                          </w:p>
                          <w:p w14:paraId="50EA8DF3" w14:textId="7ABD344D" w:rsidR="00564169" w:rsidRDefault="00564169" w:rsidP="002B7CF3">
                            <w:pPr>
                              <w:pStyle w:val="TableText"/>
                            </w:pPr>
                            <w:r>
                              <w:t># P</w:t>
                            </w:r>
                            <w:r w:rsidR="004041DA">
                              <w:t>G</w:t>
                            </w:r>
                            <w:r>
                              <w:t>TBs restructured in all provinces in line with national TVET Policy (2.3)</w:t>
                            </w:r>
                          </w:p>
                          <w:p w14:paraId="51547240" w14:textId="478C6C27" w:rsidR="00564169" w:rsidRDefault="00564169" w:rsidP="002B7CF3">
                            <w:pPr>
                              <w:pStyle w:val="TableText"/>
                            </w:pPr>
                            <w:r>
                              <w:t>Extent to which P</w:t>
                            </w:r>
                            <w:r w:rsidR="004041DA">
                              <w:t>G</w:t>
                            </w:r>
                            <w:r>
                              <w:t>TB members from a range of stakeholder groups are actively advising TVET Centres on priority skills development needs (2.5)</w:t>
                            </w:r>
                          </w:p>
                          <w:p w14:paraId="2FAFEC53" w14:textId="77777777" w:rsidR="00564169" w:rsidRDefault="00564169" w:rsidP="002B7CF3">
                            <w:pPr>
                              <w:pStyle w:val="TableText"/>
                            </w:pPr>
                            <w:r>
                              <w:t xml:space="preserve"># Provincial Skills Development Plans updated and used by TVET Centres and training providers to guide training delivery (2.6) </w:t>
                            </w:r>
                          </w:p>
                          <w:p w14:paraId="0B09F549" w14:textId="77777777" w:rsidR="00564169" w:rsidRDefault="00564169" w:rsidP="002B7CF3">
                            <w:pPr>
                              <w:pStyle w:val="TextBoxHeading"/>
                            </w:pPr>
                            <w:r>
                              <w:t>Program Logic Reference</w:t>
                            </w:r>
                          </w:p>
                          <w:p w14:paraId="1813AFCA" w14:textId="711DE982" w:rsidR="00564169" w:rsidRDefault="00564169" w:rsidP="002B7CF3">
                            <w:pPr>
                              <w:pStyle w:val="TableText"/>
                            </w:pPr>
                            <w:r>
                              <w:t>“Capacity development for P</w:t>
                            </w:r>
                            <w:r w:rsidR="004041DA">
                              <w:t>G</w:t>
                            </w:r>
                            <w:r>
                              <w:t>TBs”</w:t>
                            </w:r>
                          </w:p>
                          <w:p w14:paraId="464B89B0" w14:textId="23941C29" w:rsidR="00564169" w:rsidRDefault="00564169" w:rsidP="002B7CF3">
                            <w:pPr>
                              <w:pStyle w:val="TableText"/>
                            </w:pPr>
                            <w:r>
                              <w:t>“P</w:t>
                            </w:r>
                            <w:r w:rsidR="004041DA">
                              <w:t>G</w:t>
                            </w:r>
                            <w:r>
                              <w:t>TBs implement national TVET Policy in program provinces”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306pt;margin-top:.9pt;width:135pt;height:37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EciyUCAABCBAAADgAAAGRycy9lMm9Eb2MueG1srFPbbtswDH0fsH8Q9L7YuWzrjDhFl6LDgK4b&#10;0O4DFFmOhcmiRimxs68fJSVZur4N84NgUtThIQ+5vB57w/YKvQZb8+mk5ExZCY2225p/f7p7c8WZ&#10;D8I2woBVNT8oz69Xr18tB1epGXRgGoWMQKyvBlfzLgRXFYWXneqFn4BTli5bwF4EMnFbNCgGQu9N&#10;MSvLd8UA2DgEqbwn722+5KuE37ZKhq9t61VgpubELaQT07mJZ7FaimqLwnVaHmmIf2DRC20p6Rnq&#10;VgTBdqhfQPVaInhow0RCX0DbaqlSDVTNtPyrmsdOOJVqoeZ4d26T/3+w8mH/DZluaj6bc2ZFTxo9&#10;qTGwjzCy2TT2Z3C+orBHR4FhJD/pnGr17h7kD88srDtht+oGEYZOiYb4pZfFxdOM4yPIZvgCDeUR&#10;uwAJaGyxj82jdjBCJ50OZ20iFxlTvp8u3pZ0JelucUXSk0HsClGdnjv04ZOCnsWfmiOJn+DF/t6H&#10;HHoKidk8GN3caWOSEQdOrQ2yvaBREVIqG+bpudn1xDf7FyV9eWjITaOV3cTlzCaNbkRK3J4lMTam&#10;shCTZj7ZQzUeGcaGxR7lboVxMyZt5icdNtAcqIMIeZBp8einA/zF2UBDXHP/cydQcWY+W1Lhw3Sx&#10;iFN/aeClsbk0hJUEVfPAWf5dh7wpO4d621GmrLuFG1Ku1amnkXFmRfVGgwY1VX5cqrgJl3aK+rP6&#10;q98AAAD//wMAUEsDBBQABgAIAAAAIQCcrO6X2wAAAAkBAAAPAAAAZHJzL2Rvd25yZXYueG1sTI/B&#10;TsMwEETvSPyDtUjcqNOqNFaIUwECzlA4cNzGJgmN18F2mvTv2Z7gOJrV7Hvldna9ONoQO08alosM&#10;hKXam44aDR/vzzcKRExIBntPVsPJRthWlxclFsZP9GaPu9QIHqFYoIY2paGQMtatdRgXfrDE3ZcP&#10;DhPH0EgTcOJx18tVlm2kw474Q4uDfWxtfdiNTgPmeHhdx24M6vTz+W3W08PLU6P19dV8fwci2Tn9&#10;HcMZn9GhYqa9H8lE0WvYLFfskrhgA+6VOue9hvw2VyCrUv43qH4BAAD//wMAUEsBAi0AFAAGAAgA&#10;AAAhAOSZw8D7AAAA4QEAABMAAAAAAAAAAAAAAAAAAAAAAFtDb250ZW50X1R5cGVzXS54bWxQSwEC&#10;LQAUAAYACAAAACEAI7Jq4dcAAACUAQAACwAAAAAAAAAAAAAAAAAsAQAAX3JlbHMvLnJlbHNQSwEC&#10;LQAUAAYACAAAACEA8TEciyUCAABCBAAADgAAAAAAAAAAAAAAAAAsAgAAZHJzL2Uyb0RvYy54bWxQ&#10;SwECLQAUAAYACAAAACEAnKzul9sAAAAJAQAADwAAAAAAAAAAAAAAAAB9BAAAZHJzL2Rvd25yZXYu&#10;eG1sUEsFBgAAAAAEAAQA8wAAAIUFAAAAAA==&#10;" fillcolor="#d6e3bc [1302]" stroked="f">
                <v:textbox inset=",7.2pt,,7.2pt">
                  <w:txbxContent>
                    <w:p w14:paraId="483F9B4C" w14:textId="77777777" w:rsidR="00564169" w:rsidRPr="00B17BB1" w:rsidRDefault="00564169" w:rsidP="002B7CF3">
                      <w:pPr>
                        <w:pStyle w:val="TextBoxHeading"/>
                      </w:pPr>
                      <w:r w:rsidRPr="00B17BB1">
                        <w:t>Relevant MEF Indicators</w:t>
                      </w:r>
                    </w:p>
                    <w:p w14:paraId="4B358C99" w14:textId="2CE57B70" w:rsidR="00564169" w:rsidRDefault="00564169" w:rsidP="002B7CF3">
                      <w:pPr>
                        <w:pStyle w:val="TableText"/>
                      </w:pPr>
                      <w:r>
                        <w:t># P</w:t>
                      </w:r>
                      <w:r w:rsidR="004041DA">
                        <w:t>G</w:t>
                      </w:r>
                      <w:r>
                        <w:t>TB meetings (2.1)</w:t>
                      </w:r>
                    </w:p>
                    <w:p w14:paraId="605FA930" w14:textId="77777777" w:rsidR="00564169" w:rsidRDefault="00564169" w:rsidP="002B7CF3">
                      <w:pPr>
                        <w:pStyle w:val="TableText"/>
                      </w:pPr>
                      <w:r>
                        <w:t># Provincial Skills Development Plans prepared (2.2)</w:t>
                      </w:r>
                    </w:p>
                    <w:p w14:paraId="50EA8DF3" w14:textId="7ABD344D" w:rsidR="00564169" w:rsidRDefault="00564169" w:rsidP="002B7CF3">
                      <w:pPr>
                        <w:pStyle w:val="TableText"/>
                      </w:pPr>
                      <w:r>
                        <w:t># P</w:t>
                      </w:r>
                      <w:r w:rsidR="004041DA">
                        <w:t>G</w:t>
                      </w:r>
                      <w:r>
                        <w:t>TBs restructured in all provinces in line with national TVET Policy (2.3)</w:t>
                      </w:r>
                    </w:p>
                    <w:p w14:paraId="51547240" w14:textId="478C6C27" w:rsidR="00564169" w:rsidRDefault="00564169" w:rsidP="002B7CF3">
                      <w:pPr>
                        <w:pStyle w:val="TableText"/>
                      </w:pPr>
                      <w:r>
                        <w:t>Extent to which P</w:t>
                      </w:r>
                      <w:r w:rsidR="004041DA">
                        <w:t>G</w:t>
                      </w:r>
                      <w:r>
                        <w:t>TB members from a range of stakeholder groups are actively advising TVET Centres on priority skills development needs (2.5)</w:t>
                      </w:r>
                    </w:p>
                    <w:p w14:paraId="2FAFEC53" w14:textId="77777777" w:rsidR="00564169" w:rsidRDefault="00564169" w:rsidP="002B7CF3">
                      <w:pPr>
                        <w:pStyle w:val="TableText"/>
                      </w:pPr>
                      <w:r>
                        <w:t xml:space="preserve"># Provincial Skills Development Plans updated and used by TVET Centres and training providers to guide training delivery (2.6) </w:t>
                      </w:r>
                    </w:p>
                    <w:p w14:paraId="0B09F549" w14:textId="77777777" w:rsidR="00564169" w:rsidRDefault="00564169" w:rsidP="002B7CF3">
                      <w:pPr>
                        <w:pStyle w:val="TextBoxHeading"/>
                      </w:pPr>
                      <w:r>
                        <w:t>Program Logic Reference</w:t>
                      </w:r>
                    </w:p>
                    <w:p w14:paraId="1813AFCA" w14:textId="711DE982" w:rsidR="00564169" w:rsidRDefault="00564169" w:rsidP="002B7CF3">
                      <w:pPr>
                        <w:pStyle w:val="TableText"/>
                      </w:pPr>
                      <w:r>
                        <w:t>“Capacity development for P</w:t>
                      </w:r>
                      <w:r w:rsidR="004041DA">
                        <w:t>G</w:t>
                      </w:r>
                      <w:r>
                        <w:t>TBs”</w:t>
                      </w:r>
                    </w:p>
                    <w:p w14:paraId="464B89B0" w14:textId="23941C29" w:rsidR="00564169" w:rsidRDefault="00564169" w:rsidP="002B7CF3">
                      <w:pPr>
                        <w:pStyle w:val="TableText"/>
                      </w:pPr>
                      <w:r>
                        <w:t>“P</w:t>
                      </w:r>
                      <w:r w:rsidR="004041DA">
                        <w:t>G</w:t>
                      </w:r>
                      <w:r>
                        <w:t>TBs implement national TVET Policy in program provinces”</w:t>
                      </w:r>
                    </w:p>
                  </w:txbxContent>
                </v:textbox>
                <w10:wrap type="through"/>
              </v:shape>
            </w:pict>
          </mc:Fallback>
        </mc:AlternateContent>
      </w:r>
      <w:r>
        <w:rPr>
          <w:noProof/>
          <w:lang w:val="en-US"/>
        </w:rPr>
        <w:t>The opening of the Torba TVET Centre</w:t>
      </w:r>
      <w:r w:rsidR="000500A1">
        <w:rPr>
          <w:noProof/>
          <w:lang w:val="en-US"/>
        </w:rPr>
        <w:t xml:space="preserve"> also brought a third Provincial Government Training Board (PGTB) into the </w:t>
      </w:r>
      <w:r w:rsidR="0060147F">
        <w:rPr>
          <w:noProof/>
          <w:lang w:val="en-US"/>
        </w:rPr>
        <w:t xml:space="preserve">activities supported by the Program. </w:t>
      </w:r>
      <w:r w:rsidR="0078353A">
        <w:rPr>
          <w:noProof/>
          <w:lang w:val="en-US"/>
        </w:rPr>
        <w:t>Over the course of 2014 the</w:t>
      </w:r>
      <w:r w:rsidR="00047620">
        <w:t xml:space="preserve"> </w:t>
      </w:r>
      <w:r w:rsidR="0060147F">
        <w:t>PGTBs</w:t>
      </w:r>
      <w:r w:rsidR="00047620">
        <w:t xml:space="preserve"> in program provinces have </w:t>
      </w:r>
      <w:r w:rsidR="0078353A">
        <w:t xml:space="preserve">continued </w:t>
      </w:r>
      <w:r w:rsidR="004B5F1D">
        <w:t xml:space="preserve">to meet </w:t>
      </w:r>
      <w:r w:rsidR="00047620">
        <w:t>often</w:t>
      </w:r>
      <w:r w:rsidR="00284D78">
        <w:t xml:space="preserve"> (</w:t>
      </w:r>
      <w:r w:rsidR="00C52147">
        <w:t>eight</w:t>
      </w:r>
      <w:r w:rsidR="00284D78">
        <w:t xml:space="preserve"> times in Sanma, </w:t>
      </w:r>
      <w:r w:rsidR="007D565F">
        <w:t>seven</w:t>
      </w:r>
      <w:r w:rsidR="00C52147">
        <w:t xml:space="preserve"> in Torba, </w:t>
      </w:r>
      <w:r w:rsidR="00284D78">
        <w:t xml:space="preserve">and </w:t>
      </w:r>
      <w:r w:rsidR="00C52147">
        <w:t>seven</w:t>
      </w:r>
      <w:r w:rsidR="00284D78">
        <w:t xml:space="preserve"> in Malampa)</w:t>
      </w:r>
      <w:r w:rsidR="00047620">
        <w:t xml:space="preserve">, </w:t>
      </w:r>
      <w:r w:rsidR="00A77771">
        <w:t>in line with the target of meeting at least two-monthly. M</w:t>
      </w:r>
      <w:r w:rsidR="00047620">
        <w:t xml:space="preserve">eetings </w:t>
      </w:r>
      <w:r w:rsidR="007D565F">
        <w:t>continued to be</w:t>
      </w:r>
      <w:r w:rsidR="00A77771">
        <w:t xml:space="preserve"> </w:t>
      </w:r>
      <w:r w:rsidR="00047620">
        <w:t xml:space="preserve">initiated and arranged by the TVET Centres in consultation with the Chairs. </w:t>
      </w:r>
    </w:p>
    <w:p w14:paraId="5791092D" w14:textId="02F86FD4" w:rsidR="00F54107" w:rsidRDefault="00096A3D" w:rsidP="002126B9">
      <w:r>
        <w:t>Two P</w:t>
      </w:r>
      <w:r w:rsidR="0060147F">
        <w:t>G</w:t>
      </w:r>
      <w:r>
        <w:t xml:space="preserve">TB meetings </w:t>
      </w:r>
      <w:r w:rsidR="002F5007">
        <w:t>in each Province were designed to focus on discussing</w:t>
      </w:r>
      <w:r>
        <w:t xml:space="preserve"> progress with skills development</w:t>
      </w:r>
      <w:r w:rsidR="002F5007">
        <w:t xml:space="preserve"> in the Province</w:t>
      </w:r>
      <w:r>
        <w:t xml:space="preserve">. The M&amp;E team supported these meetings by presenting Program data </w:t>
      </w:r>
      <w:r w:rsidR="002F5007">
        <w:t xml:space="preserve">(both individual TVET Centre data and whole-of-Program data), </w:t>
      </w:r>
      <w:r>
        <w:t>and facilitating P</w:t>
      </w:r>
      <w:r w:rsidR="0060147F">
        <w:t>G</w:t>
      </w:r>
      <w:r>
        <w:t xml:space="preserve">TB members to discuss the data and its implications for planning and managing skills development activities in their province. This continued the practice established during Phase 2, and continued to prove a catalyst for useful discussion amongst members. </w:t>
      </w:r>
      <w:r w:rsidR="00BA63DA">
        <w:t>The Torba TVET Centre Manager reported that the M&amp;E report to the P</w:t>
      </w:r>
      <w:r w:rsidR="0060147F">
        <w:t>G</w:t>
      </w:r>
      <w:r w:rsidR="00BA63DA">
        <w:t xml:space="preserve">TB in December Torba galvanised Board members to subsequently meet to jointly forward plan their 2015 activities, including with the TVET Centre. </w:t>
      </w:r>
      <w:r w:rsidR="00F54107">
        <w:t xml:space="preserve">This demonstrates the potential that relevant and targeted M&amp;E data has to support improved planning and management. </w:t>
      </w:r>
    </w:p>
    <w:p w14:paraId="1BD4CC06" w14:textId="412192C0" w:rsidR="0078353A" w:rsidRDefault="00F54107" w:rsidP="002126B9">
      <w:r>
        <w:t xml:space="preserve">More broadly, stakeholders observed the importance of the TVET Centres, and their way of working, in supporting improved provincial coordination. </w:t>
      </w:r>
      <w:r w:rsidR="00197305">
        <w:t>As the Torba Centre Manager comments: “the TVET Centre is like a magnet, pulling people together”</w:t>
      </w:r>
      <w:r w:rsidR="00197305">
        <w:rPr>
          <w:rStyle w:val="FootnoteReference"/>
        </w:rPr>
        <w:footnoteReference w:id="14"/>
      </w:r>
      <w:r w:rsidR="00A814E7">
        <w:t>, and this was echoed by government officials</w:t>
      </w:r>
      <w:r>
        <w:t xml:space="preserve"> at the highest level</w:t>
      </w:r>
      <w:r w:rsidR="00A814E7">
        <w:t xml:space="preserve">. </w:t>
      </w:r>
    </w:p>
    <w:p w14:paraId="190B8F92" w14:textId="5BB7D1FC" w:rsidR="003F2ED1" w:rsidRDefault="003F2ED1" w:rsidP="003F2ED1">
      <w:r>
        <w:t xml:space="preserve">The extent to which sectoral and stakeholder representatives are actively engaging with TVET Centres to guide the identification and prioritisation of training and BDS activities is highly variable. The tourism sector is extremely engaged in </w:t>
      </w:r>
      <w:r w:rsidR="002F5007">
        <w:t xml:space="preserve">all three </w:t>
      </w:r>
      <w:r>
        <w:t xml:space="preserve">provinces, reflecting the much more significant investment the Program and the sectoral leadership in Government have been making in that sector since Phase 2 through the TVET for Tourism sub-program. The positive impact of this level of support to the sector is evident in several ways: the tourism representatives on the PGTBs are active in meetings and in guiding training and BDS activities </w:t>
      </w:r>
      <w:r>
        <w:lastRenderedPageBreak/>
        <w:t xml:space="preserve">in their sector; they are increasingly leading support to their clients in the industry; and data regarding training and BDS provided in tourism (which is reported under KRA3 and the </w:t>
      </w:r>
      <w:r w:rsidRPr="00AE2F10">
        <w:t xml:space="preserve">text box </w:t>
      </w:r>
      <w:r>
        <w:t xml:space="preserve">below) shows a continuing high level of activity through the TVET Centres. </w:t>
      </w:r>
    </w:p>
    <w:p w14:paraId="74A26500" w14:textId="35FF8C2F" w:rsidR="00463214" w:rsidRDefault="00463214" w:rsidP="003F2ED1">
      <w:r>
        <w:t xml:space="preserve">There are also signs that </w:t>
      </w:r>
      <w:r w:rsidR="00210453">
        <w:t>there is increasing appreciation of</w:t>
      </w:r>
      <w:r>
        <w:t xml:space="preserve"> the extent to which sectors are interconnected. Several stakeholders highlighted the example of the agriculture sector increasingly engaging with tourism, in recognition of the importance of agricultural production in supporting the capacity of tourism operators to provide food and other products to clients. </w:t>
      </w:r>
    </w:p>
    <w:p w14:paraId="0092F37C" w14:textId="27B1C689" w:rsidR="003F2ED1" w:rsidRDefault="003F2ED1" w:rsidP="003F2ED1">
      <w:r>
        <w:t xml:space="preserve">By comparison, some other productive sectors still do not appear to </w:t>
      </w:r>
      <w:r w:rsidR="00210453">
        <w:t xml:space="preserve">be </w:t>
      </w:r>
      <w:r>
        <w:t>taking advantage of the opportunities offered through the TVET Centres. Not only are some sector representatives not active in their PGTB membership, there is also little demand for skills development support in some sectors (as evident from the data presented under KRA3). This observation was made again at Strategic Advisory Group discussions in 2014</w:t>
      </w:r>
      <w:r w:rsidR="00933BD6">
        <w:t xml:space="preserve">, and in stakeholder interviews, although some interlocutors also acknowledged the very limited resources with which provincial sector representatives are trying to undertake their roles. </w:t>
      </w:r>
    </w:p>
    <w:p w14:paraId="49049C98" w14:textId="77777777" w:rsidR="00CF4FFE" w:rsidRDefault="00CF4FFE" w:rsidP="00CF4FFE">
      <w:pPr>
        <w:pStyle w:val="Heading3"/>
      </w:pPr>
      <w:r>
        <w:t>Provincial Skills Development Plans – a basis for discussion, analysis and looking forward</w:t>
      </w:r>
    </w:p>
    <w:p w14:paraId="69649F2A" w14:textId="6B964F60" w:rsidR="003F2ED1" w:rsidRDefault="00802D71" w:rsidP="003F2ED1">
      <w:r>
        <w:t>Skills Development Plans</w:t>
      </w:r>
      <w:r w:rsidR="00A275D8">
        <w:t>, developed through the Phase 2 Program,</w:t>
      </w:r>
      <w:r>
        <w:t xml:space="preserve"> already existed for Sanma and Malampa Provinces, although they were somewhat dated and </w:t>
      </w:r>
      <w:r w:rsidR="00210453">
        <w:t>decreasingly</w:t>
      </w:r>
      <w:r>
        <w:t xml:space="preserve"> used to guide </w:t>
      </w:r>
      <w:r w:rsidR="00210453">
        <w:t>decisions relate</w:t>
      </w:r>
      <w:r w:rsidR="00A275D8">
        <w:t>d</w:t>
      </w:r>
      <w:r w:rsidR="00210453">
        <w:t xml:space="preserve"> to skill development needs</w:t>
      </w:r>
      <w:r>
        <w:t xml:space="preserve">. </w:t>
      </w:r>
      <w:r w:rsidR="0021183D">
        <w:t xml:space="preserve">Over several inputs </w:t>
      </w:r>
      <w:r w:rsidR="00210453">
        <w:t xml:space="preserve">throughout </w:t>
      </w:r>
      <w:r w:rsidR="0021183D">
        <w:t xml:space="preserve">2014, the Skills Planning Adviser undertook </w:t>
      </w:r>
      <w:r w:rsidR="0064285D" w:rsidRPr="00802D71">
        <w:t>extensive consultations, analysis, resear</w:t>
      </w:r>
      <w:r w:rsidR="0021183D">
        <w:t>ch and collaborative discussion with stakeholders across Vanuatu. As a result,</w:t>
      </w:r>
      <w:r w:rsidR="0064285D" w:rsidRPr="00802D71">
        <w:t xml:space="preserve"> </w:t>
      </w:r>
      <w:r w:rsidR="000C699E" w:rsidRPr="00802D71">
        <w:t>there are now</w:t>
      </w:r>
      <w:r w:rsidR="0064285D" w:rsidRPr="00802D71">
        <w:t xml:space="preserve"> </w:t>
      </w:r>
      <w:r w:rsidR="0064285D" w:rsidRPr="0021183D">
        <w:t xml:space="preserve">revised </w:t>
      </w:r>
      <w:r w:rsidR="000C699E" w:rsidRPr="0021183D">
        <w:t>and updated</w:t>
      </w:r>
      <w:r w:rsidR="0064285D" w:rsidRPr="0021183D">
        <w:t xml:space="preserve"> Skills Plans for Sanma and Malampa, and new Skills Plans for Torba, Tafea, Penama and Shefa. </w:t>
      </w:r>
      <w:r w:rsidR="00765477" w:rsidRPr="0021183D">
        <w:t>T</w:t>
      </w:r>
      <w:r w:rsidR="00765477" w:rsidRPr="00802D71">
        <w:t>hese Skills Plans identify the skills and training that are in demand in each province; the workforce drivers and barriers to skill development; the potential numbers of people requiring training in each sector; and reference the new national qualifications relevant for each sector. Sectors addressed in the Skills Plans are: agriculture and horticulture; forestry; livestock; fisheries and aquaculture; tourism and hospitality; construction and property services; transport and logistics (including maritime); and cross-sector.</w:t>
      </w:r>
    </w:p>
    <w:p w14:paraId="2656248C" w14:textId="00700C6A" w:rsidR="005274A8" w:rsidRDefault="00AE2788" w:rsidP="005E7A8A">
      <w:r>
        <w:t xml:space="preserve">An important aspect of the process of developing the Skills Plans was the effort the Adviser put into involving PGTB members in the development </w:t>
      </w:r>
      <w:r w:rsidR="00210453">
        <w:t>process</w:t>
      </w:r>
      <w:r>
        <w:t>. Thus the</w:t>
      </w:r>
      <w:r w:rsidR="003F2ED1" w:rsidRPr="003F2ED1">
        <w:t xml:space="preserve"> Plans may provide a vehicle for greater engagement in proactive skills development planning within provinces and sectors, capitalising on the understanding, interest and discussions that were catalysed in the process of developing the Plans.</w:t>
      </w:r>
      <w:r w:rsidR="003F2ED1">
        <w:t xml:space="preserve"> </w:t>
      </w:r>
    </w:p>
    <w:p w14:paraId="04A501D2" w14:textId="21EB3B44" w:rsidR="00241FC7" w:rsidRDefault="00241FC7" w:rsidP="00241FC7">
      <w:r>
        <w:t xml:space="preserve">The </w:t>
      </w:r>
      <w:r w:rsidR="005274A8">
        <w:t xml:space="preserve">Skills Plans </w:t>
      </w:r>
      <w:r w:rsidR="00AE2788">
        <w:t>should</w:t>
      </w:r>
      <w:r w:rsidR="005274A8">
        <w:t xml:space="preserve"> be a useful tool for TVET Centres and PGTBs to make strategic decisions about where to direct support for skills development in each Province. This will be especially important in a period where the funding available through the Employment and Training Fund is likely to be more stretched than ever before. </w:t>
      </w:r>
      <w:r>
        <w:t xml:space="preserve">While many stakeholders highlighted the value of the Skills Plans, many also observed that implementation is likely to be a continuing challenge. The availability of skills trainers, and the availability of other resources to support implementation, were both emphasised as pressing issues. </w:t>
      </w:r>
    </w:p>
    <w:p w14:paraId="75BEBE76" w14:textId="3E982B58" w:rsidR="00FC1705" w:rsidRPr="005E7A8A" w:rsidRDefault="00FC1705" w:rsidP="005E7A8A">
      <w:r>
        <w:br w:type="page"/>
      </w:r>
    </w:p>
    <w:bookmarkStart w:id="10" w:name="_Toc285716744"/>
    <w:p w14:paraId="799D6C48" w14:textId="4B5ACEDD" w:rsidR="00AF3F40" w:rsidRPr="00AF3F40" w:rsidRDefault="00BF2D86" w:rsidP="00AF3F40">
      <w:pPr>
        <w:pStyle w:val="Heading2"/>
      </w:pPr>
      <w:r>
        <w:rPr>
          <w:noProof/>
          <w:lang w:val="en-GB" w:eastAsia="en-GB"/>
        </w:rPr>
        <w:lastRenderedPageBreak/>
        <mc:AlternateContent>
          <mc:Choice Requires="wps">
            <w:drawing>
              <wp:anchor distT="0" distB="0" distL="114300" distR="114300" simplePos="0" relativeHeight="251658752" behindDoc="0" locked="0" layoutInCell="1" allowOverlap="1" wp14:anchorId="2F8B86DC" wp14:editId="1E8A75A6">
                <wp:simplePos x="0" y="0"/>
                <wp:positionH relativeFrom="column">
                  <wp:posOffset>571500</wp:posOffset>
                </wp:positionH>
                <wp:positionV relativeFrom="paragraph">
                  <wp:posOffset>342900</wp:posOffset>
                </wp:positionV>
                <wp:extent cx="4000500" cy="3886200"/>
                <wp:effectExtent l="0" t="0" r="12700" b="0"/>
                <wp:wrapTopAndBottom/>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886200"/>
                        </a:xfrm>
                        <a:prstGeom prst="rect">
                          <a:avLst/>
                        </a:prstGeom>
                        <a:solidFill>
                          <a:schemeClr val="accent6">
                            <a:lumMod val="60000"/>
                            <a:lumOff val="40000"/>
                          </a:schemeClr>
                        </a:solidFill>
                        <a:ln>
                          <a:noFill/>
                        </a:ln>
                        <a:extLst/>
                      </wps:spPr>
                      <wps:txbx>
                        <w:txbxContent>
                          <w:p w14:paraId="29E177A8" w14:textId="4BADF3BF" w:rsidR="00564169" w:rsidRDefault="00564169" w:rsidP="002B7CF3">
                            <w:pPr>
                              <w:pStyle w:val="TextBoxHeading"/>
                            </w:pPr>
                            <w:r>
                              <w:t>Skills Development Activities – Snapshot of 2014</w:t>
                            </w:r>
                          </w:p>
                          <w:p w14:paraId="52981E20" w14:textId="5F000C98" w:rsidR="00564169" w:rsidRDefault="00564169" w:rsidP="002B7CF3">
                            <w:pPr>
                              <w:pStyle w:val="Boxbullet"/>
                            </w:pPr>
                            <w:r>
                              <w:t xml:space="preserve">77 skills development activities including </w:t>
                            </w:r>
                          </w:p>
                          <w:p w14:paraId="49B82AA4" w14:textId="19528AF6" w:rsidR="00564169" w:rsidRDefault="00564169" w:rsidP="0019245A">
                            <w:pPr>
                              <w:pStyle w:val="Boxbullet"/>
                              <w:numPr>
                                <w:ilvl w:val="1"/>
                                <w:numId w:val="7"/>
                              </w:numPr>
                            </w:pPr>
                            <w:r>
                              <w:t xml:space="preserve">14 accredited </w:t>
                            </w:r>
                            <w:r w:rsidRPr="00F448F8">
                              <w:t>training</w:t>
                            </w:r>
                            <w:r>
                              <w:t xml:space="preserve"> courses providing 18 units of competency</w:t>
                            </w:r>
                          </w:p>
                          <w:p w14:paraId="3948C1C6" w14:textId="1FFF717A" w:rsidR="00564169" w:rsidRDefault="00564169" w:rsidP="0019245A">
                            <w:pPr>
                              <w:pStyle w:val="Boxbullet"/>
                              <w:numPr>
                                <w:ilvl w:val="1"/>
                                <w:numId w:val="7"/>
                              </w:numPr>
                            </w:pPr>
                            <w:r>
                              <w:t>63 BDS workshops and coaching/mentoring activities</w:t>
                            </w:r>
                          </w:p>
                          <w:p w14:paraId="373EADDC" w14:textId="028BD4DD" w:rsidR="00564169" w:rsidRDefault="00564169" w:rsidP="002B7CF3">
                            <w:pPr>
                              <w:pStyle w:val="Boxbullet"/>
                            </w:pPr>
                            <w:r>
                              <w:t xml:space="preserve">1062 participants </w:t>
                            </w:r>
                          </w:p>
                          <w:p w14:paraId="7AA09E18" w14:textId="316FB101" w:rsidR="00564169" w:rsidRDefault="00564169" w:rsidP="002B7CF3">
                            <w:pPr>
                              <w:pStyle w:val="Boxbullet"/>
                            </w:pPr>
                            <w:r>
                              <w:t>48% women</w:t>
                            </w:r>
                          </w:p>
                          <w:p w14:paraId="260DAF89" w14:textId="490F99BE" w:rsidR="00564169" w:rsidRDefault="00564169" w:rsidP="002B7CF3">
                            <w:pPr>
                              <w:pStyle w:val="Boxbullet"/>
                            </w:pPr>
                            <w:r>
                              <w:t>58% rural participants; 33% from remote areas</w:t>
                            </w:r>
                          </w:p>
                          <w:p w14:paraId="7613D715" w14:textId="2FAE7246" w:rsidR="00564169" w:rsidRDefault="00564169" w:rsidP="002B7CF3">
                            <w:pPr>
                              <w:pStyle w:val="Boxbullet"/>
                            </w:pPr>
                            <w:r>
                              <w:t>Average age of participants: 36 years old</w:t>
                            </w:r>
                          </w:p>
                          <w:p w14:paraId="722F494C" w14:textId="6E4E3800" w:rsidR="00564169" w:rsidRDefault="00564169" w:rsidP="002B7CF3">
                            <w:pPr>
                              <w:pStyle w:val="Boxbullet"/>
                            </w:pPr>
                            <w:r>
                              <w:t xml:space="preserve">8% of participants with a disability </w:t>
                            </w:r>
                          </w:p>
                          <w:p w14:paraId="1B1BCE71" w14:textId="18EABD42" w:rsidR="00564169" w:rsidRDefault="00564169" w:rsidP="002B7CF3">
                            <w:pPr>
                              <w:pStyle w:val="Boxbullet"/>
                            </w:pPr>
                            <w:r>
                              <w:t xml:space="preserve">21% of participants were youth </w:t>
                            </w:r>
                          </w:p>
                          <w:p w14:paraId="1526C2FA" w14:textId="77777777" w:rsidR="00564169" w:rsidRDefault="00564169" w:rsidP="002B7CF3">
                            <w:pPr>
                              <w:pStyle w:val="Boxbullet"/>
                            </w:pPr>
                            <w:r>
                              <w:t xml:space="preserve">28 providers including </w:t>
                            </w:r>
                          </w:p>
                          <w:p w14:paraId="4FB0F8D7" w14:textId="77777777" w:rsidR="00564169" w:rsidRDefault="00564169" w:rsidP="0019245A">
                            <w:pPr>
                              <w:pStyle w:val="Boxbullet"/>
                              <w:numPr>
                                <w:ilvl w:val="1"/>
                                <w:numId w:val="7"/>
                              </w:numPr>
                            </w:pPr>
                            <w:r>
                              <w:t xml:space="preserve">6 registered training providers </w:t>
                            </w:r>
                          </w:p>
                          <w:p w14:paraId="5C012E8B" w14:textId="53473CD3" w:rsidR="00564169" w:rsidRDefault="00564169" w:rsidP="0019245A">
                            <w:pPr>
                              <w:pStyle w:val="Boxbullet"/>
                              <w:numPr>
                                <w:ilvl w:val="1"/>
                                <w:numId w:val="7"/>
                              </w:numPr>
                            </w:pPr>
                            <w:r>
                              <w:t xml:space="preserve">15 individual industry experts </w:t>
                            </w:r>
                          </w:p>
                          <w:p w14:paraId="46891879" w14:textId="0DAE9A6F" w:rsidR="00564169" w:rsidRDefault="00564169" w:rsidP="0019245A">
                            <w:pPr>
                              <w:pStyle w:val="Boxbullet"/>
                              <w:numPr>
                                <w:ilvl w:val="1"/>
                                <w:numId w:val="7"/>
                              </w:numPr>
                            </w:pPr>
                            <w:r>
                              <w:t xml:space="preserve">4 government departments </w:t>
                            </w:r>
                          </w:p>
                          <w:p w14:paraId="147CAABC" w14:textId="40D0318E" w:rsidR="00564169" w:rsidRDefault="00564169" w:rsidP="0019245A">
                            <w:pPr>
                              <w:pStyle w:val="Boxbullet"/>
                              <w:numPr>
                                <w:ilvl w:val="1"/>
                                <w:numId w:val="7"/>
                              </w:numPr>
                            </w:pPr>
                            <w:r>
                              <w:t xml:space="preserve">staff of two TVET Centres and one private company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45pt;margin-top:27pt;width:315pt;height:3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nOGSQCAABCBAAADgAAAGRycy9lMm9Eb2MueG1srFPbjtMwEH1H4h8sv9MkpVRL1HS1dLUIablI&#10;u3yA6ziNheMxY7dJ+XrGdlsKvCFeLM/YPnPmnPHqdhoMOyj0GmzDq1nJmbISWm13Df/6/PDqhjMf&#10;hG2FAasaflSe365fvliNrlZz6MG0ChmBWF+PruF9CK4uCi97NQg/A6csHXaAgwgU4q5oUYyEPphi&#10;XpbLYgRsHYJU3lP2Ph/ydcLvOiXD567zKjDTcOIW0opp3ca1WK9EvUPhei1PNMQ/sBiEtlT0AnUv&#10;gmB71H9BDVoieOjCTMJQQNdpqVIP1E1V/tHNUy+cSr2QON5dZPL/D1Z+OnxBptuGzyvOrBjIo2c1&#10;BfYOJlYtoz6j8zVde3J0MUyUJ59Tr949gvzmmYVNL+xO3SHC2CvREr8qviyunmYcH0G240doqY7Y&#10;B0hAU4dDFI/kYIROPh0v3kQukpKLsizflHQk6ez1zc2S3E81RH1+7tCH9woGFjcNRzI/wYvDow+R&#10;jqjPV2I1D0a3D9qYFMSBUxuD7CBoVISUyoZlem72A/HN+SWxOA0NpWm0cjqSO7NJoxuRUsHfihgb&#10;S1mIRTOfnKEeTwyjYFGjrFaYtlPyZnH2YQvtkRREyINMH482PeAPzkYa4ob773uBijPzwZILb6vF&#10;Ik79dYDXwfY6EFYSVMMDZ3m7Cfmn7B3qXU+Vsu8W7si5TidNI+PM6uQ3DWrq/PSp4k+4jtOtX19/&#10;/RMAAP//AwBQSwMEFAAGAAgAAAAhALGDoPbdAAAACQEAAA8AAABkcnMvZG93bnJldi54bWxMj81O&#10;wzAQhO9IvIO1SNyozU8DhGwqVKkcuFSkXLg58RJHxHZkO214e5YTnFarGc18U20WN4ojxTQEj3C9&#10;UiDId8EMvkd4P+yuHkCkrL3RY/CE8E0JNvX5WaVLE07+jY5N7gWH+FRqBJvzVEqZOktOp1WYyLP2&#10;GaLTmd/YSxP1icPdKG+UKqTTg+cGqyfaWuq+mtkh7C2F1/2H2zZG3s5xl91h3b4gXl4sz08gMi35&#10;zwy/+IwONTO1YfYmiRHhUfGUjLC+48v6PdeBaBGKolAg60r+X1D/AAAA//8DAFBLAQItABQABgAI&#10;AAAAIQDkmcPA+wAAAOEBAAATAAAAAAAAAAAAAAAAAAAAAABbQ29udGVudF9UeXBlc10ueG1sUEsB&#10;Ai0AFAAGAAgAAAAhACOyauHXAAAAlAEAAAsAAAAAAAAAAAAAAAAALAEAAF9yZWxzLy5yZWxzUEsB&#10;Ai0AFAAGAAgAAAAhABGJzhkkAgAAQgQAAA4AAAAAAAAAAAAAAAAALAIAAGRycy9lMm9Eb2MueG1s&#10;UEsBAi0AFAAGAAgAAAAhALGDoPbdAAAACQEAAA8AAAAAAAAAAAAAAAAAfAQAAGRycy9kb3ducmV2&#10;LnhtbFBLBQYAAAAABAAEAPMAAACGBQAAAAA=&#10;" fillcolor="#fabf8f [1945]" stroked="f">
                <v:textbox inset=",7.2pt,,7.2pt">
                  <w:txbxContent>
                    <w:p w14:paraId="29E177A8" w14:textId="4BADF3BF" w:rsidR="00564169" w:rsidRDefault="00564169" w:rsidP="002B7CF3">
                      <w:pPr>
                        <w:pStyle w:val="TextBoxHeading"/>
                      </w:pPr>
                      <w:r>
                        <w:t>Skills Development Activities – Snapshot of 2014</w:t>
                      </w:r>
                    </w:p>
                    <w:p w14:paraId="52981E20" w14:textId="5F000C98" w:rsidR="00564169" w:rsidRDefault="00564169" w:rsidP="002B7CF3">
                      <w:pPr>
                        <w:pStyle w:val="Boxbullet"/>
                      </w:pPr>
                      <w:r>
                        <w:t xml:space="preserve">77 skills development activities including </w:t>
                      </w:r>
                    </w:p>
                    <w:p w14:paraId="49B82AA4" w14:textId="19528AF6" w:rsidR="00564169" w:rsidRDefault="00564169" w:rsidP="0019245A">
                      <w:pPr>
                        <w:pStyle w:val="Boxbullet"/>
                        <w:numPr>
                          <w:ilvl w:val="1"/>
                          <w:numId w:val="7"/>
                        </w:numPr>
                      </w:pPr>
                      <w:r>
                        <w:t xml:space="preserve">14 accredited </w:t>
                      </w:r>
                      <w:r w:rsidRPr="00F448F8">
                        <w:t>training</w:t>
                      </w:r>
                      <w:r>
                        <w:t xml:space="preserve"> courses providing 18 units of competency</w:t>
                      </w:r>
                    </w:p>
                    <w:p w14:paraId="3948C1C6" w14:textId="1FFF717A" w:rsidR="00564169" w:rsidRDefault="00564169" w:rsidP="0019245A">
                      <w:pPr>
                        <w:pStyle w:val="Boxbullet"/>
                        <w:numPr>
                          <w:ilvl w:val="1"/>
                          <w:numId w:val="7"/>
                        </w:numPr>
                      </w:pPr>
                      <w:r>
                        <w:t>63 BDS workshops and coaching/mentoring activities</w:t>
                      </w:r>
                    </w:p>
                    <w:p w14:paraId="373EADDC" w14:textId="028BD4DD" w:rsidR="00564169" w:rsidRDefault="00564169" w:rsidP="002B7CF3">
                      <w:pPr>
                        <w:pStyle w:val="Boxbullet"/>
                      </w:pPr>
                      <w:r>
                        <w:t xml:space="preserve">1062 participants </w:t>
                      </w:r>
                    </w:p>
                    <w:p w14:paraId="7AA09E18" w14:textId="316FB101" w:rsidR="00564169" w:rsidRDefault="00564169" w:rsidP="002B7CF3">
                      <w:pPr>
                        <w:pStyle w:val="Boxbullet"/>
                      </w:pPr>
                      <w:r>
                        <w:t>48% women</w:t>
                      </w:r>
                    </w:p>
                    <w:p w14:paraId="260DAF89" w14:textId="490F99BE" w:rsidR="00564169" w:rsidRDefault="00564169" w:rsidP="002B7CF3">
                      <w:pPr>
                        <w:pStyle w:val="Boxbullet"/>
                      </w:pPr>
                      <w:r>
                        <w:t>58% rural participants; 33% from remote areas</w:t>
                      </w:r>
                    </w:p>
                    <w:p w14:paraId="7613D715" w14:textId="2FAE7246" w:rsidR="00564169" w:rsidRDefault="00564169" w:rsidP="002B7CF3">
                      <w:pPr>
                        <w:pStyle w:val="Boxbullet"/>
                      </w:pPr>
                      <w:r>
                        <w:t>Average age of participants: 36 years old</w:t>
                      </w:r>
                    </w:p>
                    <w:p w14:paraId="722F494C" w14:textId="6E4E3800" w:rsidR="00564169" w:rsidRDefault="00564169" w:rsidP="002B7CF3">
                      <w:pPr>
                        <w:pStyle w:val="Boxbullet"/>
                      </w:pPr>
                      <w:r>
                        <w:t xml:space="preserve">8% of participants with a disability </w:t>
                      </w:r>
                    </w:p>
                    <w:p w14:paraId="1B1BCE71" w14:textId="18EABD42" w:rsidR="00564169" w:rsidRDefault="00564169" w:rsidP="002B7CF3">
                      <w:pPr>
                        <w:pStyle w:val="Boxbullet"/>
                      </w:pPr>
                      <w:r>
                        <w:t xml:space="preserve">21% of participants were youth </w:t>
                      </w:r>
                    </w:p>
                    <w:p w14:paraId="1526C2FA" w14:textId="77777777" w:rsidR="00564169" w:rsidRDefault="00564169" w:rsidP="002B7CF3">
                      <w:pPr>
                        <w:pStyle w:val="Boxbullet"/>
                      </w:pPr>
                      <w:r>
                        <w:t xml:space="preserve">28 providers including </w:t>
                      </w:r>
                    </w:p>
                    <w:p w14:paraId="4FB0F8D7" w14:textId="77777777" w:rsidR="00564169" w:rsidRDefault="00564169" w:rsidP="0019245A">
                      <w:pPr>
                        <w:pStyle w:val="Boxbullet"/>
                        <w:numPr>
                          <w:ilvl w:val="1"/>
                          <w:numId w:val="7"/>
                        </w:numPr>
                      </w:pPr>
                      <w:r>
                        <w:t xml:space="preserve">6 registered training providers </w:t>
                      </w:r>
                    </w:p>
                    <w:p w14:paraId="5C012E8B" w14:textId="53473CD3" w:rsidR="00564169" w:rsidRDefault="00564169" w:rsidP="0019245A">
                      <w:pPr>
                        <w:pStyle w:val="Boxbullet"/>
                        <w:numPr>
                          <w:ilvl w:val="1"/>
                          <w:numId w:val="7"/>
                        </w:numPr>
                      </w:pPr>
                      <w:r>
                        <w:t xml:space="preserve">15 individual industry experts </w:t>
                      </w:r>
                    </w:p>
                    <w:p w14:paraId="46891879" w14:textId="0DAE9A6F" w:rsidR="00564169" w:rsidRDefault="00564169" w:rsidP="0019245A">
                      <w:pPr>
                        <w:pStyle w:val="Boxbullet"/>
                        <w:numPr>
                          <w:ilvl w:val="1"/>
                          <w:numId w:val="7"/>
                        </w:numPr>
                      </w:pPr>
                      <w:r>
                        <w:t xml:space="preserve">4 government departments </w:t>
                      </w:r>
                    </w:p>
                    <w:p w14:paraId="147CAABC" w14:textId="40D0318E" w:rsidR="00564169" w:rsidRDefault="00564169" w:rsidP="0019245A">
                      <w:pPr>
                        <w:pStyle w:val="Boxbullet"/>
                        <w:numPr>
                          <w:ilvl w:val="1"/>
                          <w:numId w:val="7"/>
                        </w:numPr>
                      </w:pPr>
                      <w:proofErr w:type="gramStart"/>
                      <w:r>
                        <w:t>staff</w:t>
                      </w:r>
                      <w:proofErr w:type="gramEnd"/>
                      <w:r>
                        <w:t xml:space="preserve"> of two TVET Centres and one private company </w:t>
                      </w:r>
                    </w:p>
                  </w:txbxContent>
                </v:textbox>
                <w10:wrap type="topAndBottom"/>
              </v:shape>
            </w:pict>
          </mc:Fallback>
        </mc:AlternateContent>
      </w:r>
      <w:r w:rsidR="00727792">
        <w:t>KRA3: Training, Business Development, and Employment</w:t>
      </w:r>
      <w:bookmarkEnd w:id="10"/>
      <w:r w:rsidR="00727792">
        <w:t xml:space="preserve"> </w:t>
      </w:r>
    </w:p>
    <w:p w14:paraId="274FFA4C" w14:textId="6C66BA7A" w:rsidR="00611053" w:rsidRDefault="00611053" w:rsidP="00FF4106"/>
    <w:p w14:paraId="78BC9E73" w14:textId="51287915" w:rsidR="00B40310" w:rsidRDefault="0067056D" w:rsidP="00B40310">
      <w:pPr>
        <w:pStyle w:val="Heading3"/>
      </w:pPr>
      <w:r>
        <w:rPr>
          <w:noProof/>
          <w:lang w:val="en-US"/>
        </w:rPr>
        <w:t>Skills Development Activities</w:t>
      </w:r>
    </w:p>
    <w:p w14:paraId="10687C0E" w14:textId="18B9F512" w:rsidR="0067056D" w:rsidRDefault="001F7A03" w:rsidP="00FF4106">
      <w:r>
        <w:rPr>
          <w:noProof/>
          <w:lang w:val="en-GB" w:eastAsia="en-GB"/>
        </w:rPr>
        <mc:AlternateContent>
          <mc:Choice Requires="wps">
            <w:drawing>
              <wp:anchor distT="0" distB="0" distL="114300" distR="114300" simplePos="0" relativeHeight="251682304" behindDoc="0" locked="0" layoutInCell="1" allowOverlap="1" wp14:anchorId="12B30B9F" wp14:editId="2CD1401B">
                <wp:simplePos x="0" y="0"/>
                <wp:positionH relativeFrom="column">
                  <wp:posOffset>3886200</wp:posOffset>
                </wp:positionH>
                <wp:positionV relativeFrom="paragraph">
                  <wp:posOffset>76835</wp:posOffset>
                </wp:positionV>
                <wp:extent cx="1714500" cy="1828800"/>
                <wp:effectExtent l="0" t="0" r="12700" b="0"/>
                <wp:wrapThrough wrapText="bothSides">
                  <wp:wrapPolygon edited="0">
                    <wp:start x="0" y="0"/>
                    <wp:lineTo x="0" y="21300"/>
                    <wp:lineTo x="21440" y="21300"/>
                    <wp:lineTo x="21440" y="0"/>
                    <wp:lineTo x="0" y="0"/>
                  </wp:wrapPolygon>
                </wp:wrapThrough>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28800"/>
                        </a:xfrm>
                        <a:prstGeom prst="rect">
                          <a:avLst/>
                        </a:prstGeom>
                        <a:solidFill>
                          <a:srgbClr val="D7E4BD"/>
                        </a:solidFill>
                        <a:ln>
                          <a:noFill/>
                        </a:ln>
                        <a:extLst/>
                      </wps:spPr>
                      <wps:txbx>
                        <w:txbxContent>
                          <w:p w14:paraId="774A3EDC" w14:textId="77777777" w:rsidR="00564169" w:rsidRPr="00B17BB1" w:rsidRDefault="00564169" w:rsidP="00ED541E">
                            <w:pPr>
                              <w:pStyle w:val="TextBoxHeading"/>
                            </w:pPr>
                            <w:r w:rsidRPr="00B17BB1">
                              <w:t>Relevant MEF Indicators</w:t>
                            </w:r>
                          </w:p>
                          <w:p w14:paraId="765A6459" w14:textId="77777777" w:rsidR="00564169" w:rsidRDefault="00564169" w:rsidP="00ED541E">
                            <w:pPr>
                              <w:pStyle w:val="TableText"/>
                            </w:pPr>
                            <w:r>
                              <w:t># AT units delivered (3.1)</w:t>
                            </w:r>
                          </w:p>
                          <w:p w14:paraId="04C88FDD" w14:textId="77777777" w:rsidR="00564169" w:rsidRDefault="00564169" w:rsidP="00ED541E">
                            <w:pPr>
                              <w:pStyle w:val="TableText"/>
                            </w:pPr>
                            <w:r>
                              <w:t># BDS services delivered (3.6)</w:t>
                            </w:r>
                          </w:p>
                          <w:p w14:paraId="1D43C98F" w14:textId="77777777" w:rsidR="00564169" w:rsidRDefault="00564169" w:rsidP="00ED541E">
                            <w:pPr>
                              <w:pStyle w:val="TextBoxHeading"/>
                            </w:pPr>
                            <w:r>
                              <w:t>Program Logic Reference</w:t>
                            </w:r>
                          </w:p>
                          <w:p w14:paraId="4C98363C" w14:textId="77777777" w:rsidR="00564169" w:rsidRDefault="00564169" w:rsidP="00ED541E">
                            <w:pPr>
                              <w:pStyle w:val="TableText"/>
                            </w:pPr>
                            <w:r>
                              <w:t>“Accredited training”</w:t>
                            </w:r>
                          </w:p>
                          <w:p w14:paraId="066579FC" w14:textId="77777777" w:rsidR="00564169" w:rsidRDefault="00564169" w:rsidP="00ED541E">
                            <w:pPr>
                              <w:pStyle w:val="TableText"/>
                            </w:pPr>
                            <w:r>
                              <w:t>“Business Development Services”</w:t>
                            </w:r>
                          </w:p>
                          <w:p w14:paraId="7E057862" w14:textId="77777777" w:rsidR="00564169" w:rsidRDefault="00564169" w:rsidP="00ED541E">
                            <w:pPr>
                              <w:pStyle w:val="TableTex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306pt;margin-top:6.05pt;width:135pt;height:2in;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GwxwkCAAADBAAADgAAAGRycy9lMm9Eb2MueG1srFNRj9MwDH5H4j9EeWddpx0b1brT3cYhpONA&#10;uuMHpGnaRrRxcLK149fjpN0Y8IZ4ieL482f7s7O5HbqWHRU6DSbn6WzOmTISSm3qnH99eXiz5sx5&#10;YUrRglE5PynHb7evX216m6kFNNCWChmRGJf1NueN9zZLEicb1Qk3A6sMOSvATngysU5KFD2xd22y&#10;mM/fJj1gaRGkco5e96OTbyN/VSnpP1eVU561OafafDwxnkU4k+1GZDUK22g5lSH+oYpOaENJL1R7&#10;4QU7oP6LqtMSwUHlZxK6BKpKSxV7oG7S+R/dPDfCqtgLiePsRSb3/2jl0/ELMl3S7FacGdHRjF7U&#10;4Nk9DGwV5Omtywj1bAnnB3omaGzV2UeQ3xwzsGuEqdUdIvSNEiWVl4bI5Cp05HGBpOg/QUlpxMFD&#10;JBoq7IJ2pAYjdhrT6TKaUIoMKVfp8mZOLkm+dL1Yr8kIOUR2Drfo/AcFHQuXnCPNPtKL46PzI/QM&#10;CdkctLp80G0bDayLXYvsKGhP9qv3y/v9xP4brDUBbCCEjYzjC1U55Qgthy7Hfv1QDFHcm7OSBZQn&#10;0gBh3ET6OXRpAH9w1tMW5tx9PwhUnLUfDen4Ll0uw9peG3htFNeGMJKocu45G687P676waKuG8o0&#10;Ts7AHWlf6ahKqHisapoYbVrUdfoVYZWv7Yj69Xe3PwEAAP//AwBQSwMEFAAGAAgAAAAhAMOaKuvf&#10;AAAACgEAAA8AAABkcnMvZG93bnJldi54bWxMj8FOwzAQRO9I/IO1SNyonRRVUYhTIRCih4JKqcR1&#10;Ey9JILaj2GnD37M9wXFnRm9nivVse3GkMXTeaUgWCgS52pvONRoO7083GYgQ0RnsvSMNPxRgXV5e&#10;FJgbf3JvdNzHRjDEhRw1tDEOuZShbsliWPiBHHuffrQY+RwbaUY8Mdz2MlVqJS12jj+0ONBDS/X3&#10;frIaVvZrix+b1+dqeUi3L9PuNnmsN1pfX833dyAizfEvDOf6XB1K7lT5yZkgemYkKW+JbKQJCA5k&#10;2VmoNCyVSkCWhfw/ofwFAAD//wMAUEsBAi0AFAAGAAgAAAAhAOSZw8D7AAAA4QEAABMAAAAAAAAA&#10;AAAAAAAAAAAAAFtDb250ZW50X1R5cGVzXS54bWxQSwECLQAUAAYACAAAACEAI7Jq4dcAAACUAQAA&#10;CwAAAAAAAAAAAAAAAAAsAQAAX3JlbHMvLnJlbHNQSwECLQAUAAYACAAAACEAWIGwxwkCAAADBAAA&#10;DgAAAAAAAAAAAAAAAAAsAgAAZHJzL2Uyb0RvYy54bWxQSwECLQAUAAYACAAAACEAw5oq698AAAAK&#10;AQAADwAAAAAAAAAAAAAAAABhBAAAZHJzL2Rvd25yZXYueG1sUEsFBgAAAAAEAAQA8wAAAG0FAAAA&#10;AA==&#10;" fillcolor="#d7e4bd" stroked="f">
                <v:textbox inset=",7.2pt,,7.2pt">
                  <w:txbxContent>
                    <w:p w14:paraId="774A3EDC" w14:textId="77777777" w:rsidR="00564169" w:rsidRPr="00B17BB1" w:rsidRDefault="00564169" w:rsidP="00ED541E">
                      <w:pPr>
                        <w:pStyle w:val="TextBoxHeading"/>
                      </w:pPr>
                      <w:r w:rsidRPr="00B17BB1">
                        <w:t>Relevant MEF Indicators</w:t>
                      </w:r>
                    </w:p>
                    <w:p w14:paraId="765A6459" w14:textId="77777777" w:rsidR="00564169" w:rsidRDefault="00564169" w:rsidP="00ED541E">
                      <w:pPr>
                        <w:pStyle w:val="TableText"/>
                      </w:pPr>
                      <w:r>
                        <w:t># AT units delivered (3.1)</w:t>
                      </w:r>
                    </w:p>
                    <w:p w14:paraId="04C88FDD" w14:textId="77777777" w:rsidR="00564169" w:rsidRDefault="00564169" w:rsidP="00ED541E">
                      <w:pPr>
                        <w:pStyle w:val="TableText"/>
                      </w:pPr>
                      <w:r>
                        <w:t># BDS services delivered (3.6)</w:t>
                      </w:r>
                    </w:p>
                    <w:p w14:paraId="1D43C98F" w14:textId="77777777" w:rsidR="00564169" w:rsidRDefault="00564169" w:rsidP="00ED541E">
                      <w:pPr>
                        <w:pStyle w:val="TextBoxHeading"/>
                      </w:pPr>
                      <w:r>
                        <w:t>Program Logic Reference</w:t>
                      </w:r>
                    </w:p>
                    <w:p w14:paraId="4C98363C" w14:textId="77777777" w:rsidR="00564169" w:rsidRDefault="00564169" w:rsidP="00ED541E">
                      <w:pPr>
                        <w:pStyle w:val="TableText"/>
                      </w:pPr>
                      <w:r>
                        <w:t>“Accredited training”</w:t>
                      </w:r>
                    </w:p>
                    <w:p w14:paraId="066579FC" w14:textId="77777777" w:rsidR="00564169" w:rsidRDefault="00564169" w:rsidP="00ED541E">
                      <w:pPr>
                        <w:pStyle w:val="TableText"/>
                      </w:pPr>
                      <w:r>
                        <w:t>“Business Development Services”</w:t>
                      </w:r>
                    </w:p>
                    <w:p w14:paraId="7E057862" w14:textId="77777777" w:rsidR="00564169" w:rsidRDefault="00564169" w:rsidP="00ED541E">
                      <w:pPr>
                        <w:pStyle w:val="TableText"/>
                      </w:pPr>
                    </w:p>
                  </w:txbxContent>
                </v:textbox>
                <w10:wrap type="through"/>
              </v:shape>
            </w:pict>
          </mc:Fallback>
        </mc:AlternateContent>
      </w:r>
      <w:r w:rsidR="00DF672A">
        <w:t>Over the course of 2014</w:t>
      </w:r>
      <w:r w:rsidR="002218E6">
        <w:t xml:space="preserve"> the </w:t>
      </w:r>
      <w:r w:rsidR="00DF672A">
        <w:t>TVET Centres have supported the delivery of</w:t>
      </w:r>
      <w:r w:rsidR="002218E6">
        <w:t xml:space="preserve"> </w:t>
      </w:r>
      <w:r w:rsidR="009D0935">
        <w:t>seventy-seven</w:t>
      </w:r>
      <w:r w:rsidR="00DF672A">
        <w:t xml:space="preserve"> </w:t>
      </w:r>
      <w:r w:rsidR="0067056D">
        <w:t xml:space="preserve">skills development activities, including </w:t>
      </w:r>
      <w:r w:rsidR="009D0935">
        <w:t>14</w:t>
      </w:r>
      <w:r w:rsidR="0067056D">
        <w:t xml:space="preserve"> </w:t>
      </w:r>
      <w:r w:rsidR="006640C4">
        <w:t xml:space="preserve">accredited training courses, made up of </w:t>
      </w:r>
      <w:r w:rsidR="009D0935">
        <w:t>18</w:t>
      </w:r>
      <w:r w:rsidR="0067056D">
        <w:t xml:space="preserve"> units of competency, as well as </w:t>
      </w:r>
      <w:r w:rsidR="009D0935">
        <w:t>63</w:t>
      </w:r>
      <w:r w:rsidR="0067056D">
        <w:t xml:space="preserve"> coaching/mentoring and BDS training workshops. </w:t>
      </w:r>
    </w:p>
    <w:p w14:paraId="52C80C12" w14:textId="5BA4F0A8" w:rsidR="00ED541E" w:rsidRDefault="00DA562C" w:rsidP="00FF4106">
      <w:pPr>
        <w:rPr>
          <w:noProof/>
          <w:lang w:val="en-US"/>
        </w:rPr>
      </w:pPr>
      <w:r>
        <w:rPr>
          <w:noProof/>
          <w:lang w:val="en-US"/>
        </w:rPr>
        <w:t xml:space="preserve">Comparing skills development delivery in 2014 to the history of activity since the Program began in 2009 shows, at a glance, the development of </w:t>
      </w:r>
      <w:r w:rsidR="001F7A03">
        <w:rPr>
          <w:noProof/>
          <w:lang w:val="en-US"/>
        </w:rPr>
        <w:t xml:space="preserve">the program. </w:t>
      </w:r>
      <w:r w:rsidR="00CB348F">
        <w:rPr>
          <w:noProof/>
          <w:lang w:val="en-US"/>
        </w:rPr>
        <w:t>The</w:t>
      </w:r>
      <w:r w:rsidR="001F7A03">
        <w:rPr>
          <w:noProof/>
          <w:lang w:val="en-US"/>
        </w:rPr>
        <w:t xml:space="preserve"> graphical illustration </w:t>
      </w:r>
      <w:r w:rsidR="00CB348F">
        <w:rPr>
          <w:noProof/>
          <w:lang w:val="en-US"/>
        </w:rPr>
        <w:t xml:space="preserve">below </w:t>
      </w:r>
      <w:r w:rsidR="001F7A03">
        <w:rPr>
          <w:noProof/>
          <w:lang w:val="en-US"/>
        </w:rPr>
        <w:t xml:space="preserve">shows the transition from the early establishment phase, when systems and processes were being developed; to the period of high volume service delivery, when the focus was on refining methods and demonstrating the value of the TVET Centre model; and thence to the quality-focussed and demand-driven approach that characterises Phase 3 implementation. </w:t>
      </w:r>
    </w:p>
    <w:p w14:paraId="1E1FEE4D" w14:textId="53CA932C" w:rsidR="00CB348F" w:rsidRPr="00821B22" w:rsidRDefault="00CB348F" w:rsidP="00CB348F">
      <w:pPr>
        <w:pStyle w:val="Caption"/>
        <w:rPr>
          <w:noProof/>
          <w:lang w:val="en-US"/>
        </w:rPr>
      </w:pPr>
      <w:r>
        <w:rPr>
          <w:noProof/>
          <w:lang w:val="en-US"/>
        </w:rPr>
        <w:lastRenderedPageBreak/>
        <w:t>TVET Centre Activities by Province and Year</w:t>
      </w:r>
    </w:p>
    <w:p w14:paraId="5F83F710" w14:textId="0506D612" w:rsidR="00ED541E" w:rsidRDefault="00ED541E" w:rsidP="00ED541E">
      <w:pPr>
        <w:jc w:val="center"/>
      </w:pPr>
      <w:r w:rsidRPr="00441A7E">
        <w:rPr>
          <w:noProof/>
          <w:lang w:val="en-GB" w:eastAsia="en-GB"/>
        </w:rPr>
        <w:drawing>
          <wp:inline distT="0" distB="0" distL="0" distR="0" wp14:anchorId="3FD1E3E9" wp14:editId="0472C685">
            <wp:extent cx="5353050" cy="2642318"/>
            <wp:effectExtent l="0" t="0" r="635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7529"/>
                    <a:stretch/>
                  </pic:blipFill>
                  <pic:spPr bwMode="auto">
                    <a:xfrm>
                      <a:off x="0" y="0"/>
                      <a:ext cx="5355821" cy="2643686"/>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0C65E2D" w14:textId="2B635BEC" w:rsidR="003C4ED3" w:rsidRDefault="009F4C63" w:rsidP="003C4ED3">
      <w:pPr>
        <w:pStyle w:val="Heading3"/>
      </w:pPr>
      <w:r>
        <w:t xml:space="preserve"> </w:t>
      </w:r>
    </w:p>
    <w:p w14:paraId="71F3EA8B" w14:textId="45F57A80" w:rsidR="003810F6" w:rsidRDefault="00665F30" w:rsidP="00FF4106">
      <w:r>
        <w:t xml:space="preserve">The tourism sector continued to dominate </w:t>
      </w:r>
      <w:r w:rsidR="00DA562C">
        <w:t xml:space="preserve">activity in 2014 </w:t>
      </w:r>
      <w:r>
        <w:t xml:space="preserve">under the auspices of the ongoing TVET for Tourism program (see </w:t>
      </w:r>
      <w:r w:rsidR="00A10F88">
        <w:t>page 18</w:t>
      </w:r>
      <w:r>
        <w:t>)</w:t>
      </w:r>
      <w:r w:rsidR="003C4ED3">
        <w:t>,</w:t>
      </w:r>
      <w:r>
        <w:t xml:space="preserve"> which expanded to Torba Province in 2014. </w:t>
      </w:r>
      <w:r w:rsidR="00024C12">
        <w:t>Almost half of all activities were in Tourism (49%), with the next most common sector being Manufacturing (13%), which included a number of activities supporting handicrafts development (see text box</w:t>
      </w:r>
      <w:r w:rsidR="00FE764F">
        <w:t xml:space="preserve"> below</w:t>
      </w:r>
      <w:r w:rsidR="00024C12">
        <w:t>).</w:t>
      </w:r>
      <w:r w:rsidR="00ED541E" w:rsidRPr="00ED541E">
        <w:rPr>
          <w:noProof/>
          <w:lang w:val="en-US"/>
        </w:rPr>
        <w:t xml:space="preserve"> </w:t>
      </w:r>
    </w:p>
    <w:p w14:paraId="0EC46FBE" w14:textId="2175E865" w:rsidR="00BC3A13" w:rsidRDefault="003C4ED3" w:rsidP="002218E6">
      <w:r>
        <w:rPr>
          <w:noProof/>
          <w:lang w:val="en-GB" w:eastAsia="en-GB"/>
        </w:rPr>
        <w:drawing>
          <wp:anchor distT="0" distB="0" distL="114300" distR="114300" simplePos="0" relativeHeight="251690496" behindDoc="0" locked="0" layoutInCell="1" allowOverlap="1" wp14:anchorId="685E8932" wp14:editId="4361249C">
            <wp:simplePos x="0" y="0"/>
            <wp:positionH relativeFrom="margin">
              <wp:posOffset>0</wp:posOffset>
            </wp:positionH>
            <wp:positionV relativeFrom="margin">
              <wp:posOffset>3707130</wp:posOffset>
            </wp:positionV>
            <wp:extent cx="2514600" cy="2465070"/>
            <wp:effectExtent l="0" t="0" r="0" b="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23255" r="13053"/>
                    <a:stretch/>
                  </pic:blipFill>
                  <pic:spPr bwMode="auto">
                    <a:xfrm>
                      <a:off x="0" y="0"/>
                      <a:ext cx="2514600" cy="246507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64F">
        <w:rPr>
          <w:noProof/>
          <w:lang w:val="en-US"/>
        </w:rPr>
        <w:t xml:space="preserve">The data </w:t>
      </w:r>
      <w:r w:rsidR="00C22BCD">
        <w:rPr>
          <w:noProof/>
          <w:lang w:val="en-US"/>
        </w:rPr>
        <w:t>echoes the comments from stakeholders that there continue to be</w:t>
      </w:r>
      <w:r w:rsidR="00FE764F">
        <w:rPr>
          <w:noProof/>
          <w:lang w:val="en-US"/>
        </w:rPr>
        <w:t xml:space="preserve"> varying level of engagement with TVET Centres from productive sectors in the provinces, and nationally. The model being demonstrated by tourism, and the dramatic positive outcomes that are now becoming evident and well-reported, is acting as a catalyst for further engagement by other sectors. Several sectors (</w:t>
      </w:r>
      <w:r w:rsidR="00232AC5">
        <w:rPr>
          <w:noProof/>
          <w:lang w:val="en-US"/>
        </w:rPr>
        <w:t xml:space="preserve">through the Ministry of Agriculture, </w:t>
      </w:r>
      <w:r w:rsidR="00C22BCD">
        <w:rPr>
          <w:noProof/>
          <w:lang w:val="en-US"/>
        </w:rPr>
        <w:t>Livestock</w:t>
      </w:r>
      <w:r w:rsidR="00232AC5">
        <w:rPr>
          <w:noProof/>
          <w:lang w:val="en-US"/>
        </w:rPr>
        <w:t>, Forestry and Biosecurity</w:t>
      </w:r>
      <w:r w:rsidR="00FE764F">
        <w:rPr>
          <w:noProof/>
          <w:lang w:val="en-US"/>
        </w:rPr>
        <w:t xml:space="preserve">) have now signed </w:t>
      </w:r>
      <w:r w:rsidR="00FE764F">
        <w:t>Memoranda of Understanding with the TVET Program, although it is still too soon to see the effect of those agreements on skills development activity</w:t>
      </w:r>
      <w:r w:rsidR="00DA562C">
        <w:t xml:space="preserve"> in those sectors</w:t>
      </w:r>
      <w:r w:rsidR="00FE764F">
        <w:t xml:space="preserve">. </w:t>
      </w:r>
    </w:p>
    <w:p w14:paraId="7BAB8FDC" w14:textId="3A8FE7CA" w:rsidR="00133F03" w:rsidRDefault="00FE764F" w:rsidP="002218E6">
      <w:r>
        <w:t>The differences between provinces is also striking: Sanma province has activity in almost all sectors, while Malampa remains focused in fewer and in Torba fewer still. Economically Sanma is the most diverse, while Torba will always have a limited range of economic sectors</w:t>
      </w:r>
      <w:r w:rsidR="005C53DB">
        <w:t xml:space="preserve">, </w:t>
      </w:r>
      <w:r w:rsidR="00133F03">
        <w:t xml:space="preserve">so there will always be different levels of sectoral activity. </w:t>
      </w:r>
      <w:r w:rsidR="002B09EF">
        <w:t xml:space="preserve">But the continuing varying levels of engagement from provincial sector representatives, as already observed, is also likely to be having an effect on the level of activity in different sectors. </w:t>
      </w:r>
    </w:p>
    <w:p w14:paraId="5A36C100" w14:textId="77777777" w:rsidR="003C4ED3" w:rsidRDefault="003C4ED3" w:rsidP="002218E6"/>
    <w:p w14:paraId="0196F259" w14:textId="77777777" w:rsidR="003C4ED3" w:rsidRDefault="003C4ED3" w:rsidP="002218E6"/>
    <w:p w14:paraId="16DBEF8A" w14:textId="77777777" w:rsidR="003C4ED3" w:rsidRDefault="003C4ED3" w:rsidP="002218E6"/>
    <w:p w14:paraId="0E81453F" w14:textId="77777777" w:rsidR="003C4ED3" w:rsidRDefault="003C4ED3" w:rsidP="002218E6"/>
    <w:p w14:paraId="48BE9277" w14:textId="6878A4D3" w:rsidR="00B55763" w:rsidRDefault="00B55763" w:rsidP="00B55763">
      <w:pPr>
        <w:pStyle w:val="Caption"/>
      </w:pPr>
      <w:r>
        <w:lastRenderedPageBreak/>
        <w:t xml:space="preserve">Table </w:t>
      </w:r>
      <w:r w:rsidR="00CB348F">
        <w:t>1</w:t>
      </w:r>
      <w:r>
        <w:t xml:space="preserve">: All TVET Centre Skills Development Activities (2014) </w:t>
      </w:r>
    </w:p>
    <w:tbl>
      <w:tblPr>
        <w:tblW w:w="8440" w:type="dxa"/>
        <w:tblInd w:w="93" w:type="dxa"/>
        <w:tblLook w:val="04A0" w:firstRow="1" w:lastRow="0" w:firstColumn="1" w:lastColumn="0" w:noHBand="0" w:noVBand="1"/>
      </w:tblPr>
      <w:tblGrid>
        <w:gridCol w:w="2740"/>
        <w:gridCol w:w="1800"/>
        <w:gridCol w:w="1300"/>
        <w:gridCol w:w="1300"/>
        <w:gridCol w:w="1300"/>
      </w:tblGrid>
      <w:tr w:rsidR="00B55763" w:rsidRPr="00B55763" w14:paraId="2A3C5A52" w14:textId="77777777" w:rsidTr="00B55763">
        <w:trPr>
          <w:trHeight w:val="280"/>
        </w:trPr>
        <w:tc>
          <w:tcPr>
            <w:tcW w:w="2740" w:type="dxa"/>
            <w:tcBorders>
              <w:top w:val="nil"/>
              <w:left w:val="nil"/>
              <w:bottom w:val="nil"/>
              <w:right w:val="nil"/>
            </w:tcBorders>
            <w:shd w:val="clear" w:color="auto" w:fill="auto"/>
            <w:noWrap/>
            <w:vAlign w:val="bottom"/>
            <w:hideMark/>
          </w:tcPr>
          <w:p w14:paraId="64235762" w14:textId="77777777" w:rsidR="00B55763" w:rsidRPr="00B55763" w:rsidRDefault="00B55763" w:rsidP="00B55763">
            <w:pPr>
              <w:suppressAutoHyphens w:val="0"/>
              <w:spacing w:before="0" w:after="0"/>
              <w:rPr>
                <w:rFonts w:ascii="Calibri" w:eastAsia="Times New Roman" w:hAnsi="Calibri"/>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C38D2" w14:textId="77777777" w:rsidR="00B55763" w:rsidRPr="00B55763" w:rsidRDefault="00B55763" w:rsidP="00B55763">
            <w:pPr>
              <w:suppressAutoHyphens w:val="0"/>
              <w:spacing w:before="0" w:after="0"/>
              <w:jc w:val="center"/>
              <w:rPr>
                <w:rFonts w:ascii="Calibri" w:eastAsia="Times New Roman" w:hAnsi="Calibri"/>
                <w:b/>
                <w:color w:val="000000"/>
                <w:sz w:val="20"/>
                <w:szCs w:val="20"/>
              </w:rPr>
            </w:pPr>
            <w:r w:rsidRPr="00B55763">
              <w:rPr>
                <w:rFonts w:ascii="Calibri" w:eastAsia="Times New Roman" w:hAnsi="Calibri"/>
                <w:b/>
                <w:color w:val="000000"/>
                <w:sz w:val="20"/>
                <w:szCs w:val="20"/>
              </w:rPr>
              <w:t>Sanma</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D7CB18C" w14:textId="77777777" w:rsidR="00B55763" w:rsidRPr="00B55763" w:rsidRDefault="00B55763" w:rsidP="00B55763">
            <w:pPr>
              <w:suppressAutoHyphens w:val="0"/>
              <w:spacing w:before="0" w:after="0"/>
              <w:jc w:val="center"/>
              <w:rPr>
                <w:rFonts w:ascii="Calibri" w:eastAsia="Times New Roman" w:hAnsi="Calibri"/>
                <w:b/>
                <w:color w:val="000000"/>
                <w:sz w:val="20"/>
                <w:szCs w:val="20"/>
              </w:rPr>
            </w:pPr>
            <w:r w:rsidRPr="00B55763">
              <w:rPr>
                <w:rFonts w:ascii="Calibri" w:eastAsia="Times New Roman" w:hAnsi="Calibri"/>
                <w:b/>
                <w:color w:val="000000"/>
                <w:sz w:val="20"/>
                <w:szCs w:val="20"/>
              </w:rPr>
              <w:t xml:space="preserve">Malampa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3B418DC" w14:textId="77777777" w:rsidR="00B55763" w:rsidRPr="00B55763" w:rsidRDefault="00B55763" w:rsidP="00B55763">
            <w:pPr>
              <w:suppressAutoHyphens w:val="0"/>
              <w:spacing w:before="0" w:after="0"/>
              <w:jc w:val="center"/>
              <w:rPr>
                <w:rFonts w:ascii="Calibri" w:eastAsia="Times New Roman" w:hAnsi="Calibri"/>
                <w:b/>
                <w:color w:val="000000"/>
                <w:sz w:val="20"/>
                <w:szCs w:val="20"/>
              </w:rPr>
            </w:pPr>
            <w:r w:rsidRPr="00B55763">
              <w:rPr>
                <w:rFonts w:ascii="Calibri" w:eastAsia="Times New Roman" w:hAnsi="Calibri"/>
                <w:b/>
                <w:color w:val="000000"/>
                <w:sz w:val="20"/>
                <w:szCs w:val="20"/>
              </w:rPr>
              <w:t>Torba</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F2A70F6" w14:textId="77777777" w:rsidR="00B55763" w:rsidRPr="00B55763" w:rsidRDefault="00B55763" w:rsidP="00B55763">
            <w:pPr>
              <w:suppressAutoHyphens w:val="0"/>
              <w:spacing w:before="0" w:after="0"/>
              <w:jc w:val="center"/>
              <w:rPr>
                <w:rFonts w:ascii="Calibri" w:eastAsia="Times New Roman" w:hAnsi="Calibri"/>
                <w:b/>
                <w:color w:val="000000"/>
                <w:sz w:val="20"/>
                <w:szCs w:val="20"/>
              </w:rPr>
            </w:pPr>
            <w:r w:rsidRPr="00B55763">
              <w:rPr>
                <w:rFonts w:ascii="Calibri" w:eastAsia="Times New Roman" w:hAnsi="Calibri"/>
                <w:b/>
                <w:color w:val="000000"/>
                <w:sz w:val="20"/>
                <w:szCs w:val="20"/>
              </w:rPr>
              <w:t xml:space="preserve">Total </w:t>
            </w:r>
          </w:p>
        </w:tc>
      </w:tr>
      <w:tr w:rsidR="00B55763" w:rsidRPr="00B55763" w14:paraId="082C1202" w14:textId="77777777" w:rsidTr="00B55763">
        <w:trPr>
          <w:trHeight w:val="280"/>
        </w:trPr>
        <w:tc>
          <w:tcPr>
            <w:tcW w:w="2740" w:type="dxa"/>
            <w:tcBorders>
              <w:top w:val="single" w:sz="4" w:space="0" w:color="auto"/>
              <w:left w:val="single" w:sz="4" w:space="0" w:color="auto"/>
              <w:bottom w:val="single" w:sz="4" w:space="0" w:color="auto"/>
              <w:right w:val="nil"/>
            </w:tcBorders>
            <w:shd w:val="clear" w:color="auto" w:fill="auto"/>
            <w:noWrap/>
            <w:vAlign w:val="bottom"/>
            <w:hideMark/>
          </w:tcPr>
          <w:p w14:paraId="6861C42B" w14:textId="77777777" w:rsidR="00B55763" w:rsidRPr="00B55763" w:rsidRDefault="00B55763" w:rsidP="00B55763">
            <w:pPr>
              <w:suppressAutoHyphens w:val="0"/>
              <w:spacing w:before="0" w:after="0"/>
              <w:rPr>
                <w:rFonts w:ascii="Calibri" w:eastAsia="Times New Roman" w:hAnsi="Calibri"/>
                <w:color w:val="000000"/>
                <w:sz w:val="20"/>
                <w:szCs w:val="20"/>
              </w:rPr>
            </w:pPr>
            <w:r w:rsidRPr="00B55763">
              <w:rPr>
                <w:rFonts w:ascii="Calibri" w:eastAsia="Times New Roman" w:hAnsi="Calibri"/>
                <w:color w:val="000000"/>
                <w:sz w:val="20"/>
                <w:szCs w:val="20"/>
              </w:rPr>
              <w:t>Agriculture</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9AF914C"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2</w:t>
            </w:r>
          </w:p>
        </w:tc>
        <w:tc>
          <w:tcPr>
            <w:tcW w:w="1300" w:type="dxa"/>
            <w:tcBorders>
              <w:top w:val="nil"/>
              <w:left w:val="nil"/>
              <w:bottom w:val="single" w:sz="4" w:space="0" w:color="auto"/>
              <w:right w:val="single" w:sz="4" w:space="0" w:color="auto"/>
            </w:tcBorders>
            <w:shd w:val="clear" w:color="auto" w:fill="auto"/>
            <w:noWrap/>
            <w:vAlign w:val="bottom"/>
            <w:hideMark/>
          </w:tcPr>
          <w:p w14:paraId="2F65C4C3"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14:paraId="6E3A307F"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3</w:t>
            </w:r>
          </w:p>
        </w:tc>
        <w:tc>
          <w:tcPr>
            <w:tcW w:w="1300" w:type="dxa"/>
            <w:tcBorders>
              <w:top w:val="nil"/>
              <w:left w:val="nil"/>
              <w:bottom w:val="single" w:sz="4" w:space="0" w:color="auto"/>
              <w:right w:val="single" w:sz="4" w:space="0" w:color="auto"/>
            </w:tcBorders>
            <w:shd w:val="clear" w:color="auto" w:fill="auto"/>
            <w:noWrap/>
            <w:vAlign w:val="bottom"/>
            <w:hideMark/>
          </w:tcPr>
          <w:p w14:paraId="4963792A"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5</w:t>
            </w:r>
          </w:p>
        </w:tc>
      </w:tr>
      <w:tr w:rsidR="00B55763" w:rsidRPr="00B55763" w14:paraId="5B91D401" w14:textId="77777777" w:rsidTr="00B55763">
        <w:trPr>
          <w:trHeight w:val="280"/>
        </w:trPr>
        <w:tc>
          <w:tcPr>
            <w:tcW w:w="2740" w:type="dxa"/>
            <w:tcBorders>
              <w:top w:val="nil"/>
              <w:left w:val="single" w:sz="4" w:space="0" w:color="auto"/>
              <w:bottom w:val="single" w:sz="4" w:space="0" w:color="auto"/>
              <w:right w:val="nil"/>
            </w:tcBorders>
            <w:shd w:val="clear" w:color="auto" w:fill="auto"/>
            <w:noWrap/>
            <w:vAlign w:val="bottom"/>
            <w:hideMark/>
          </w:tcPr>
          <w:p w14:paraId="1DBB90B9" w14:textId="77777777" w:rsidR="00B55763" w:rsidRPr="00B55763" w:rsidRDefault="00B55763" w:rsidP="00B55763">
            <w:pPr>
              <w:suppressAutoHyphens w:val="0"/>
              <w:spacing w:before="0" w:after="0"/>
              <w:rPr>
                <w:rFonts w:ascii="Calibri" w:eastAsia="Times New Roman" w:hAnsi="Calibri"/>
                <w:color w:val="000000"/>
                <w:sz w:val="20"/>
                <w:szCs w:val="20"/>
              </w:rPr>
            </w:pPr>
            <w:r w:rsidRPr="00B55763">
              <w:rPr>
                <w:rFonts w:ascii="Calibri" w:eastAsia="Times New Roman" w:hAnsi="Calibri"/>
                <w:color w:val="000000"/>
                <w:sz w:val="20"/>
                <w:szCs w:val="20"/>
              </w:rPr>
              <w:t>Business</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FABD350"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4</w:t>
            </w:r>
          </w:p>
        </w:tc>
        <w:tc>
          <w:tcPr>
            <w:tcW w:w="1300" w:type="dxa"/>
            <w:tcBorders>
              <w:top w:val="nil"/>
              <w:left w:val="nil"/>
              <w:bottom w:val="single" w:sz="4" w:space="0" w:color="auto"/>
              <w:right w:val="single" w:sz="4" w:space="0" w:color="auto"/>
            </w:tcBorders>
            <w:shd w:val="clear" w:color="auto" w:fill="auto"/>
            <w:noWrap/>
            <w:vAlign w:val="bottom"/>
            <w:hideMark/>
          </w:tcPr>
          <w:p w14:paraId="3DD67031"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1</w:t>
            </w:r>
          </w:p>
        </w:tc>
        <w:tc>
          <w:tcPr>
            <w:tcW w:w="1300" w:type="dxa"/>
            <w:tcBorders>
              <w:top w:val="nil"/>
              <w:left w:val="nil"/>
              <w:bottom w:val="single" w:sz="4" w:space="0" w:color="auto"/>
              <w:right w:val="single" w:sz="4" w:space="0" w:color="auto"/>
            </w:tcBorders>
            <w:shd w:val="clear" w:color="auto" w:fill="auto"/>
            <w:noWrap/>
            <w:vAlign w:val="bottom"/>
            <w:hideMark/>
          </w:tcPr>
          <w:p w14:paraId="669AD041"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14:paraId="5C344041"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5</w:t>
            </w:r>
          </w:p>
        </w:tc>
      </w:tr>
      <w:tr w:rsidR="00B55763" w:rsidRPr="00B55763" w14:paraId="5DABAB56" w14:textId="77777777" w:rsidTr="00B55763">
        <w:trPr>
          <w:trHeight w:val="280"/>
        </w:trPr>
        <w:tc>
          <w:tcPr>
            <w:tcW w:w="2740" w:type="dxa"/>
            <w:tcBorders>
              <w:top w:val="nil"/>
              <w:left w:val="single" w:sz="4" w:space="0" w:color="auto"/>
              <w:bottom w:val="single" w:sz="4" w:space="0" w:color="auto"/>
              <w:right w:val="nil"/>
            </w:tcBorders>
            <w:shd w:val="clear" w:color="auto" w:fill="auto"/>
            <w:noWrap/>
            <w:vAlign w:val="bottom"/>
            <w:hideMark/>
          </w:tcPr>
          <w:p w14:paraId="047F14C4" w14:textId="77777777" w:rsidR="00B55763" w:rsidRPr="00B55763" w:rsidRDefault="00B55763" w:rsidP="00B55763">
            <w:pPr>
              <w:suppressAutoHyphens w:val="0"/>
              <w:spacing w:before="0" w:after="0"/>
              <w:rPr>
                <w:rFonts w:ascii="Calibri" w:eastAsia="Times New Roman" w:hAnsi="Calibri"/>
                <w:color w:val="000000"/>
                <w:sz w:val="20"/>
                <w:szCs w:val="20"/>
              </w:rPr>
            </w:pPr>
            <w:r w:rsidRPr="00B55763">
              <w:rPr>
                <w:rFonts w:ascii="Calibri" w:eastAsia="Times New Roman" w:hAnsi="Calibri"/>
                <w:color w:val="000000"/>
                <w:sz w:val="20"/>
                <w:szCs w:val="20"/>
              </w:rPr>
              <w:t>Fisheries</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A4C53FC"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4</w:t>
            </w:r>
          </w:p>
        </w:tc>
        <w:tc>
          <w:tcPr>
            <w:tcW w:w="1300" w:type="dxa"/>
            <w:tcBorders>
              <w:top w:val="nil"/>
              <w:left w:val="nil"/>
              <w:bottom w:val="single" w:sz="4" w:space="0" w:color="auto"/>
              <w:right w:val="single" w:sz="4" w:space="0" w:color="auto"/>
            </w:tcBorders>
            <w:shd w:val="clear" w:color="auto" w:fill="auto"/>
            <w:noWrap/>
            <w:vAlign w:val="bottom"/>
            <w:hideMark/>
          </w:tcPr>
          <w:p w14:paraId="7D3EA789"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14:paraId="67AE2D6D"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2</w:t>
            </w:r>
          </w:p>
        </w:tc>
        <w:tc>
          <w:tcPr>
            <w:tcW w:w="1300" w:type="dxa"/>
            <w:tcBorders>
              <w:top w:val="nil"/>
              <w:left w:val="nil"/>
              <w:bottom w:val="single" w:sz="4" w:space="0" w:color="auto"/>
              <w:right w:val="single" w:sz="4" w:space="0" w:color="auto"/>
            </w:tcBorders>
            <w:shd w:val="clear" w:color="auto" w:fill="auto"/>
            <w:noWrap/>
            <w:vAlign w:val="bottom"/>
            <w:hideMark/>
          </w:tcPr>
          <w:p w14:paraId="201195C7"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6</w:t>
            </w:r>
          </w:p>
        </w:tc>
      </w:tr>
      <w:tr w:rsidR="00B55763" w:rsidRPr="00B55763" w14:paraId="3D612AFB" w14:textId="77777777" w:rsidTr="00B55763">
        <w:trPr>
          <w:trHeight w:val="280"/>
        </w:trPr>
        <w:tc>
          <w:tcPr>
            <w:tcW w:w="2740" w:type="dxa"/>
            <w:tcBorders>
              <w:top w:val="nil"/>
              <w:left w:val="single" w:sz="4" w:space="0" w:color="auto"/>
              <w:bottom w:val="single" w:sz="4" w:space="0" w:color="auto"/>
              <w:right w:val="nil"/>
            </w:tcBorders>
            <w:shd w:val="clear" w:color="auto" w:fill="auto"/>
            <w:noWrap/>
            <w:vAlign w:val="bottom"/>
            <w:hideMark/>
          </w:tcPr>
          <w:p w14:paraId="1DD8FD5A" w14:textId="77777777" w:rsidR="00B55763" w:rsidRPr="00B55763" w:rsidRDefault="00B55763" w:rsidP="00B55763">
            <w:pPr>
              <w:suppressAutoHyphens w:val="0"/>
              <w:spacing w:before="0" w:after="0"/>
              <w:rPr>
                <w:rFonts w:ascii="Calibri" w:eastAsia="Times New Roman" w:hAnsi="Calibri"/>
                <w:color w:val="000000"/>
                <w:sz w:val="20"/>
                <w:szCs w:val="20"/>
              </w:rPr>
            </w:pPr>
            <w:r w:rsidRPr="00B55763">
              <w:rPr>
                <w:rFonts w:ascii="Calibri" w:eastAsia="Times New Roman" w:hAnsi="Calibri"/>
                <w:color w:val="000000"/>
                <w:sz w:val="20"/>
                <w:szCs w:val="20"/>
              </w:rPr>
              <w:t xml:space="preserve">Forestry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87C29E2"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1</w:t>
            </w:r>
          </w:p>
        </w:tc>
        <w:tc>
          <w:tcPr>
            <w:tcW w:w="1300" w:type="dxa"/>
            <w:tcBorders>
              <w:top w:val="nil"/>
              <w:left w:val="nil"/>
              <w:bottom w:val="single" w:sz="4" w:space="0" w:color="auto"/>
              <w:right w:val="single" w:sz="4" w:space="0" w:color="auto"/>
            </w:tcBorders>
            <w:shd w:val="clear" w:color="auto" w:fill="auto"/>
            <w:noWrap/>
            <w:vAlign w:val="bottom"/>
            <w:hideMark/>
          </w:tcPr>
          <w:p w14:paraId="3E5F81D1"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14:paraId="71040A09"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14:paraId="4301F6AD"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1</w:t>
            </w:r>
          </w:p>
        </w:tc>
      </w:tr>
      <w:tr w:rsidR="00B55763" w:rsidRPr="00B55763" w14:paraId="4A608A5A" w14:textId="77777777" w:rsidTr="00B55763">
        <w:trPr>
          <w:trHeight w:val="280"/>
        </w:trPr>
        <w:tc>
          <w:tcPr>
            <w:tcW w:w="2740" w:type="dxa"/>
            <w:tcBorders>
              <w:top w:val="nil"/>
              <w:left w:val="single" w:sz="4" w:space="0" w:color="auto"/>
              <w:bottom w:val="single" w:sz="4" w:space="0" w:color="auto"/>
              <w:right w:val="nil"/>
            </w:tcBorders>
            <w:shd w:val="clear" w:color="auto" w:fill="auto"/>
            <w:noWrap/>
            <w:vAlign w:val="bottom"/>
            <w:hideMark/>
          </w:tcPr>
          <w:p w14:paraId="53BABABF" w14:textId="77777777" w:rsidR="00B55763" w:rsidRPr="00B55763" w:rsidRDefault="00B55763" w:rsidP="00B55763">
            <w:pPr>
              <w:suppressAutoHyphens w:val="0"/>
              <w:spacing w:before="0" w:after="0"/>
              <w:rPr>
                <w:rFonts w:ascii="Calibri" w:eastAsia="Times New Roman" w:hAnsi="Calibri"/>
                <w:color w:val="000000"/>
                <w:sz w:val="20"/>
                <w:szCs w:val="20"/>
              </w:rPr>
            </w:pPr>
            <w:r w:rsidRPr="00B55763">
              <w:rPr>
                <w:rFonts w:ascii="Calibri" w:eastAsia="Times New Roman" w:hAnsi="Calibri"/>
                <w:color w:val="000000"/>
                <w:sz w:val="20"/>
                <w:szCs w:val="20"/>
              </w:rPr>
              <w:t>IT</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D9B09E1"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1</w:t>
            </w:r>
          </w:p>
        </w:tc>
        <w:tc>
          <w:tcPr>
            <w:tcW w:w="1300" w:type="dxa"/>
            <w:tcBorders>
              <w:top w:val="nil"/>
              <w:left w:val="nil"/>
              <w:bottom w:val="single" w:sz="4" w:space="0" w:color="auto"/>
              <w:right w:val="single" w:sz="4" w:space="0" w:color="auto"/>
            </w:tcBorders>
            <w:shd w:val="clear" w:color="auto" w:fill="auto"/>
            <w:noWrap/>
            <w:vAlign w:val="bottom"/>
            <w:hideMark/>
          </w:tcPr>
          <w:p w14:paraId="7FD6C411"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14:paraId="6D2CBD61"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14:paraId="686A2028"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1</w:t>
            </w:r>
          </w:p>
        </w:tc>
      </w:tr>
      <w:tr w:rsidR="00B55763" w:rsidRPr="00B55763" w14:paraId="774F55F6" w14:textId="77777777" w:rsidTr="00B55763">
        <w:trPr>
          <w:trHeight w:val="280"/>
        </w:trPr>
        <w:tc>
          <w:tcPr>
            <w:tcW w:w="2740" w:type="dxa"/>
            <w:tcBorders>
              <w:top w:val="nil"/>
              <w:left w:val="single" w:sz="4" w:space="0" w:color="auto"/>
              <w:bottom w:val="single" w:sz="4" w:space="0" w:color="auto"/>
              <w:right w:val="nil"/>
            </w:tcBorders>
            <w:shd w:val="clear" w:color="auto" w:fill="auto"/>
            <w:noWrap/>
            <w:vAlign w:val="bottom"/>
            <w:hideMark/>
          </w:tcPr>
          <w:p w14:paraId="74A88724" w14:textId="77777777" w:rsidR="00B55763" w:rsidRPr="00B55763" w:rsidRDefault="00B55763" w:rsidP="00B55763">
            <w:pPr>
              <w:suppressAutoHyphens w:val="0"/>
              <w:spacing w:before="0" w:after="0"/>
              <w:rPr>
                <w:rFonts w:ascii="Calibri" w:eastAsia="Times New Roman" w:hAnsi="Calibri"/>
                <w:color w:val="000000"/>
                <w:sz w:val="20"/>
                <w:szCs w:val="20"/>
              </w:rPr>
            </w:pPr>
            <w:r w:rsidRPr="00B55763">
              <w:rPr>
                <w:rFonts w:ascii="Calibri" w:eastAsia="Times New Roman" w:hAnsi="Calibri"/>
                <w:color w:val="000000"/>
                <w:sz w:val="20"/>
                <w:szCs w:val="20"/>
              </w:rPr>
              <w:t>Livestock</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055783A"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1</w:t>
            </w:r>
          </w:p>
        </w:tc>
        <w:tc>
          <w:tcPr>
            <w:tcW w:w="1300" w:type="dxa"/>
            <w:tcBorders>
              <w:top w:val="nil"/>
              <w:left w:val="nil"/>
              <w:bottom w:val="single" w:sz="4" w:space="0" w:color="auto"/>
              <w:right w:val="single" w:sz="4" w:space="0" w:color="auto"/>
            </w:tcBorders>
            <w:shd w:val="clear" w:color="auto" w:fill="auto"/>
            <w:noWrap/>
            <w:vAlign w:val="bottom"/>
            <w:hideMark/>
          </w:tcPr>
          <w:p w14:paraId="69F1FE31"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1</w:t>
            </w:r>
          </w:p>
        </w:tc>
        <w:tc>
          <w:tcPr>
            <w:tcW w:w="1300" w:type="dxa"/>
            <w:tcBorders>
              <w:top w:val="nil"/>
              <w:left w:val="nil"/>
              <w:bottom w:val="single" w:sz="4" w:space="0" w:color="auto"/>
              <w:right w:val="single" w:sz="4" w:space="0" w:color="auto"/>
            </w:tcBorders>
            <w:shd w:val="clear" w:color="auto" w:fill="auto"/>
            <w:noWrap/>
            <w:vAlign w:val="bottom"/>
            <w:hideMark/>
          </w:tcPr>
          <w:p w14:paraId="03B195B1"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14:paraId="4EC85AC7"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2</w:t>
            </w:r>
          </w:p>
        </w:tc>
      </w:tr>
      <w:tr w:rsidR="00B55763" w:rsidRPr="00B55763" w14:paraId="6D86BFF8" w14:textId="77777777" w:rsidTr="00B55763">
        <w:trPr>
          <w:trHeight w:val="280"/>
        </w:trPr>
        <w:tc>
          <w:tcPr>
            <w:tcW w:w="2740" w:type="dxa"/>
            <w:tcBorders>
              <w:top w:val="nil"/>
              <w:left w:val="single" w:sz="4" w:space="0" w:color="auto"/>
              <w:bottom w:val="single" w:sz="4" w:space="0" w:color="auto"/>
              <w:right w:val="nil"/>
            </w:tcBorders>
            <w:shd w:val="clear" w:color="auto" w:fill="auto"/>
            <w:noWrap/>
            <w:vAlign w:val="bottom"/>
            <w:hideMark/>
          </w:tcPr>
          <w:p w14:paraId="39A1BE1F" w14:textId="77777777" w:rsidR="00B55763" w:rsidRPr="00B55763" w:rsidRDefault="00B55763" w:rsidP="00B55763">
            <w:pPr>
              <w:suppressAutoHyphens w:val="0"/>
              <w:spacing w:before="0" w:after="0"/>
              <w:rPr>
                <w:rFonts w:ascii="Calibri" w:eastAsia="Times New Roman" w:hAnsi="Calibri"/>
                <w:color w:val="000000"/>
                <w:sz w:val="20"/>
                <w:szCs w:val="20"/>
              </w:rPr>
            </w:pPr>
            <w:r w:rsidRPr="00B55763">
              <w:rPr>
                <w:rFonts w:ascii="Calibri" w:eastAsia="Times New Roman" w:hAnsi="Calibri"/>
                <w:color w:val="000000"/>
                <w:sz w:val="20"/>
                <w:szCs w:val="20"/>
              </w:rPr>
              <w:t>Manufacturing</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D077991"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6</w:t>
            </w:r>
          </w:p>
        </w:tc>
        <w:tc>
          <w:tcPr>
            <w:tcW w:w="1300" w:type="dxa"/>
            <w:tcBorders>
              <w:top w:val="nil"/>
              <w:left w:val="nil"/>
              <w:bottom w:val="single" w:sz="4" w:space="0" w:color="auto"/>
              <w:right w:val="single" w:sz="4" w:space="0" w:color="auto"/>
            </w:tcBorders>
            <w:shd w:val="clear" w:color="auto" w:fill="auto"/>
            <w:noWrap/>
            <w:vAlign w:val="bottom"/>
            <w:hideMark/>
          </w:tcPr>
          <w:p w14:paraId="72CF5C08"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3</w:t>
            </w:r>
          </w:p>
        </w:tc>
        <w:tc>
          <w:tcPr>
            <w:tcW w:w="1300" w:type="dxa"/>
            <w:tcBorders>
              <w:top w:val="nil"/>
              <w:left w:val="nil"/>
              <w:bottom w:val="single" w:sz="4" w:space="0" w:color="auto"/>
              <w:right w:val="single" w:sz="4" w:space="0" w:color="auto"/>
            </w:tcBorders>
            <w:shd w:val="clear" w:color="auto" w:fill="auto"/>
            <w:noWrap/>
            <w:vAlign w:val="bottom"/>
            <w:hideMark/>
          </w:tcPr>
          <w:p w14:paraId="180A8D21"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1</w:t>
            </w:r>
          </w:p>
        </w:tc>
        <w:tc>
          <w:tcPr>
            <w:tcW w:w="1300" w:type="dxa"/>
            <w:tcBorders>
              <w:top w:val="nil"/>
              <w:left w:val="nil"/>
              <w:bottom w:val="single" w:sz="4" w:space="0" w:color="auto"/>
              <w:right w:val="single" w:sz="4" w:space="0" w:color="auto"/>
            </w:tcBorders>
            <w:shd w:val="clear" w:color="auto" w:fill="auto"/>
            <w:noWrap/>
            <w:vAlign w:val="bottom"/>
            <w:hideMark/>
          </w:tcPr>
          <w:p w14:paraId="67D4E5F4"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10</w:t>
            </w:r>
          </w:p>
        </w:tc>
      </w:tr>
      <w:tr w:rsidR="00B55763" w:rsidRPr="00B55763" w14:paraId="324D89FF" w14:textId="77777777" w:rsidTr="00B55763">
        <w:trPr>
          <w:trHeight w:val="280"/>
        </w:trPr>
        <w:tc>
          <w:tcPr>
            <w:tcW w:w="2740" w:type="dxa"/>
            <w:tcBorders>
              <w:top w:val="nil"/>
              <w:left w:val="single" w:sz="4" w:space="0" w:color="auto"/>
              <w:bottom w:val="single" w:sz="4" w:space="0" w:color="auto"/>
              <w:right w:val="nil"/>
            </w:tcBorders>
            <w:shd w:val="clear" w:color="auto" w:fill="auto"/>
            <w:noWrap/>
            <w:vAlign w:val="bottom"/>
            <w:hideMark/>
          </w:tcPr>
          <w:p w14:paraId="657F705F" w14:textId="77777777" w:rsidR="00B55763" w:rsidRPr="00B55763" w:rsidRDefault="00B55763" w:rsidP="00B55763">
            <w:pPr>
              <w:suppressAutoHyphens w:val="0"/>
              <w:spacing w:before="0" w:after="0"/>
              <w:rPr>
                <w:rFonts w:ascii="Calibri" w:eastAsia="Times New Roman" w:hAnsi="Calibri"/>
                <w:color w:val="000000"/>
                <w:sz w:val="20"/>
                <w:szCs w:val="20"/>
              </w:rPr>
            </w:pPr>
            <w:r w:rsidRPr="00B55763">
              <w:rPr>
                <w:rFonts w:ascii="Calibri" w:eastAsia="Times New Roman" w:hAnsi="Calibri"/>
                <w:color w:val="000000"/>
                <w:sz w:val="20"/>
                <w:szCs w:val="20"/>
              </w:rPr>
              <w:t>Others</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506E046"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4</w:t>
            </w:r>
          </w:p>
        </w:tc>
        <w:tc>
          <w:tcPr>
            <w:tcW w:w="1300" w:type="dxa"/>
            <w:tcBorders>
              <w:top w:val="nil"/>
              <w:left w:val="nil"/>
              <w:bottom w:val="single" w:sz="4" w:space="0" w:color="auto"/>
              <w:right w:val="single" w:sz="4" w:space="0" w:color="auto"/>
            </w:tcBorders>
            <w:shd w:val="clear" w:color="auto" w:fill="auto"/>
            <w:noWrap/>
            <w:vAlign w:val="bottom"/>
            <w:hideMark/>
          </w:tcPr>
          <w:p w14:paraId="53D6CF9F"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14:paraId="72E7D9B4"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14:paraId="4397D184"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4</w:t>
            </w:r>
          </w:p>
        </w:tc>
      </w:tr>
      <w:tr w:rsidR="00B55763" w:rsidRPr="00B55763" w14:paraId="47B1E02F" w14:textId="77777777" w:rsidTr="00B55763">
        <w:trPr>
          <w:trHeight w:val="280"/>
        </w:trPr>
        <w:tc>
          <w:tcPr>
            <w:tcW w:w="2740" w:type="dxa"/>
            <w:tcBorders>
              <w:top w:val="nil"/>
              <w:left w:val="single" w:sz="4" w:space="0" w:color="auto"/>
              <w:bottom w:val="single" w:sz="4" w:space="0" w:color="auto"/>
              <w:right w:val="nil"/>
            </w:tcBorders>
            <w:shd w:val="clear" w:color="auto" w:fill="auto"/>
            <w:noWrap/>
            <w:vAlign w:val="bottom"/>
            <w:hideMark/>
          </w:tcPr>
          <w:p w14:paraId="63B3DBB1" w14:textId="77777777" w:rsidR="00B55763" w:rsidRPr="00B55763" w:rsidRDefault="00B55763" w:rsidP="00B55763">
            <w:pPr>
              <w:suppressAutoHyphens w:val="0"/>
              <w:spacing w:before="0" w:after="0"/>
              <w:rPr>
                <w:rFonts w:ascii="Calibri" w:eastAsia="Times New Roman" w:hAnsi="Calibri"/>
                <w:color w:val="000000"/>
                <w:sz w:val="20"/>
                <w:szCs w:val="20"/>
              </w:rPr>
            </w:pPr>
            <w:r w:rsidRPr="00B55763">
              <w:rPr>
                <w:rFonts w:ascii="Calibri" w:eastAsia="Times New Roman" w:hAnsi="Calibri"/>
                <w:color w:val="000000"/>
                <w:sz w:val="20"/>
                <w:szCs w:val="20"/>
              </w:rPr>
              <w:t>Tourism</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6001043"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14</w:t>
            </w:r>
          </w:p>
        </w:tc>
        <w:tc>
          <w:tcPr>
            <w:tcW w:w="1300" w:type="dxa"/>
            <w:tcBorders>
              <w:top w:val="nil"/>
              <w:left w:val="nil"/>
              <w:bottom w:val="single" w:sz="4" w:space="0" w:color="auto"/>
              <w:right w:val="single" w:sz="4" w:space="0" w:color="auto"/>
            </w:tcBorders>
            <w:shd w:val="clear" w:color="auto" w:fill="auto"/>
            <w:noWrap/>
            <w:vAlign w:val="bottom"/>
            <w:hideMark/>
          </w:tcPr>
          <w:p w14:paraId="4B7C9096"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9</w:t>
            </w:r>
          </w:p>
        </w:tc>
        <w:tc>
          <w:tcPr>
            <w:tcW w:w="1300" w:type="dxa"/>
            <w:tcBorders>
              <w:top w:val="nil"/>
              <w:left w:val="nil"/>
              <w:bottom w:val="single" w:sz="4" w:space="0" w:color="auto"/>
              <w:right w:val="single" w:sz="4" w:space="0" w:color="auto"/>
            </w:tcBorders>
            <w:shd w:val="clear" w:color="auto" w:fill="auto"/>
            <w:noWrap/>
            <w:vAlign w:val="bottom"/>
            <w:hideMark/>
          </w:tcPr>
          <w:p w14:paraId="04C3B7D1"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15</w:t>
            </w:r>
          </w:p>
        </w:tc>
        <w:tc>
          <w:tcPr>
            <w:tcW w:w="1300" w:type="dxa"/>
            <w:tcBorders>
              <w:top w:val="nil"/>
              <w:left w:val="nil"/>
              <w:bottom w:val="single" w:sz="4" w:space="0" w:color="auto"/>
              <w:right w:val="single" w:sz="4" w:space="0" w:color="auto"/>
            </w:tcBorders>
            <w:shd w:val="clear" w:color="auto" w:fill="auto"/>
            <w:noWrap/>
            <w:vAlign w:val="bottom"/>
            <w:hideMark/>
          </w:tcPr>
          <w:p w14:paraId="636F80ED"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38</w:t>
            </w:r>
          </w:p>
        </w:tc>
      </w:tr>
      <w:tr w:rsidR="00B55763" w:rsidRPr="00B55763" w14:paraId="2AA33952" w14:textId="77777777" w:rsidTr="00B55763">
        <w:trPr>
          <w:trHeight w:val="280"/>
        </w:trPr>
        <w:tc>
          <w:tcPr>
            <w:tcW w:w="2740" w:type="dxa"/>
            <w:tcBorders>
              <w:top w:val="nil"/>
              <w:left w:val="single" w:sz="4" w:space="0" w:color="auto"/>
              <w:bottom w:val="single" w:sz="4" w:space="0" w:color="auto"/>
              <w:right w:val="nil"/>
            </w:tcBorders>
            <w:shd w:val="clear" w:color="auto" w:fill="auto"/>
            <w:noWrap/>
            <w:vAlign w:val="bottom"/>
            <w:hideMark/>
          </w:tcPr>
          <w:p w14:paraId="0DF24DFC" w14:textId="77777777" w:rsidR="00B55763" w:rsidRPr="00B55763" w:rsidRDefault="00B55763" w:rsidP="00B55763">
            <w:pPr>
              <w:suppressAutoHyphens w:val="0"/>
              <w:spacing w:before="0" w:after="0"/>
              <w:rPr>
                <w:rFonts w:ascii="Calibri" w:eastAsia="Times New Roman" w:hAnsi="Calibri"/>
                <w:color w:val="000000"/>
                <w:sz w:val="20"/>
                <w:szCs w:val="20"/>
              </w:rPr>
            </w:pPr>
            <w:r w:rsidRPr="00B55763">
              <w:rPr>
                <w:rFonts w:ascii="Calibri" w:eastAsia="Times New Roman" w:hAnsi="Calibri"/>
                <w:color w:val="000000"/>
                <w:sz w:val="20"/>
                <w:szCs w:val="20"/>
              </w:rPr>
              <w:t>Trades &amp; Services</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3A66709"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14:paraId="41CB775F"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5</w:t>
            </w:r>
          </w:p>
        </w:tc>
        <w:tc>
          <w:tcPr>
            <w:tcW w:w="1300" w:type="dxa"/>
            <w:tcBorders>
              <w:top w:val="nil"/>
              <w:left w:val="nil"/>
              <w:bottom w:val="single" w:sz="4" w:space="0" w:color="auto"/>
              <w:right w:val="single" w:sz="4" w:space="0" w:color="auto"/>
            </w:tcBorders>
            <w:shd w:val="clear" w:color="auto" w:fill="auto"/>
            <w:noWrap/>
            <w:vAlign w:val="bottom"/>
            <w:hideMark/>
          </w:tcPr>
          <w:p w14:paraId="35AF4CB5"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14:paraId="211E8363" w14:textId="77777777" w:rsidR="00B55763" w:rsidRPr="00B55763" w:rsidRDefault="00B55763" w:rsidP="00B55763">
            <w:pPr>
              <w:suppressAutoHyphens w:val="0"/>
              <w:spacing w:before="0" w:after="0"/>
              <w:jc w:val="center"/>
              <w:rPr>
                <w:rFonts w:ascii="Calibri" w:eastAsia="Times New Roman" w:hAnsi="Calibri"/>
                <w:color w:val="000000"/>
                <w:sz w:val="20"/>
                <w:szCs w:val="20"/>
              </w:rPr>
            </w:pPr>
            <w:r w:rsidRPr="00B55763">
              <w:rPr>
                <w:rFonts w:ascii="Calibri" w:eastAsia="Times New Roman" w:hAnsi="Calibri"/>
                <w:color w:val="000000"/>
                <w:sz w:val="20"/>
                <w:szCs w:val="20"/>
              </w:rPr>
              <w:t>5</w:t>
            </w:r>
          </w:p>
        </w:tc>
      </w:tr>
      <w:tr w:rsidR="00B55763" w:rsidRPr="00B55763" w14:paraId="65BE166E" w14:textId="77777777" w:rsidTr="00B55763">
        <w:trPr>
          <w:trHeight w:val="280"/>
        </w:trPr>
        <w:tc>
          <w:tcPr>
            <w:tcW w:w="2740" w:type="dxa"/>
            <w:tcBorders>
              <w:top w:val="nil"/>
              <w:left w:val="single" w:sz="4" w:space="0" w:color="auto"/>
              <w:bottom w:val="single" w:sz="4" w:space="0" w:color="auto"/>
              <w:right w:val="nil"/>
            </w:tcBorders>
            <w:shd w:val="clear" w:color="auto" w:fill="auto"/>
            <w:noWrap/>
            <w:vAlign w:val="bottom"/>
            <w:hideMark/>
          </w:tcPr>
          <w:p w14:paraId="52DAB5C9" w14:textId="77777777" w:rsidR="00B55763" w:rsidRPr="00B55763" w:rsidRDefault="00B55763" w:rsidP="00B55763">
            <w:pPr>
              <w:suppressAutoHyphens w:val="0"/>
              <w:spacing w:before="0" w:after="0"/>
              <w:rPr>
                <w:rFonts w:ascii="Calibri" w:eastAsia="Times New Roman" w:hAnsi="Calibri"/>
                <w:b/>
                <w:bCs/>
                <w:color w:val="000000"/>
                <w:sz w:val="20"/>
                <w:szCs w:val="20"/>
              </w:rPr>
            </w:pPr>
            <w:r w:rsidRPr="00B55763">
              <w:rPr>
                <w:rFonts w:ascii="Calibri" w:eastAsia="Times New Roman" w:hAnsi="Calibri"/>
                <w:b/>
                <w:bCs/>
                <w:color w:val="000000"/>
                <w:sz w:val="20"/>
                <w:szCs w:val="20"/>
              </w:rPr>
              <w:t>Grand Total</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B7CC64C" w14:textId="77777777" w:rsidR="00B55763" w:rsidRPr="00B55763" w:rsidRDefault="00B55763" w:rsidP="00B55763">
            <w:pPr>
              <w:suppressAutoHyphens w:val="0"/>
              <w:spacing w:before="0" w:after="0"/>
              <w:jc w:val="center"/>
              <w:rPr>
                <w:rFonts w:ascii="Calibri" w:eastAsia="Times New Roman" w:hAnsi="Calibri"/>
                <w:b/>
                <w:color w:val="000000"/>
                <w:sz w:val="20"/>
                <w:szCs w:val="20"/>
              </w:rPr>
            </w:pPr>
            <w:r w:rsidRPr="00B55763">
              <w:rPr>
                <w:rFonts w:ascii="Calibri" w:eastAsia="Times New Roman" w:hAnsi="Calibri"/>
                <w:b/>
                <w:color w:val="000000"/>
                <w:sz w:val="20"/>
                <w:szCs w:val="20"/>
              </w:rPr>
              <w:t>37</w:t>
            </w:r>
          </w:p>
        </w:tc>
        <w:tc>
          <w:tcPr>
            <w:tcW w:w="1300" w:type="dxa"/>
            <w:tcBorders>
              <w:top w:val="nil"/>
              <w:left w:val="nil"/>
              <w:bottom w:val="single" w:sz="4" w:space="0" w:color="auto"/>
              <w:right w:val="single" w:sz="4" w:space="0" w:color="auto"/>
            </w:tcBorders>
            <w:shd w:val="clear" w:color="auto" w:fill="auto"/>
            <w:noWrap/>
            <w:vAlign w:val="bottom"/>
            <w:hideMark/>
          </w:tcPr>
          <w:p w14:paraId="6CD02920" w14:textId="77777777" w:rsidR="00B55763" w:rsidRPr="00B55763" w:rsidRDefault="00B55763" w:rsidP="00B55763">
            <w:pPr>
              <w:suppressAutoHyphens w:val="0"/>
              <w:spacing w:before="0" w:after="0"/>
              <w:jc w:val="center"/>
              <w:rPr>
                <w:rFonts w:ascii="Calibri" w:eastAsia="Times New Roman" w:hAnsi="Calibri"/>
                <w:b/>
                <w:color w:val="000000"/>
                <w:sz w:val="20"/>
                <w:szCs w:val="20"/>
              </w:rPr>
            </w:pPr>
            <w:r w:rsidRPr="00B55763">
              <w:rPr>
                <w:rFonts w:ascii="Calibri" w:eastAsia="Times New Roman" w:hAnsi="Calibri"/>
                <w:b/>
                <w:color w:val="000000"/>
                <w:sz w:val="20"/>
                <w:szCs w:val="20"/>
              </w:rPr>
              <w:t>19</w:t>
            </w:r>
          </w:p>
        </w:tc>
        <w:tc>
          <w:tcPr>
            <w:tcW w:w="1300" w:type="dxa"/>
            <w:tcBorders>
              <w:top w:val="nil"/>
              <w:left w:val="nil"/>
              <w:bottom w:val="single" w:sz="4" w:space="0" w:color="auto"/>
              <w:right w:val="single" w:sz="4" w:space="0" w:color="auto"/>
            </w:tcBorders>
            <w:shd w:val="clear" w:color="auto" w:fill="auto"/>
            <w:noWrap/>
            <w:vAlign w:val="bottom"/>
            <w:hideMark/>
          </w:tcPr>
          <w:p w14:paraId="08C69076" w14:textId="77777777" w:rsidR="00B55763" w:rsidRPr="00B55763" w:rsidRDefault="00B55763" w:rsidP="00B55763">
            <w:pPr>
              <w:suppressAutoHyphens w:val="0"/>
              <w:spacing w:before="0" w:after="0"/>
              <w:jc w:val="center"/>
              <w:rPr>
                <w:rFonts w:ascii="Calibri" w:eastAsia="Times New Roman" w:hAnsi="Calibri"/>
                <w:b/>
                <w:color w:val="000000"/>
                <w:sz w:val="20"/>
                <w:szCs w:val="20"/>
              </w:rPr>
            </w:pPr>
            <w:r w:rsidRPr="00B55763">
              <w:rPr>
                <w:rFonts w:ascii="Calibri" w:eastAsia="Times New Roman" w:hAnsi="Calibri"/>
                <w:b/>
                <w:color w:val="000000"/>
                <w:sz w:val="20"/>
                <w:szCs w:val="20"/>
              </w:rPr>
              <w:t>21</w:t>
            </w:r>
          </w:p>
        </w:tc>
        <w:tc>
          <w:tcPr>
            <w:tcW w:w="1300" w:type="dxa"/>
            <w:tcBorders>
              <w:top w:val="nil"/>
              <w:left w:val="nil"/>
              <w:bottom w:val="single" w:sz="4" w:space="0" w:color="auto"/>
              <w:right w:val="single" w:sz="4" w:space="0" w:color="auto"/>
            </w:tcBorders>
            <w:shd w:val="clear" w:color="auto" w:fill="auto"/>
            <w:noWrap/>
            <w:vAlign w:val="bottom"/>
            <w:hideMark/>
          </w:tcPr>
          <w:p w14:paraId="44A0BEA2" w14:textId="77777777" w:rsidR="00B55763" w:rsidRPr="00B55763" w:rsidRDefault="00B55763" w:rsidP="00B55763">
            <w:pPr>
              <w:suppressAutoHyphens w:val="0"/>
              <w:spacing w:before="0" w:after="0"/>
              <w:jc w:val="center"/>
              <w:rPr>
                <w:rFonts w:ascii="Calibri" w:eastAsia="Times New Roman" w:hAnsi="Calibri"/>
                <w:b/>
                <w:color w:val="000000"/>
                <w:sz w:val="20"/>
                <w:szCs w:val="20"/>
              </w:rPr>
            </w:pPr>
            <w:r w:rsidRPr="00B55763">
              <w:rPr>
                <w:rFonts w:ascii="Calibri" w:eastAsia="Times New Roman" w:hAnsi="Calibri"/>
                <w:b/>
                <w:color w:val="000000"/>
                <w:sz w:val="20"/>
                <w:szCs w:val="20"/>
              </w:rPr>
              <w:t>77</w:t>
            </w:r>
          </w:p>
        </w:tc>
      </w:tr>
    </w:tbl>
    <w:p w14:paraId="0A2AA687" w14:textId="77777777" w:rsidR="004041DA" w:rsidRDefault="004041DA" w:rsidP="002218E6"/>
    <w:p w14:paraId="1367F23E" w14:textId="3669BFB1" w:rsidR="00BC3A13" w:rsidRDefault="005C53DB" w:rsidP="002218E6">
      <w:r>
        <w:t xml:space="preserve">Clearly, the greater the level of information sharing, cooperation and joint planning and implementation, the greater </w:t>
      </w:r>
      <w:r w:rsidR="00BC3A13">
        <w:t xml:space="preserve">is </w:t>
      </w:r>
      <w:r>
        <w:t xml:space="preserve">the potential for tangible achievements. </w:t>
      </w:r>
    </w:p>
    <w:p w14:paraId="11EBACD0" w14:textId="77777777" w:rsidR="00B773F1" w:rsidRDefault="00024C12" w:rsidP="00133F03">
      <w:pPr>
        <w:jc w:val="center"/>
        <w:rPr>
          <w:noProof/>
          <w:lang w:val="en-US"/>
        </w:rPr>
      </w:pPr>
      <w:r>
        <w:rPr>
          <w:noProof/>
          <w:lang w:val="en-GB" w:eastAsia="en-GB"/>
        </w:rPr>
        <mc:AlternateContent>
          <mc:Choice Requires="wps">
            <w:drawing>
              <wp:inline distT="0" distB="0" distL="0" distR="0" wp14:anchorId="4D37F590" wp14:editId="1DBE61DF">
                <wp:extent cx="4457700" cy="3574676"/>
                <wp:effectExtent l="0" t="0" r="12700" b="6985"/>
                <wp:docPr id="6" name="Text Box 6"/>
                <wp:cNvGraphicFramePr/>
                <a:graphic xmlns:a="http://schemas.openxmlformats.org/drawingml/2006/main">
                  <a:graphicData uri="http://schemas.microsoft.com/office/word/2010/wordprocessingShape">
                    <wps:wsp>
                      <wps:cNvSpPr txBox="1"/>
                      <wps:spPr>
                        <a:xfrm>
                          <a:off x="0" y="0"/>
                          <a:ext cx="4457700" cy="3574676"/>
                        </a:xfrm>
                        <a:prstGeom prst="rect">
                          <a:avLst/>
                        </a:prstGeom>
                        <a:solidFill>
                          <a:schemeClr val="accent6">
                            <a:lumMod val="60000"/>
                            <a:lumOff val="4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2BD5DF" w14:textId="3B6A42C3" w:rsidR="00564169" w:rsidRDefault="00564169" w:rsidP="00024C12">
                            <w:pPr>
                              <w:pStyle w:val="TextBoxHeading"/>
                            </w:pPr>
                            <w:r>
                              <w:t>Malampa Handicrafts Centre</w:t>
                            </w:r>
                          </w:p>
                          <w:p w14:paraId="224A8386" w14:textId="53BA2BFB" w:rsidR="00564169" w:rsidRDefault="00564169" w:rsidP="00024C12">
                            <w:pPr>
                              <w:pStyle w:val="TextBoxHeading"/>
                            </w:pPr>
                            <w:r>
                              <w:t xml:space="preserve">…an example of cooperation for women’s economic empowerment </w:t>
                            </w:r>
                          </w:p>
                          <w:p w14:paraId="17B3AC28" w14:textId="251C3F20" w:rsidR="00564169" w:rsidRDefault="00564169" w:rsidP="00452BE7">
                            <w:pPr>
                              <w:pStyle w:val="TableText"/>
                            </w:pPr>
                            <w:r>
                              <w:t xml:space="preserve">Handicraft makers from Malekula, Ambrym and Paama, mainly women, are now providing their products for sale at the Malampa Handicrafts Centre, which officially opened in October 2014. </w:t>
                            </w:r>
                          </w:p>
                          <w:p w14:paraId="6983B359" w14:textId="7199A8ED" w:rsidR="00564169" w:rsidRDefault="00564169" w:rsidP="00452BE7">
                            <w:pPr>
                              <w:pStyle w:val="TableText"/>
                            </w:pPr>
                            <w:r>
                              <w:t xml:space="preserve">The Centre is a remarkable example of cooperation, underpinned by the coordination efforts of the TVET Program and its partnership with the Malampa Provincial Council of Women. The building was built and fitted out with financial assistance from the Australian High Commission Direct Aid Program and with labour from men and women participating in Malampa TVET Centre training activities. It is located on land provided by the Malampa Provincial Government and its development was supported by a volunteer placed through Australian Youth Ambassadors for Development. Suppliers are being supported to develop skills in handicraft quality through TVET Centre training as well as business development support. </w:t>
                            </w:r>
                          </w:p>
                          <w:p w14:paraId="0D4D9FD3" w14:textId="2BBD5A24" w:rsidR="00564169" w:rsidRDefault="00564169" w:rsidP="00452BE7">
                            <w:pPr>
                              <w:pStyle w:val="Boxbullet"/>
                            </w:pPr>
                            <w:r>
                              <w:t>The number of handicraft makers selling products at the Centre has grown from fifteen to more than one hundred</w:t>
                            </w:r>
                          </w:p>
                          <w:p w14:paraId="5614FDA6" w14:textId="690EDDE6" w:rsidR="00564169" w:rsidRPr="002B7CF3" w:rsidRDefault="00564169" w:rsidP="00452BE7">
                            <w:pPr>
                              <w:pStyle w:val="Boxbullet"/>
                            </w:pPr>
                            <w:r>
                              <w:t xml:space="preserve">By November 2014, handicraft sales had generated more than 300,000vt in income for makers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 o:spid="_x0000_s1032" type="#_x0000_t202" style="width:351pt;height:281.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FlFP0CAAB9BgAADgAAAGRycy9lMm9Eb2MueG1srFVtb9MwEP6OxH+w/L1LUtJ2i5ZOWacipLFN&#10;bGifXcdpI/yG7b6B+O+c7aTrBkgMsQ+ZfXe+l+eeu55f7ARHG2Zsq2SJs5MUIyapqlu5LPHnh/ng&#10;FCPriKwJV5KVeM8svpi+fXO+1QUbqpXiNTMInEhbbHWJV87pIkksXTFB7InSTIKyUUYQB1ezTGpD&#10;tuBd8GSYpuNkq0ytjaLMWpBeRSWeBv9Nw6i7bRrLHOIlhtxc+JrwXfhvMj0nxdIQvWpplwb5hywE&#10;aSUEPbi6Io6gtWl/cSVaapRVjTuhSiSqaVrKQg1QTZa+qOZ+RTQLtQA4Vh9gsv/PLb3Z3BnU1iUe&#10;YySJgBY9sJ1Dl2qHxh6drbYFGN1rMHM7EEOXe7kFoS961xjh/0M5CPSA8/6ArXdGQZjno8kkBRUF&#10;3bvRJB9Pgv/k6bk21r1nSiB/KLGB5gVMyebaOkgFTHsTH80q3tbzlvNw8YRhM27QhkCrCaVMunF4&#10;ztfio6qjfJzCX2w6iIEaUZz3YggRqOc9hYDPgnDpQ0nlg8Z8ooQFosUkSQEVw9Fb+toDCb7PRpNh&#10;NRmdDcbVKBvkWXo6qKp0OLiaV2mV5vPZWX75A7IVJMuLLdBRA5l9IwDwOSfLrvVe/Xe9F4Q+m5Qs&#10;SwJHY9rgOFTXp5r4LsduhpPbc+YL4PITa4Adoal/hDnwAZAL1t6qAXxe87CzD5AFKF/zOIIPL0Jk&#10;Jd3hsWilMoECh57Gdtdf+pSbaA9gHNXtj2632HVj0Q3BQtV7mAGj4g6xms5b4Ok1se6OGFgawG1Y&#10;hO4WPg1X2xKr7oTRSplvv5N7e+gnaDHyXS+x/bomhmHEP0iY8rMsz/3WChcYoCFczLFmcayRazFT&#10;QP4MVq6m4ejtHe+PjVHiEfZl5aOCikgKsUvs+uPMxdUI+5ayqgpGsKc0cdfyXlPv2qPsp/Bh90iM&#10;7kbVAZFuVL+uSPFiYqOtfylVtXaqacM4e5wjqh3+sOMCLbt97Jfo8T1YPf1qTH8CAAD//wMAUEsD&#10;BBQABgAIAAAAIQARQUbr2wAAAAUBAAAPAAAAZHJzL2Rvd25yZXYueG1sTI/BTsMwEETvSPyDtUhc&#10;EHWIRENDnKqq1ANwIiBxteMlibDXIXbb9O9ZuNDLSKNZzbyt1rN34oBTHAIpuFtkIJDaYAfqFLy/&#10;7W4fQMSkyWoXCBWcMMK6vryodGnDkV7x0KROcAnFUivoUxpLKWPbo9dxEUYkzj7D5HViO3XSTvrI&#10;5d7JPMuW0uuBeKHXI257bL+avVfwQfMqPZubwuy2J+O+m2nz9FIodX01bx5BJJzT/zH84jM61Mxk&#10;wp5sFE4BP5L+lLMiy9kaBffLfAWyruQ5ff0DAAD//wMAUEsBAi0AFAAGAAgAAAAhAOSZw8D7AAAA&#10;4QEAABMAAAAAAAAAAAAAAAAAAAAAAFtDb250ZW50X1R5cGVzXS54bWxQSwECLQAUAAYACAAAACEA&#10;I7Jq4dcAAACUAQAACwAAAAAAAAAAAAAAAAAsAQAAX3JlbHMvLnJlbHNQSwECLQAUAAYACAAAACEA&#10;roFlFP0CAAB9BgAADgAAAAAAAAAAAAAAAAAsAgAAZHJzL2Uyb0RvYy54bWxQSwECLQAUAAYACAAA&#10;ACEAEUFG69sAAAAFAQAADwAAAAAAAAAAAAAAAABVBQAAZHJzL2Rvd25yZXYueG1sUEsFBgAAAAAE&#10;AAQA8wAAAF0GAAAAAA==&#10;" fillcolor="#fabf8f [1945]" stroked="f">
                <v:textbox>
                  <w:txbxContent>
                    <w:p w14:paraId="4B2BD5DF" w14:textId="3B6A42C3" w:rsidR="00564169" w:rsidRDefault="00564169" w:rsidP="00024C12">
                      <w:pPr>
                        <w:pStyle w:val="TextBoxHeading"/>
                      </w:pPr>
                      <w:r>
                        <w:t>Malampa Handicrafts Centre</w:t>
                      </w:r>
                    </w:p>
                    <w:p w14:paraId="224A8386" w14:textId="53BA2BFB" w:rsidR="00564169" w:rsidRDefault="00564169" w:rsidP="00024C12">
                      <w:pPr>
                        <w:pStyle w:val="TextBoxHeading"/>
                      </w:pPr>
                      <w:r>
                        <w:t xml:space="preserve">…an example of cooperation for women’s economic empowerment </w:t>
                      </w:r>
                    </w:p>
                    <w:p w14:paraId="17B3AC28" w14:textId="251C3F20" w:rsidR="00564169" w:rsidRDefault="00564169" w:rsidP="00452BE7">
                      <w:pPr>
                        <w:pStyle w:val="TableText"/>
                      </w:pPr>
                      <w:r>
                        <w:t xml:space="preserve">Handicraft makers from </w:t>
                      </w:r>
                      <w:proofErr w:type="spellStart"/>
                      <w:r>
                        <w:t>Malekula</w:t>
                      </w:r>
                      <w:proofErr w:type="spellEnd"/>
                      <w:r>
                        <w:t xml:space="preserve">, </w:t>
                      </w:r>
                      <w:proofErr w:type="spellStart"/>
                      <w:r>
                        <w:t>Ambrym</w:t>
                      </w:r>
                      <w:proofErr w:type="spellEnd"/>
                      <w:r>
                        <w:t xml:space="preserve"> and </w:t>
                      </w:r>
                      <w:proofErr w:type="spellStart"/>
                      <w:r>
                        <w:t>Paama</w:t>
                      </w:r>
                      <w:proofErr w:type="spellEnd"/>
                      <w:r>
                        <w:t xml:space="preserve">, mainly women, are now providing their products for sale at the Malampa Handicrafts Centre, which officially opened in October 2014. </w:t>
                      </w:r>
                    </w:p>
                    <w:p w14:paraId="6983B359" w14:textId="7199A8ED" w:rsidR="00564169" w:rsidRDefault="00564169" w:rsidP="00452BE7">
                      <w:pPr>
                        <w:pStyle w:val="TableText"/>
                      </w:pPr>
                      <w:r>
                        <w:t xml:space="preserve">The Centre is a remarkable example of cooperation, underpinned by the coordination efforts of the TVET Program and its partnership with the Malampa Provincial Council of Women. The building was built and fitted out with financial assistance from the Australian High Commission Direct Aid Program and with labour from men and women participating in Malampa TVET Centre training activities. It is located on land provided by the Malampa Provincial Government and its development was supported by a volunteer placed through Australian Youth Ambassadors for Development. Suppliers are being supported to develop skills in handicraft quality through TVET Centre training as well as business development support. </w:t>
                      </w:r>
                    </w:p>
                    <w:p w14:paraId="0D4D9FD3" w14:textId="2BBD5A24" w:rsidR="00564169" w:rsidRDefault="00564169" w:rsidP="00452BE7">
                      <w:pPr>
                        <w:pStyle w:val="Boxbullet"/>
                      </w:pPr>
                      <w:r>
                        <w:t>The number of handicraft makers selling products at the Centre has grown from fifteen to more than one hundred</w:t>
                      </w:r>
                    </w:p>
                    <w:p w14:paraId="5614FDA6" w14:textId="690EDDE6" w:rsidR="00564169" w:rsidRPr="002B7CF3" w:rsidRDefault="00564169" w:rsidP="00452BE7">
                      <w:pPr>
                        <w:pStyle w:val="Boxbullet"/>
                      </w:pPr>
                      <w:r>
                        <w:t xml:space="preserve">By November 2014, handicraft sales had generated more than 300,000vt in income for makers </w:t>
                      </w:r>
                    </w:p>
                  </w:txbxContent>
                </v:textbox>
                <w10:anchorlock/>
              </v:shape>
            </w:pict>
          </mc:Fallback>
        </mc:AlternateContent>
      </w:r>
    </w:p>
    <w:p w14:paraId="3EEE0442" w14:textId="77777777" w:rsidR="007B0643" w:rsidRDefault="007B0643" w:rsidP="00B773F1">
      <w:pPr>
        <w:rPr>
          <w:noProof/>
          <w:lang w:val="en-US"/>
        </w:rPr>
      </w:pPr>
      <w:r>
        <w:rPr>
          <w:noProof/>
          <w:lang w:val="en-US"/>
        </w:rPr>
        <w:t xml:space="preserve">The pattern of utilising the variety of skills development activity types continued to develop over 2014, with TVET Centres moving towards a more integrated approach rather than the previously more segregated conception of ‘accredited training’ and ‘business development services’. This is enabling Centres to consider the full range of options when seeking to respond to a request for skills development, in some cases building a package of support that blends formal training with coaching and mentoring and technical follow-up. </w:t>
      </w:r>
    </w:p>
    <w:p w14:paraId="1A5E8451" w14:textId="2E966E3C" w:rsidR="00F6291E" w:rsidRDefault="007B0643" w:rsidP="00F6291E">
      <w:pPr>
        <w:rPr>
          <w:noProof/>
          <w:lang w:val="en-US"/>
        </w:rPr>
      </w:pPr>
      <w:r>
        <w:rPr>
          <w:noProof/>
          <w:lang w:val="en-US"/>
        </w:rPr>
        <w:t xml:space="preserve">This more integrated approach is becoming recognised as an important strength of the TVET </w:t>
      </w:r>
      <w:r w:rsidR="00025144">
        <w:rPr>
          <w:noProof/>
          <w:lang w:val="en-US"/>
        </w:rPr>
        <w:t xml:space="preserve">Centre </w:t>
      </w:r>
      <w:r>
        <w:rPr>
          <w:noProof/>
          <w:lang w:val="en-US"/>
        </w:rPr>
        <w:t xml:space="preserve">approach, and one which has potential for wider application in Vanuatu as the TVET sector develops. The CEO of the Vanuatu Qualifications Authority </w:t>
      </w:r>
      <w:r w:rsidR="003372B0">
        <w:rPr>
          <w:noProof/>
          <w:lang w:val="en-US"/>
        </w:rPr>
        <w:t>has emphasised</w:t>
      </w:r>
      <w:r w:rsidR="003372B0">
        <w:rPr>
          <w:rStyle w:val="FootnoteReference"/>
          <w:noProof/>
          <w:lang w:val="en-US"/>
        </w:rPr>
        <w:footnoteReference w:id="15"/>
      </w:r>
      <w:r w:rsidR="003372B0">
        <w:rPr>
          <w:noProof/>
          <w:lang w:val="en-US"/>
        </w:rPr>
        <w:t xml:space="preserve"> that the </w:t>
      </w:r>
      <w:r w:rsidR="00F6291E">
        <w:rPr>
          <w:noProof/>
          <w:lang w:val="en-US"/>
        </w:rPr>
        <w:lastRenderedPageBreak/>
        <w:t xml:space="preserve">model demonstrated by the TVET </w:t>
      </w:r>
      <w:r w:rsidR="003B7A51">
        <w:rPr>
          <w:noProof/>
          <w:lang w:val="en-US"/>
        </w:rPr>
        <w:t>Centres</w:t>
      </w:r>
      <w:r w:rsidR="00F6291E">
        <w:rPr>
          <w:noProof/>
          <w:lang w:val="en-US"/>
        </w:rPr>
        <w:t xml:space="preserve"> – providing skills training as well as coaching and mentoring that support individual business growth – is a good model for the sector. </w:t>
      </w:r>
    </w:p>
    <w:p w14:paraId="5C0FCB3D" w14:textId="77777777" w:rsidR="009F4C63" w:rsidRDefault="009F4C63" w:rsidP="00F6291E">
      <w:pPr>
        <w:rPr>
          <w:noProof/>
          <w:lang w:val="en-US"/>
        </w:rPr>
      </w:pPr>
    </w:p>
    <w:p w14:paraId="1011D80A" w14:textId="4A345E3C" w:rsidR="0061546E" w:rsidRDefault="0061546E" w:rsidP="007A4ED5">
      <w:pPr>
        <w:jc w:val="center"/>
        <w:rPr>
          <w:noProof/>
          <w:lang w:val="en-US"/>
        </w:rPr>
      </w:pPr>
      <w:r>
        <w:rPr>
          <w:noProof/>
          <w:lang w:val="en-GB" w:eastAsia="en-GB"/>
        </w:rPr>
        <mc:AlternateContent>
          <mc:Choice Requires="wps">
            <w:drawing>
              <wp:inline distT="0" distB="0" distL="0" distR="0" wp14:anchorId="047B8FEF" wp14:editId="36784DE3">
                <wp:extent cx="4572000" cy="6515100"/>
                <wp:effectExtent l="0" t="0" r="0" b="12700"/>
                <wp:docPr id="9" name="Text Box 9"/>
                <wp:cNvGraphicFramePr/>
                <a:graphic xmlns:a="http://schemas.openxmlformats.org/drawingml/2006/main">
                  <a:graphicData uri="http://schemas.microsoft.com/office/word/2010/wordprocessingShape">
                    <wps:wsp>
                      <wps:cNvSpPr txBox="1"/>
                      <wps:spPr>
                        <a:xfrm>
                          <a:off x="0" y="0"/>
                          <a:ext cx="4572000" cy="6515100"/>
                        </a:xfrm>
                        <a:prstGeom prst="rect">
                          <a:avLst/>
                        </a:prstGeom>
                        <a:solidFill>
                          <a:srgbClr val="FAC09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99B3A7" w14:textId="77777777" w:rsidR="00564169" w:rsidRDefault="00564169" w:rsidP="0061546E">
                            <w:pPr>
                              <w:pStyle w:val="TextBoxHeading"/>
                            </w:pPr>
                            <w:r>
                              <w:t xml:space="preserve">TVET for Tourism – continuing success and expansion </w:t>
                            </w:r>
                          </w:p>
                          <w:p w14:paraId="7E8DD419" w14:textId="77777777" w:rsidR="00564169" w:rsidRDefault="00564169" w:rsidP="0061546E">
                            <w:pPr>
                              <w:pStyle w:val="TableText"/>
                            </w:pPr>
                            <w:r>
                              <w:t xml:space="preserve">The TVET for Tourism program continued to achieve important successes in 2014, and to further develop its own approach to skills development and business support in the tourism sector. It expanded into Torba Province with the opening of the Torba TVET Centre, commenced a second year of capacity building support to the Department of Tourism and the Vanuatu Tourism Office, and expanded its stable of industry coaches including, for the first time, several ni-Vanuatu coaches and trainers. </w:t>
                            </w:r>
                          </w:p>
                          <w:p w14:paraId="220EB965" w14:textId="77777777" w:rsidR="00564169" w:rsidRDefault="00564169" w:rsidP="0061546E">
                            <w:pPr>
                              <w:pStyle w:val="TableText"/>
                            </w:pPr>
                            <w:r>
                              <w:t xml:space="preserve">The program has now grown to support 106 client businesses (up from 67 in 2013 and 11 at its commencement in 2010), with a subsequent flow-on benefit for many people: </w:t>
                            </w:r>
                          </w:p>
                          <w:p w14:paraId="29EB2A57" w14:textId="77777777" w:rsidR="00564169" w:rsidRDefault="00564169" w:rsidP="0061546E">
                            <w:pPr>
                              <w:pStyle w:val="TableText"/>
                              <w:jc w:val="center"/>
                            </w:pPr>
                            <w:r w:rsidRPr="00476847">
                              <w:rPr>
                                <w:noProof/>
                                <w:lang w:val="en-GB" w:eastAsia="en-GB"/>
                              </w:rPr>
                              <w:drawing>
                                <wp:inline distT="0" distB="0" distL="0" distR="0" wp14:anchorId="4FE94FB3" wp14:editId="44A35D05">
                                  <wp:extent cx="1732334" cy="168552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2389" cy="1685573"/>
                                          </a:xfrm>
                                          <a:prstGeom prst="rect">
                                            <a:avLst/>
                                          </a:prstGeom>
                                          <a:noFill/>
                                          <a:ln>
                                            <a:noFill/>
                                          </a:ln>
                                        </pic:spPr>
                                      </pic:pic>
                                    </a:graphicData>
                                  </a:graphic>
                                </wp:inline>
                              </w:drawing>
                            </w:r>
                          </w:p>
                          <w:p w14:paraId="3DC40C7E" w14:textId="77777777" w:rsidR="00564169" w:rsidRDefault="00564169" w:rsidP="0061546E">
                            <w:pPr>
                              <w:pStyle w:val="TableText"/>
                            </w:pPr>
                            <w:r>
                              <w:t xml:space="preserve">TVET for Tourism client businesses are continuing to demonstrate growth and development across several indicators: </w:t>
                            </w:r>
                          </w:p>
                          <w:p w14:paraId="25202327" w14:textId="77777777" w:rsidR="00564169" w:rsidRDefault="00564169" w:rsidP="0061546E">
                            <w:pPr>
                              <w:pStyle w:val="Boxbullet"/>
                            </w:pPr>
                            <w:r>
                              <w:t xml:space="preserve">Twenty client businesses now hold business registration, the first step in becoming official businesses and entering the formal economy </w:t>
                            </w:r>
                          </w:p>
                          <w:p w14:paraId="5CF15FCA" w14:textId="77777777" w:rsidR="00564169" w:rsidRDefault="00564169" w:rsidP="0061546E">
                            <w:pPr>
                              <w:pStyle w:val="Boxbullet"/>
                            </w:pPr>
                            <w:r>
                              <w:t>Sixty-one client businesses now meet Department of Tourism quality standards, which will become mandatory in 2016</w:t>
                            </w:r>
                          </w:p>
                          <w:p w14:paraId="32F4B34E" w14:textId="5D959A3A" w:rsidR="00564169" w:rsidRDefault="00564169" w:rsidP="0061546E">
                            <w:pPr>
                              <w:pStyle w:val="TableText"/>
                            </w:pPr>
                            <w:r>
                              <w:t xml:space="preserve">The valuable cruise ship industry is now also recognising the improvements in ni-Vanuatu tourism businesses. Nine TVET for Tourism clients in Sanma have now secured agreements with Carnival Cruises which sees their products sold on board ships. And Carnival is negotiating a formal agreement with the Program to support further such developments. The significance of this for ni-Vanuatu tourism operators in Sanma is great. </w:t>
                            </w:r>
                          </w:p>
                          <w:p w14:paraId="708F98E4" w14:textId="77777777" w:rsidR="00564169" w:rsidRDefault="00564169" w:rsidP="0061546E">
                            <w:pPr>
                              <w:pStyle w:val="TableText"/>
                            </w:pPr>
                            <w:r>
                              <w:t xml:space="preserve">In 2015 the TVET for Tourism Program will stabilise. Continued expansion at the rate seen over 2013 and 2014 is not sustainable, nor is it likely to be needed as much of the indigenous tourism sector in Program provinces are already involved.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033" type="#_x0000_t202" style="width:5in;height:51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ubwuUCAAA/BgAADgAAAGRycy9lMm9Eb2MueG1srFRLb9swDL4P2H8QdE9tF07bGHUKN4WHAUVX&#10;rB16VmQpMabXJCVxNuy/j5LtNO12WIddbEp8iPw+kpdXnRRoy6xrtSpxdpJixBTVTatWJf7yWE8u&#10;MHKeqIYIrViJ98zhq/n7d5c7U7BTvdaiYRZBEOWKnSnx2ntTJImjayaJO9GGKVBybSXxcLSrpLFk&#10;B9GlSE7T9CzZadsYqylzDm5veiWex/icM+o/ce6YR6LEkJuPXxu/y/BN5pekWFli1i0d0iD/kIUk&#10;rYJHD6FuiCdoY9vfQsmWWu009ydUy0Rz3lIWa4BqsvRVNQ9rYlisBcBx5gCT+39h6d323qK2KfEM&#10;I0UkUPTIOo+udYdmAZ2dcQUYPRgw8x1cA8vjvYPLUHTHrQx/KAeBHnDeH7ANwShc5tNz4AtUFHRn&#10;02yawQHiJ8/uxjr/gWmJglBiC+RFTMn21vnedDQJrzkt2qZuhYgHu1ouhEVbAkTX1SKdjdFfmAkV&#10;jJUObn3E/obFVumfIQXkDGKwDNlHGn8sIP/qfDqbnFXTbJJn6cWkqtLTyU1dpVWa14tZfv0T0pUk&#10;y4sdNJSBdgxQAmS1IKuBvKD+O/YkoS96PcuS2GV92hA4YjemmgSeej6i5PeChQKE+sw48BtpiUCF&#10;yWIHqAilTPnIKDARrYMVB3ze4jjYR8gilG9x7sEHj/iyVv7gLFulbeyBuBCe026+jinz3h7AOKo7&#10;iL5bdrGxz8d2XepmD11sdb8FnKF1C512S5y/JxbGHroTVpn/BB8u9K7EepAwWmv7/U/3wR74BC1G&#10;gfUSu28bYhlG4qOCOZ1leR72TjzEGcDIHmuWxxq1kQsNDZzB0jQ0iuBsvRhFbrV8go1XhVdBRRSF&#10;t0vsR3Hh++UGG5OyqopGsGkM8bfqwdAQOqAc5uixeyLWDMPmoZHu9LhwSPFq5nrb4Kl0tfGat3Eg&#10;A849qgP+sKViWw4bNazB43O0et77818AAAD//wMAUEsDBBQABgAIAAAAIQAfZ+Tb3AAAAAYBAAAP&#10;AAAAZHJzL2Rvd25yZXYueG1sTI9BSwMxEIXvgv8hjNCbTdpKretmixSKFwVtvXhLN+Pu0s1kSbJt&#10;+u8dvehlYHiP975XrrPrxQlD7DxpmE0VCKTa244aDR/77e0KREyGrOk9oYYLRlhX11elKaw/0zue&#10;dqkRHEKxMBralIZCyli36Eyc+gGJtS8fnEn8hkbaYM4c7no5V2opnemIG1oz4KbF+rgbnYZP2s72&#10;cpXD3fFtzJeXxcOz3LxqPbnJT48gEub0Z4YffEaHipkOfiQbRa+Bh6Tfy9o9V4E4sEnNlwpkVcr/&#10;+NU3AAAA//8DAFBLAQItABQABgAIAAAAIQDkmcPA+wAAAOEBAAATAAAAAAAAAAAAAAAAAAAAAABb&#10;Q29udGVudF9UeXBlc10ueG1sUEsBAi0AFAAGAAgAAAAhACOyauHXAAAAlAEAAAsAAAAAAAAAAAAA&#10;AAAALAEAAF9yZWxzLy5yZWxzUEsBAi0AFAAGAAgAAAAhAHurm8LlAgAAPwYAAA4AAAAAAAAAAAAA&#10;AAAALAIAAGRycy9lMm9Eb2MueG1sUEsBAi0AFAAGAAgAAAAhAB9n5NvcAAAABgEAAA8AAAAAAAAA&#10;AAAAAAAAPQUAAGRycy9kb3ducmV2LnhtbFBLBQYAAAAABAAEAPMAAABGBgAAAAA=&#10;" fillcolor="#fac090" stroked="f">
                <v:textbox>
                  <w:txbxContent>
                    <w:p w14:paraId="1799B3A7" w14:textId="77777777" w:rsidR="00564169" w:rsidRDefault="00564169" w:rsidP="0061546E">
                      <w:pPr>
                        <w:pStyle w:val="TextBoxHeading"/>
                      </w:pPr>
                      <w:r>
                        <w:t xml:space="preserve">TVET for Tourism – continuing success and expansion </w:t>
                      </w:r>
                    </w:p>
                    <w:p w14:paraId="7E8DD419" w14:textId="77777777" w:rsidR="00564169" w:rsidRDefault="00564169" w:rsidP="0061546E">
                      <w:pPr>
                        <w:pStyle w:val="TableText"/>
                      </w:pPr>
                      <w:r>
                        <w:t xml:space="preserve">The TVET for Tourism program continued to achieve important successes in 2014, and to further develop its own approach to skills development and business support in the tourism sector. It expanded into Torba Province with the opening of the Torba TVET Centre, commenced a second year of capacity building support to the Department of Tourism and the Vanuatu Tourism Office, and expanded its stable of industry coaches including, for the first time, several ni-Vanuatu coaches and trainers. </w:t>
                      </w:r>
                    </w:p>
                    <w:p w14:paraId="220EB965" w14:textId="77777777" w:rsidR="00564169" w:rsidRDefault="00564169" w:rsidP="0061546E">
                      <w:pPr>
                        <w:pStyle w:val="TableText"/>
                      </w:pPr>
                      <w:r>
                        <w:t xml:space="preserve">The program has now grown to support 106 client businesses (up from 67 in 2013 and 11 at its commencement in 2010), with a subsequent flow-on benefit for many people: </w:t>
                      </w:r>
                    </w:p>
                    <w:p w14:paraId="29EB2A57" w14:textId="77777777" w:rsidR="00564169" w:rsidRDefault="00564169" w:rsidP="0061546E">
                      <w:pPr>
                        <w:pStyle w:val="TableText"/>
                        <w:jc w:val="center"/>
                      </w:pPr>
                      <w:r w:rsidRPr="00476847">
                        <w:rPr>
                          <w:noProof/>
                          <w:lang w:val="en-US"/>
                        </w:rPr>
                        <w:drawing>
                          <wp:inline distT="0" distB="0" distL="0" distR="0" wp14:anchorId="4FE94FB3" wp14:editId="44A35D05">
                            <wp:extent cx="1732334" cy="168552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2389" cy="1685573"/>
                                    </a:xfrm>
                                    <a:prstGeom prst="rect">
                                      <a:avLst/>
                                    </a:prstGeom>
                                    <a:noFill/>
                                    <a:ln>
                                      <a:noFill/>
                                    </a:ln>
                                  </pic:spPr>
                                </pic:pic>
                              </a:graphicData>
                            </a:graphic>
                          </wp:inline>
                        </w:drawing>
                      </w:r>
                    </w:p>
                    <w:p w14:paraId="3DC40C7E" w14:textId="77777777" w:rsidR="00564169" w:rsidRDefault="00564169" w:rsidP="0061546E">
                      <w:pPr>
                        <w:pStyle w:val="TableText"/>
                      </w:pPr>
                      <w:r>
                        <w:t xml:space="preserve">TVET for Tourism client businesses are continuing to demonstrate growth and development across several indicators: </w:t>
                      </w:r>
                    </w:p>
                    <w:p w14:paraId="25202327" w14:textId="77777777" w:rsidR="00564169" w:rsidRDefault="00564169" w:rsidP="0061546E">
                      <w:pPr>
                        <w:pStyle w:val="Boxbullet"/>
                      </w:pPr>
                      <w:r>
                        <w:t xml:space="preserve">Twenty client businesses now hold business registration, the first step in becoming official businesses and entering the formal economy </w:t>
                      </w:r>
                    </w:p>
                    <w:p w14:paraId="5CF15FCA" w14:textId="77777777" w:rsidR="00564169" w:rsidRDefault="00564169" w:rsidP="0061546E">
                      <w:pPr>
                        <w:pStyle w:val="Boxbullet"/>
                      </w:pPr>
                      <w:r>
                        <w:t>Sixty-one client businesses now meet Department of Tourism quality standards, which will become mandatory in 2016</w:t>
                      </w:r>
                    </w:p>
                    <w:p w14:paraId="32F4B34E" w14:textId="5D959A3A" w:rsidR="00564169" w:rsidRDefault="00564169" w:rsidP="0061546E">
                      <w:pPr>
                        <w:pStyle w:val="TableText"/>
                      </w:pPr>
                      <w:r>
                        <w:t xml:space="preserve">The valuable cruise ship industry is now also recognising the improvements in ni-Vanuatu tourism businesses. Nine TVET for Tourism clients in Sanma have now secured agreements with Carnival Cruises which sees their products sold on board ships. And Carnival is negotiating a formal agreement with the Program to support further such developments. The significance of this for ni-Vanuatu tourism operators in Sanma is great. </w:t>
                      </w:r>
                    </w:p>
                    <w:p w14:paraId="708F98E4" w14:textId="77777777" w:rsidR="00564169" w:rsidRDefault="00564169" w:rsidP="0061546E">
                      <w:pPr>
                        <w:pStyle w:val="TableText"/>
                      </w:pPr>
                      <w:r>
                        <w:t xml:space="preserve">In 2015 the TVET for Tourism Program will stabilise. Continued expansion at the rate seen over 2013 and 2014 is not sustainable, nor is it likely to be needed as much of the indigenous tourism sector in Program provinces are already involved. </w:t>
                      </w:r>
                    </w:p>
                  </w:txbxContent>
                </v:textbox>
                <w10:anchorlock/>
              </v:shape>
            </w:pict>
          </mc:Fallback>
        </mc:AlternateContent>
      </w:r>
    </w:p>
    <w:p w14:paraId="731621E0" w14:textId="77777777" w:rsidR="00507793" w:rsidRDefault="00507793">
      <w:pPr>
        <w:suppressAutoHyphens w:val="0"/>
        <w:spacing w:before="0" w:after="0"/>
        <w:rPr>
          <w:rFonts w:ascii="Calibri" w:eastAsia="MS Gothic" w:hAnsi="Calibri"/>
          <w:bCs/>
          <w:i/>
          <w:noProof/>
          <w:color w:val="FF6600"/>
          <w:sz w:val="22"/>
          <w:szCs w:val="20"/>
          <w:lang w:val="en-US"/>
        </w:rPr>
      </w:pPr>
      <w:r>
        <w:rPr>
          <w:noProof/>
          <w:lang w:val="en-US"/>
        </w:rPr>
        <w:br w:type="page"/>
      </w:r>
    </w:p>
    <w:p w14:paraId="65C6906E" w14:textId="17ECD0E2" w:rsidR="009C385E" w:rsidRDefault="002B09EF" w:rsidP="009C385E">
      <w:pPr>
        <w:pStyle w:val="Heading3"/>
      </w:pPr>
      <w:r>
        <w:rPr>
          <w:noProof/>
          <w:lang w:val="en-GB" w:eastAsia="en-GB"/>
        </w:rPr>
        <w:lastRenderedPageBreak/>
        <mc:AlternateContent>
          <mc:Choice Requires="wps">
            <w:drawing>
              <wp:anchor distT="0" distB="0" distL="114300" distR="114300" simplePos="0" relativeHeight="251659776" behindDoc="0" locked="0" layoutInCell="1" allowOverlap="1" wp14:anchorId="0C3F10C6" wp14:editId="0CECC04B">
                <wp:simplePos x="0" y="0"/>
                <wp:positionH relativeFrom="column">
                  <wp:posOffset>3886200</wp:posOffset>
                </wp:positionH>
                <wp:positionV relativeFrom="paragraph">
                  <wp:posOffset>283210</wp:posOffset>
                </wp:positionV>
                <wp:extent cx="1714500" cy="2840990"/>
                <wp:effectExtent l="0" t="0" r="12700" b="3810"/>
                <wp:wrapThrough wrapText="bothSides">
                  <wp:wrapPolygon edited="0">
                    <wp:start x="0" y="0"/>
                    <wp:lineTo x="0" y="21436"/>
                    <wp:lineTo x="21440" y="21436"/>
                    <wp:lineTo x="21440" y="0"/>
                    <wp:lineTo x="0" y="0"/>
                  </wp:wrapPolygon>
                </wp:wrapThrough>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840990"/>
                        </a:xfrm>
                        <a:prstGeom prst="rect">
                          <a:avLst/>
                        </a:prstGeom>
                        <a:solidFill>
                          <a:srgbClr val="D7E4BD"/>
                        </a:solidFill>
                        <a:ln>
                          <a:noFill/>
                        </a:ln>
                        <a:extLst/>
                      </wps:spPr>
                      <wps:txbx>
                        <w:txbxContent>
                          <w:p w14:paraId="2C13E4BF" w14:textId="77777777" w:rsidR="00564169" w:rsidRPr="00B17BB1" w:rsidRDefault="00564169" w:rsidP="002B7CF3">
                            <w:pPr>
                              <w:pStyle w:val="TextBoxHeading"/>
                            </w:pPr>
                            <w:r w:rsidRPr="00B17BB1">
                              <w:t>Relevant MEF Indicators</w:t>
                            </w:r>
                          </w:p>
                          <w:p w14:paraId="123B473C" w14:textId="77777777" w:rsidR="00564169" w:rsidRDefault="00564169" w:rsidP="002B7CF3">
                            <w:pPr>
                              <w:pStyle w:val="TableText"/>
                            </w:pPr>
                            <w:r>
                              <w:t># AT trainees (3.2)</w:t>
                            </w:r>
                          </w:p>
                          <w:p w14:paraId="07288618" w14:textId="77777777" w:rsidR="00564169" w:rsidRDefault="00564169" w:rsidP="002B7CF3">
                            <w:pPr>
                              <w:pStyle w:val="TableText"/>
                            </w:pPr>
                            <w:r>
                              <w:t># trainees that receive certificates (i.e. attain competency/ complete) (3.3)</w:t>
                            </w:r>
                          </w:p>
                          <w:p w14:paraId="38ACEA29" w14:textId="77777777" w:rsidR="00564169" w:rsidRDefault="00564169" w:rsidP="002B7CF3">
                            <w:pPr>
                              <w:pStyle w:val="TableText"/>
                            </w:pPr>
                            <w:r>
                              <w:t># BDS clients (3.7)</w:t>
                            </w:r>
                          </w:p>
                          <w:p w14:paraId="5C9FFD83" w14:textId="77777777" w:rsidR="00564169" w:rsidRDefault="00564169" w:rsidP="002B7CF3">
                            <w:pPr>
                              <w:pStyle w:val="TextBoxHeading"/>
                            </w:pPr>
                            <w:r>
                              <w:t>Program Logic Reference</w:t>
                            </w:r>
                          </w:p>
                          <w:p w14:paraId="00CD6389" w14:textId="77777777" w:rsidR="00564169" w:rsidRDefault="00564169" w:rsidP="002B7CF3">
                            <w:pPr>
                              <w:pStyle w:val="TableText"/>
                            </w:pPr>
                            <w:r>
                              <w:t>“Increased (equitable) access to good quality, relevant AT”</w:t>
                            </w:r>
                          </w:p>
                          <w:p w14:paraId="6270232F" w14:textId="77777777" w:rsidR="00564169" w:rsidRDefault="00564169" w:rsidP="002B7CF3">
                            <w:pPr>
                              <w:pStyle w:val="TableText"/>
                            </w:pPr>
                            <w:r>
                              <w:t>“Increased (equitable) access to BDS services”</w:t>
                            </w:r>
                          </w:p>
                          <w:p w14:paraId="0302A68F" w14:textId="77777777" w:rsidR="00564169" w:rsidRDefault="00564169" w:rsidP="002B7CF3">
                            <w:pPr>
                              <w:pStyle w:val="TableText"/>
                            </w:pPr>
                            <w:r>
                              <w:t>“Participants receive formal certification of competency”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306pt;margin-top:22.3pt;width:135pt;height:223.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1BbAwCAAAEBAAADgAAAGRycy9lMm9Eb2MueG1srFPBjtMwEL0j8Q+W7zRJVeg2arrabVmEtCxI&#10;u3yA4ziJReIxY7dJ+XrGTluq5Ya4WB57/Oa9N+P17dh37KDQaTAFz2YpZ8pIqLRpCv795eHdDWfO&#10;C1OJDowq+FE5frt5+2Y92FzNoYWuUsgIxLh8sAVvvbd5kjjZql64GVhl6LIG7IWnEJukQjEQet8l&#10;8zT9kAyAlUWQyjk63U2XfBPx61pJ/7WunfKsKzhx83HFuJZhTTZrkTcobKvliYb4Bxa90IaKXqB2&#10;wgu2R/0XVK8lgoPazyT0CdS1lipqIDVZ+krNcyusilrIHGcvNrn/ByufDt+Q6Yp6N+fMiJ569KJG&#10;z+5hZNky+DNYl1Pas6VEP9I55Uatzj6C/OGYgW0rTKPuEGFolaiIXxZeJldPJxwXQMrhC1RUR+w9&#10;RKCxxj6YR3YwQqc+HS+9CVxkKLnMFu9TupJ0N79ZpKtV7F4i8vNzi85/UtCzsCk4UvMjvDg8Oh/o&#10;iPycEqo56HT1oLsuBtiU2w7ZQdCg7JYfF/e7qOBVWmdCsoHwbEKcTojlqUaQHFROev1YjtHdm7OT&#10;JVRH8gBhGkX6OrRpAX9xNtAYFtz93AtUnHWfDfm4yhaLMLfXAV4H5XUgjCSognvOpu3WT7O+t6ib&#10;lipNnTNwR97XOroSGE+sTh2jUYtmnb5FmOXrOGb9+byb3wAAAP//AwBQSwMEFAAGAAgAAAAhAOKS&#10;ySnfAAAACgEAAA8AAABkcnMvZG93bnJldi54bWxMj0FPhDAQhe8m/odmTLy5BSQEkbIxGuMeVqPr&#10;Jl4HWgGlU0LLLv57Z096m3nz8uZ75XqxgziYyfeOFMSrCIShxumeWgX798erHIQPSBoHR0bBj/Gw&#10;rs7PSiy0O9KbOexCKziEfIEKuhDGQkrfdMaiX7nREN8+3WQx8Dq1Uk945HA7yCSKMmmxJ/7Q4Wju&#10;O9N872arILNfW/zYvDzV1/tk+zy/pvFDs1Hq8mK5uwURzBL+zHDCZ3SomKl2M2kvBs6IE+4SFKRp&#10;BoINeX4SahZueJBVKf9XqH4BAAD//wMAUEsBAi0AFAAGAAgAAAAhAOSZw8D7AAAA4QEAABMAAAAA&#10;AAAAAAAAAAAAAAAAAFtDb250ZW50X1R5cGVzXS54bWxQSwECLQAUAAYACAAAACEAI7Jq4dcAAACU&#10;AQAACwAAAAAAAAAAAAAAAAAsAQAAX3JlbHMvLnJlbHNQSwECLQAUAAYACAAAACEANv1BbAwCAAAE&#10;BAAADgAAAAAAAAAAAAAAAAAsAgAAZHJzL2Uyb0RvYy54bWxQSwECLQAUAAYACAAAACEA4pLJKd8A&#10;AAAKAQAADwAAAAAAAAAAAAAAAABkBAAAZHJzL2Rvd25yZXYueG1sUEsFBgAAAAAEAAQA8wAAAHAF&#10;AAAAAA==&#10;" fillcolor="#d7e4bd" stroked="f">
                <v:textbox inset=",7.2pt,,7.2pt">
                  <w:txbxContent>
                    <w:p w14:paraId="2C13E4BF" w14:textId="77777777" w:rsidR="00564169" w:rsidRPr="00B17BB1" w:rsidRDefault="00564169" w:rsidP="002B7CF3">
                      <w:pPr>
                        <w:pStyle w:val="TextBoxHeading"/>
                      </w:pPr>
                      <w:r w:rsidRPr="00B17BB1">
                        <w:t>Relevant MEF Indicators</w:t>
                      </w:r>
                    </w:p>
                    <w:p w14:paraId="123B473C" w14:textId="77777777" w:rsidR="00564169" w:rsidRDefault="00564169" w:rsidP="002B7CF3">
                      <w:pPr>
                        <w:pStyle w:val="TableText"/>
                      </w:pPr>
                      <w:r>
                        <w:t># AT trainees (3.2)</w:t>
                      </w:r>
                    </w:p>
                    <w:p w14:paraId="07288618" w14:textId="77777777" w:rsidR="00564169" w:rsidRDefault="00564169" w:rsidP="002B7CF3">
                      <w:pPr>
                        <w:pStyle w:val="TableText"/>
                      </w:pPr>
                      <w:r>
                        <w:t xml:space="preserve"># </w:t>
                      </w:r>
                      <w:proofErr w:type="gramStart"/>
                      <w:r>
                        <w:t>trainees</w:t>
                      </w:r>
                      <w:proofErr w:type="gramEnd"/>
                      <w:r>
                        <w:t xml:space="preserve"> that receive certificates (i.e. attain competency/ complete) (3.3)</w:t>
                      </w:r>
                    </w:p>
                    <w:p w14:paraId="38ACEA29" w14:textId="77777777" w:rsidR="00564169" w:rsidRDefault="00564169" w:rsidP="002B7CF3">
                      <w:pPr>
                        <w:pStyle w:val="TableText"/>
                      </w:pPr>
                      <w:r>
                        <w:t># BDS clients (3.7)</w:t>
                      </w:r>
                    </w:p>
                    <w:p w14:paraId="5C9FFD83" w14:textId="77777777" w:rsidR="00564169" w:rsidRDefault="00564169" w:rsidP="002B7CF3">
                      <w:pPr>
                        <w:pStyle w:val="TextBoxHeading"/>
                      </w:pPr>
                      <w:r>
                        <w:t>Program Logic Reference</w:t>
                      </w:r>
                    </w:p>
                    <w:p w14:paraId="00CD6389" w14:textId="77777777" w:rsidR="00564169" w:rsidRDefault="00564169" w:rsidP="002B7CF3">
                      <w:pPr>
                        <w:pStyle w:val="TableText"/>
                      </w:pPr>
                      <w:r>
                        <w:t>“Increased (equitable) access to good quality, relevant AT”</w:t>
                      </w:r>
                    </w:p>
                    <w:p w14:paraId="6270232F" w14:textId="77777777" w:rsidR="00564169" w:rsidRDefault="00564169" w:rsidP="002B7CF3">
                      <w:pPr>
                        <w:pStyle w:val="TableText"/>
                      </w:pPr>
                      <w:r>
                        <w:t>“Increased (equitable) access to BDS services”</w:t>
                      </w:r>
                    </w:p>
                    <w:p w14:paraId="0302A68F" w14:textId="77777777" w:rsidR="00564169" w:rsidRDefault="00564169" w:rsidP="002B7CF3">
                      <w:pPr>
                        <w:pStyle w:val="TableText"/>
                      </w:pPr>
                      <w:r>
                        <w:t>“Participants receive formal certification of competency”</w:t>
                      </w:r>
                    </w:p>
                  </w:txbxContent>
                </v:textbox>
                <w10:wrap type="through"/>
              </v:shape>
            </w:pict>
          </mc:Fallback>
        </mc:AlternateContent>
      </w:r>
      <w:r w:rsidR="009C385E">
        <w:rPr>
          <w:noProof/>
          <w:lang w:val="en-US"/>
        </w:rPr>
        <w:t>TVET Centre</w:t>
      </w:r>
      <w:r w:rsidR="009C385E">
        <w:t xml:space="preserve"> Participants </w:t>
      </w:r>
    </w:p>
    <w:p w14:paraId="0D9FCA12" w14:textId="3EE96928" w:rsidR="0035653C" w:rsidRDefault="0035653C" w:rsidP="009C385E">
      <w:r>
        <w:t>The program collects baseline data from participants</w:t>
      </w:r>
      <w:r w:rsidR="004174D8">
        <w:t xml:space="preserve"> in </w:t>
      </w:r>
      <w:r w:rsidR="009463E7">
        <w:t xml:space="preserve">all </w:t>
      </w:r>
      <w:r w:rsidR="004174D8">
        <w:t>skills development activities</w:t>
      </w:r>
      <w:r>
        <w:t xml:space="preserve">, enabling analysis of access and participation </w:t>
      </w:r>
      <w:r w:rsidR="009463E7">
        <w:t>rates</w:t>
      </w:r>
      <w:r>
        <w:t xml:space="preserve"> as well as providing a basis for subsequent outcomes evaluation work. </w:t>
      </w:r>
      <w:r w:rsidR="004174D8">
        <w:t xml:space="preserve">The tool and processes for baseline data collected continued to be refined over 2014, enabling improved </w:t>
      </w:r>
      <w:r w:rsidR="009463E7">
        <w:t xml:space="preserve">data collection, management and </w:t>
      </w:r>
      <w:r w:rsidR="004174D8">
        <w:t xml:space="preserve">analysis. </w:t>
      </w:r>
    </w:p>
    <w:p w14:paraId="4617BC8D" w14:textId="1BDE1C5B" w:rsidR="00A42E6D" w:rsidRDefault="0035653C" w:rsidP="009C385E">
      <w:r>
        <w:t xml:space="preserve">Over the course of </w:t>
      </w:r>
      <w:r w:rsidR="004174D8">
        <w:t>2014</w:t>
      </w:r>
      <w:r w:rsidR="009463E7">
        <w:t>,</w:t>
      </w:r>
      <w:r w:rsidR="004174D8">
        <w:t xml:space="preserve"> </w:t>
      </w:r>
      <w:r w:rsidR="009463E7">
        <w:t>1062 men and women participated in TVET Centre skills development activities.</w:t>
      </w:r>
      <w:r w:rsidR="004174D8">
        <w:t xml:space="preserve"> This compares to </w:t>
      </w:r>
      <w:r>
        <w:t xml:space="preserve">a total of 852 men and women </w:t>
      </w:r>
      <w:r w:rsidR="004174D8">
        <w:t>in 201</w:t>
      </w:r>
      <w:r w:rsidR="009F4C63">
        <w:t>3</w:t>
      </w:r>
      <w:r>
        <w:t xml:space="preserve"> </w:t>
      </w:r>
    </w:p>
    <w:p w14:paraId="142E6CCE" w14:textId="255FD25F" w:rsidR="00AD5D5A" w:rsidRDefault="00AD5D5A" w:rsidP="009C385E">
      <w:r>
        <w:t xml:space="preserve">The suspension of accredited training for the first half of 2014 appears to have had an impact on some aspects of participation. Because accredited training tends to support younger participants, and is provided much more in some sectors than others (in trades and services, for example, and not in tourism), there have been shifts in the age profile of participants and in the sectoral mix of activities. This is documented below. </w:t>
      </w:r>
    </w:p>
    <w:p w14:paraId="17A946EA" w14:textId="77777777" w:rsidR="00A42E6D" w:rsidRDefault="00A42E6D" w:rsidP="00A42E6D">
      <w:pPr>
        <w:pStyle w:val="Heading4"/>
      </w:pPr>
      <w:r>
        <w:t>Gender</w:t>
      </w:r>
    </w:p>
    <w:p w14:paraId="2D6D39C4" w14:textId="2143461D" w:rsidR="00732A7A" w:rsidRDefault="00064D5F" w:rsidP="009C385E">
      <w:r>
        <w:t xml:space="preserve">Women’s economic empowerment is a high priority in Australia’s aid program, and the participation of women in skills development activities is a central aspect of achieving that in Vanuatu. </w:t>
      </w:r>
      <w:r w:rsidR="00924CC5">
        <w:t>I</w:t>
      </w:r>
      <w:r w:rsidR="00732A7A">
        <w:t>n</w:t>
      </w:r>
      <w:r w:rsidR="00924CC5">
        <w:t xml:space="preserve"> response to the lower-than-expected women’s participation in 2013 (28%), TVET Centres and P</w:t>
      </w:r>
      <w:r w:rsidR="004041DA">
        <w:t>G</w:t>
      </w:r>
      <w:r w:rsidR="00924CC5">
        <w:t xml:space="preserve">TBs made considerable progress in gender equality in skills development. </w:t>
      </w:r>
      <w:r w:rsidR="009C385E">
        <w:t xml:space="preserve"> </w:t>
      </w:r>
      <w:r w:rsidR="00FD654C">
        <w:t xml:space="preserve">This has paid dramatic dividends in women’s participation in skills development </w:t>
      </w:r>
      <w:r w:rsidR="00732A7A">
        <w:t xml:space="preserve">activities </w:t>
      </w:r>
      <w:r w:rsidR="00FD654C">
        <w:t xml:space="preserve">in 2014, </w:t>
      </w:r>
      <w:r w:rsidR="00732A7A">
        <w:t xml:space="preserve">with women </w:t>
      </w:r>
      <w:r w:rsidR="00FD654C">
        <w:t xml:space="preserve">now representing 48% of participants. </w:t>
      </w:r>
      <w:r w:rsidR="00EC4368">
        <w:t xml:space="preserve">This is close to equitable participation, and represents a considerable achievement. </w:t>
      </w:r>
    </w:p>
    <w:p w14:paraId="5B9754A7" w14:textId="0CAF783A" w:rsidR="00611053" w:rsidRDefault="00CF4FFE" w:rsidP="00611053">
      <w:pPr>
        <w:pStyle w:val="Caption"/>
      </w:pPr>
      <w:r>
        <w:t xml:space="preserve">Table </w:t>
      </w:r>
      <w:r w:rsidR="00CB348F">
        <w:t>2</w:t>
      </w:r>
      <w:r w:rsidR="00611053">
        <w:t>: TVET</w:t>
      </w:r>
      <w:r w:rsidR="00924CC5">
        <w:t xml:space="preserve"> Participants by Gender (2014</w:t>
      </w:r>
      <w:r w:rsidR="00611053">
        <w:t>)</w:t>
      </w:r>
    </w:p>
    <w:tbl>
      <w:tblPr>
        <w:tblW w:w="7260" w:type="dxa"/>
        <w:jc w:val="center"/>
        <w:tblLook w:val="04A0" w:firstRow="1" w:lastRow="0" w:firstColumn="1" w:lastColumn="0" w:noHBand="0" w:noVBand="1"/>
      </w:tblPr>
      <w:tblGrid>
        <w:gridCol w:w="2060"/>
        <w:gridCol w:w="1300"/>
        <w:gridCol w:w="1300"/>
        <w:gridCol w:w="1300"/>
        <w:gridCol w:w="1300"/>
      </w:tblGrid>
      <w:tr w:rsidR="00732A7A" w:rsidRPr="00732A7A" w14:paraId="36136898" w14:textId="77777777" w:rsidTr="00732A7A">
        <w:trPr>
          <w:trHeight w:val="300"/>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3054B" w14:textId="77777777" w:rsidR="00732A7A" w:rsidRPr="00732A7A" w:rsidRDefault="00732A7A" w:rsidP="00732A7A">
            <w:pPr>
              <w:suppressAutoHyphens w:val="0"/>
              <w:spacing w:before="0" w:after="0"/>
              <w:rPr>
                <w:rFonts w:ascii="Calibri" w:eastAsia="Times New Roman" w:hAnsi="Calibri"/>
                <w:b/>
                <w:bCs/>
                <w:color w:val="000000"/>
                <w:sz w:val="20"/>
                <w:szCs w:val="20"/>
              </w:rPr>
            </w:pPr>
            <w:r w:rsidRPr="00732A7A">
              <w:rPr>
                <w:rFonts w:ascii="Calibri" w:eastAsia="Times New Roman" w:hAnsi="Calibri"/>
                <w:b/>
                <w:bCs/>
                <w:color w:val="000000"/>
                <w:sz w:val="20"/>
                <w:szCs w:val="2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29ED188" w14:textId="77777777" w:rsidR="00732A7A" w:rsidRPr="00732A7A" w:rsidRDefault="00732A7A" w:rsidP="00732A7A">
            <w:pPr>
              <w:suppressAutoHyphens w:val="0"/>
              <w:spacing w:before="0" w:after="0"/>
              <w:jc w:val="center"/>
              <w:rPr>
                <w:rFonts w:ascii="Calibri" w:eastAsia="Times New Roman" w:hAnsi="Calibri"/>
                <w:b/>
                <w:bCs/>
                <w:color w:val="000000"/>
                <w:sz w:val="20"/>
                <w:szCs w:val="20"/>
              </w:rPr>
            </w:pPr>
            <w:r w:rsidRPr="00732A7A">
              <w:rPr>
                <w:rFonts w:ascii="Calibri" w:eastAsia="Times New Roman" w:hAnsi="Calibri"/>
                <w:b/>
                <w:bCs/>
                <w:color w:val="000000"/>
                <w:sz w:val="20"/>
                <w:szCs w:val="20"/>
              </w:rPr>
              <w:t>% Sanma</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1D92C98" w14:textId="77777777" w:rsidR="00732A7A" w:rsidRPr="00732A7A" w:rsidRDefault="00732A7A" w:rsidP="00732A7A">
            <w:pPr>
              <w:suppressAutoHyphens w:val="0"/>
              <w:spacing w:before="0" w:after="0"/>
              <w:jc w:val="center"/>
              <w:rPr>
                <w:rFonts w:ascii="Calibri" w:eastAsia="Times New Roman" w:hAnsi="Calibri"/>
                <w:b/>
                <w:bCs/>
                <w:color w:val="000000"/>
                <w:sz w:val="20"/>
                <w:szCs w:val="20"/>
              </w:rPr>
            </w:pPr>
            <w:r w:rsidRPr="00732A7A">
              <w:rPr>
                <w:rFonts w:ascii="Calibri" w:eastAsia="Times New Roman" w:hAnsi="Calibri"/>
                <w:b/>
                <w:bCs/>
                <w:color w:val="000000"/>
                <w:sz w:val="20"/>
                <w:szCs w:val="20"/>
              </w:rPr>
              <w:t>% Malampa</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390830F" w14:textId="77777777" w:rsidR="00732A7A" w:rsidRPr="00732A7A" w:rsidRDefault="00732A7A" w:rsidP="00732A7A">
            <w:pPr>
              <w:suppressAutoHyphens w:val="0"/>
              <w:spacing w:before="0" w:after="0"/>
              <w:jc w:val="center"/>
              <w:rPr>
                <w:rFonts w:ascii="Calibri" w:eastAsia="Times New Roman" w:hAnsi="Calibri"/>
                <w:b/>
                <w:bCs/>
                <w:color w:val="000000"/>
                <w:sz w:val="20"/>
                <w:szCs w:val="20"/>
              </w:rPr>
            </w:pPr>
            <w:r w:rsidRPr="00732A7A">
              <w:rPr>
                <w:rFonts w:ascii="Calibri" w:eastAsia="Times New Roman" w:hAnsi="Calibri"/>
                <w:b/>
                <w:bCs/>
                <w:color w:val="000000"/>
                <w:sz w:val="20"/>
                <w:szCs w:val="20"/>
              </w:rPr>
              <w:t>% Torba</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A00A6FF" w14:textId="77777777" w:rsidR="00732A7A" w:rsidRPr="00732A7A" w:rsidRDefault="00732A7A" w:rsidP="00732A7A">
            <w:pPr>
              <w:suppressAutoHyphens w:val="0"/>
              <w:spacing w:before="0" w:after="0"/>
              <w:jc w:val="center"/>
              <w:rPr>
                <w:rFonts w:ascii="Calibri" w:eastAsia="Times New Roman" w:hAnsi="Calibri"/>
                <w:b/>
                <w:bCs/>
                <w:color w:val="000000"/>
                <w:sz w:val="20"/>
                <w:szCs w:val="20"/>
              </w:rPr>
            </w:pPr>
            <w:r w:rsidRPr="00732A7A">
              <w:rPr>
                <w:rFonts w:ascii="Calibri" w:eastAsia="Times New Roman" w:hAnsi="Calibri"/>
                <w:b/>
                <w:bCs/>
                <w:color w:val="000000"/>
                <w:sz w:val="20"/>
                <w:szCs w:val="20"/>
              </w:rPr>
              <w:t xml:space="preserve">% Total </w:t>
            </w:r>
          </w:p>
        </w:tc>
      </w:tr>
      <w:tr w:rsidR="00732A7A" w:rsidRPr="00732A7A" w14:paraId="65CDB702" w14:textId="77777777" w:rsidTr="00732A7A">
        <w:trPr>
          <w:trHeight w:val="300"/>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1A04E89" w14:textId="77777777" w:rsidR="00732A7A" w:rsidRPr="00732A7A" w:rsidRDefault="00732A7A" w:rsidP="00732A7A">
            <w:pPr>
              <w:suppressAutoHyphens w:val="0"/>
              <w:spacing w:before="0" w:after="0"/>
              <w:rPr>
                <w:rFonts w:ascii="Calibri" w:eastAsia="Times New Roman" w:hAnsi="Calibri"/>
                <w:color w:val="000000"/>
                <w:sz w:val="20"/>
                <w:szCs w:val="20"/>
              </w:rPr>
            </w:pPr>
            <w:r w:rsidRPr="00732A7A">
              <w:rPr>
                <w:rFonts w:ascii="Calibri" w:eastAsia="Times New Roman" w:hAnsi="Calibri"/>
                <w:color w:val="000000"/>
                <w:sz w:val="20"/>
                <w:szCs w:val="20"/>
              </w:rPr>
              <w:t>Male</w:t>
            </w:r>
          </w:p>
        </w:tc>
        <w:tc>
          <w:tcPr>
            <w:tcW w:w="1300" w:type="dxa"/>
            <w:tcBorders>
              <w:top w:val="nil"/>
              <w:left w:val="nil"/>
              <w:bottom w:val="single" w:sz="4" w:space="0" w:color="auto"/>
              <w:right w:val="single" w:sz="4" w:space="0" w:color="auto"/>
            </w:tcBorders>
            <w:shd w:val="clear" w:color="auto" w:fill="auto"/>
            <w:noWrap/>
            <w:vAlign w:val="bottom"/>
            <w:hideMark/>
          </w:tcPr>
          <w:p w14:paraId="1DF1A3E8" w14:textId="77777777" w:rsidR="00732A7A" w:rsidRPr="00732A7A" w:rsidRDefault="00732A7A" w:rsidP="00732A7A">
            <w:pPr>
              <w:suppressAutoHyphens w:val="0"/>
              <w:spacing w:before="0" w:after="0"/>
              <w:jc w:val="center"/>
              <w:rPr>
                <w:rFonts w:ascii="Calibri" w:eastAsia="Times New Roman" w:hAnsi="Calibri"/>
                <w:color w:val="000000"/>
                <w:sz w:val="20"/>
                <w:szCs w:val="20"/>
              </w:rPr>
            </w:pPr>
            <w:r w:rsidRPr="00732A7A">
              <w:rPr>
                <w:rFonts w:ascii="Calibri" w:eastAsia="Times New Roman" w:hAnsi="Calibri"/>
                <w:color w:val="000000"/>
                <w:sz w:val="20"/>
                <w:szCs w:val="20"/>
              </w:rPr>
              <w:t>57%</w:t>
            </w:r>
          </w:p>
        </w:tc>
        <w:tc>
          <w:tcPr>
            <w:tcW w:w="1300" w:type="dxa"/>
            <w:tcBorders>
              <w:top w:val="nil"/>
              <w:left w:val="nil"/>
              <w:bottom w:val="single" w:sz="4" w:space="0" w:color="auto"/>
              <w:right w:val="single" w:sz="4" w:space="0" w:color="auto"/>
            </w:tcBorders>
            <w:shd w:val="clear" w:color="auto" w:fill="auto"/>
            <w:noWrap/>
            <w:vAlign w:val="bottom"/>
            <w:hideMark/>
          </w:tcPr>
          <w:p w14:paraId="5A29AF5B" w14:textId="77777777" w:rsidR="00732A7A" w:rsidRPr="00732A7A" w:rsidRDefault="00732A7A" w:rsidP="00732A7A">
            <w:pPr>
              <w:suppressAutoHyphens w:val="0"/>
              <w:spacing w:before="0" w:after="0"/>
              <w:jc w:val="center"/>
              <w:rPr>
                <w:rFonts w:ascii="Calibri" w:eastAsia="Times New Roman" w:hAnsi="Calibri"/>
                <w:color w:val="000000"/>
                <w:sz w:val="20"/>
                <w:szCs w:val="20"/>
              </w:rPr>
            </w:pPr>
            <w:r w:rsidRPr="00732A7A">
              <w:rPr>
                <w:rFonts w:ascii="Calibri" w:eastAsia="Times New Roman" w:hAnsi="Calibri"/>
                <w:color w:val="000000"/>
                <w:sz w:val="20"/>
                <w:szCs w:val="20"/>
              </w:rPr>
              <w:t>37%</w:t>
            </w:r>
          </w:p>
        </w:tc>
        <w:tc>
          <w:tcPr>
            <w:tcW w:w="1300" w:type="dxa"/>
            <w:tcBorders>
              <w:top w:val="nil"/>
              <w:left w:val="nil"/>
              <w:bottom w:val="single" w:sz="4" w:space="0" w:color="auto"/>
              <w:right w:val="single" w:sz="4" w:space="0" w:color="auto"/>
            </w:tcBorders>
            <w:shd w:val="clear" w:color="auto" w:fill="auto"/>
            <w:noWrap/>
            <w:vAlign w:val="bottom"/>
            <w:hideMark/>
          </w:tcPr>
          <w:p w14:paraId="0C39191E" w14:textId="77777777" w:rsidR="00732A7A" w:rsidRPr="00732A7A" w:rsidRDefault="00732A7A" w:rsidP="00732A7A">
            <w:pPr>
              <w:suppressAutoHyphens w:val="0"/>
              <w:spacing w:before="0" w:after="0"/>
              <w:jc w:val="center"/>
              <w:rPr>
                <w:rFonts w:ascii="Calibri" w:eastAsia="Times New Roman" w:hAnsi="Calibri"/>
                <w:color w:val="000000"/>
                <w:sz w:val="20"/>
                <w:szCs w:val="20"/>
              </w:rPr>
            </w:pPr>
            <w:r w:rsidRPr="00732A7A">
              <w:rPr>
                <w:rFonts w:ascii="Calibri" w:eastAsia="Times New Roman" w:hAnsi="Calibri"/>
                <w:color w:val="000000"/>
                <w:sz w:val="20"/>
                <w:szCs w:val="20"/>
              </w:rPr>
              <w:t>59%</w:t>
            </w:r>
          </w:p>
        </w:tc>
        <w:tc>
          <w:tcPr>
            <w:tcW w:w="1300" w:type="dxa"/>
            <w:tcBorders>
              <w:top w:val="nil"/>
              <w:left w:val="nil"/>
              <w:bottom w:val="single" w:sz="4" w:space="0" w:color="auto"/>
              <w:right w:val="single" w:sz="4" w:space="0" w:color="auto"/>
            </w:tcBorders>
            <w:shd w:val="clear" w:color="auto" w:fill="auto"/>
            <w:noWrap/>
            <w:vAlign w:val="bottom"/>
            <w:hideMark/>
          </w:tcPr>
          <w:p w14:paraId="05854C53" w14:textId="77777777" w:rsidR="00732A7A" w:rsidRPr="00732A7A" w:rsidRDefault="00732A7A" w:rsidP="00732A7A">
            <w:pPr>
              <w:suppressAutoHyphens w:val="0"/>
              <w:spacing w:before="0" w:after="0"/>
              <w:jc w:val="center"/>
              <w:rPr>
                <w:rFonts w:ascii="Calibri" w:eastAsia="Times New Roman" w:hAnsi="Calibri"/>
                <w:color w:val="000000"/>
                <w:sz w:val="20"/>
                <w:szCs w:val="20"/>
              </w:rPr>
            </w:pPr>
            <w:r w:rsidRPr="00732A7A">
              <w:rPr>
                <w:rFonts w:ascii="Calibri" w:eastAsia="Times New Roman" w:hAnsi="Calibri"/>
                <w:color w:val="000000"/>
                <w:sz w:val="20"/>
                <w:szCs w:val="20"/>
              </w:rPr>
              <w:t>50%</w:t>
            </w:r>
          </w:p>
        </w:tc>
      </w:tr>
      <w:tr w:rsidR="00732A7A" w:rsidRPr="00732A7A" w14:paraId="58F03D34" w14:textId="77777777" w:rsidTr="00732A7A">
        <w:trPr>
          <w:trHeight w:val="300"/>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FF2C409" w14:textId="77777777" w:rsidR="00732A7A" w:rsidRPr="00732A7A" w:rsidRDefault="00732A7A" w:rsidP="00732A7A">
            <w:pPr>
              <w:suppressAutoHyphens w:val="0"/>
              <w:spacing w:before="0" w:after="0"/>
              <w:rPr>
                <w:rFonts w:ascii="Calibri" w:eastAsia="Times New Roman" w:hAnsi="Calibri"/>
                <w:color w:val="000000"/>
                <w:sz w:val="20"/>
                <w:szCs w:val="20"/>
              </w:rPr>
            </w:pPr>
            <w:r w:rsidRPr="00732A7A">
              <w:rPr>
                <w:rFonts w:ascii="Calibri" w:eastAsia="Times New Roman" w:hAnsi="Calibri"/>
                <w:color w:val="000000"/>
                <w:sz w:val="20"/>
                <w:szCs w:val="20"/>
              </w:rPr>
              <w:t>Female</w:t>
            </w:r>
          </w:p>
        </w:tc>
        <w:tc>
          <w:tcPr>
            <w:tcW w:w="1300" w:type="dxa"/>
            <w:tcBorders>
              <w:top w:val="nil"/>
              <w:left w:val="nil"/>
              <w:bottom w:val="single" w:sz="4" w:space="0" w:color="auto"/>
              <w:right w:val="single" w:sz="4" w:space="0" w:color="auto"/>
            </w:tcBorders>
            <w:shd w:val="clear" w:color="auto" w:fill="auto"/>
            <w:noWrap/>
            <w:vAlign w:val="bottom"/>
            <w:hideMark/>
          </w:tcPr>
          <w:p w14:paraId="3F574DDC" w14:textId="77777777" w:rsidR="00732A7A" w:rsidRPr="00732A7A" w:rsidRDefault="00732A7A" w:rsidP="00732A7A">
            <w:pPr>
              <w:suppressAutoHyphens w:val="0"/>
              <w:spacing w:before="0" w:after="0"/>
              <w:jc w:val="center"/>
              <w:rPr>
                <w:rFonts w:ascii="Calibri" w:eastAsia="Times New Roman" w:hAnsi="Calibri"/>
                <w:color w:val="000000"/>
                <w:sz w:val="20"/>
                <w:szCs w:val="20"/>
              </w:rPr>
            </w:pPr>
            <w:r w:rsidRPr="00732A7A">
              <w:rPr>
                <w:rFonts w:ascii="Calibri" w:eastAsia="Times New Roman" w:hAnsi="Calibri"/>
                <w:color w:val="000000"/>
                <w:sz w:val="20"/>
                <w:szCs w:val="20"/>
              </w:rPr>
              <w:t>41%</w:t>
            </w:r>
          </w:p>
        </w:tc>
        <w:tc>
          <w:tcPr>
            <w:tcW w:w="1300" w:type="dxa"/>
            <w:tcBorders>
              <w:top w:val="nil"/>
              <w:left w:val="nil"/>
              <w:bottom w:val="single" w:sz="4" w:space="0" w:color="auto"/>
              <w:right w:val="single" w:sz="4" w:space="0" w:color="auto"/>
            </w:tcBorders>
            <w:shd w:val="clear" w:color="auto" w:fill="auto"/>
            <w:noWrap/>
            <w:vAlign w:val="bottom"/>
            <w:hideMark/>
          </w:tcPr>
          <w:p w14:paraId="1352BA6E" w14:textId="77777777" w:rsidR="00732A7A" w:rsidRPr="00732A7A" w:rsidRDefault="00732A7A" w:rsidP="00732A7A">
            <w:pPr>
              <w:suppressAutoHyphens w:val="0"/>
              <w:spacing w:before="0" w:after="0"/>
              <w:jc w:val="center"/>
              <w:rPr>
                <w:rFonts w:ascii="Calibri" w:eastAsia="Times New Roman" w:hAnsi="Calibri"/>
                <w:color w:val="000000"/>
                <w:sz w:val="20"/>
                <w:szCs w:val="20"/>
              </w:rPr>
            </w:pPr>
            <w:r w:rsidRPr="00732A7A">
              <w:rPr>
                <w:rFonts w:ascii="Calibri" w:eastAsia="Times New Roman" w:hAnsi="Calibri"/>
                <w:color w:val="000000"/>
                <w:sz w:val="20"/>
                <w:szCs w:val="20"/>
              </w:rPr>
              <w:t>60%</w:t>
            </w:r>
          </w:p>
        </w:tc>
        <w:tc>
          <w:tcPr>
            <w:tcW w:w="1300" w:type="dxa"/>
            <w:tcBorders>
              <w:top w:val="nil"/>
              <w:left w:val="nil"/>
              <w:bottom w:val="single" w:sz="4" w:space="0" w:color="auto"/>
              <w:right w:val="single" w:sz="4" w:space="0" w:color="auto"/>
            </w:tcBorders>
            <w:shd w:val="clear" w:color="auto" w:fill="auto"/>
            <w:noWrap/>
            <w:vAlign w:val="bottom"/>
            <w:hideMark/>
          </w:tcPr>
          <w:p w14:paraId="67C6C8B4" w14:textId="77777777" w:rsidR="00732A7A" w:rsidRPr="00732A7A" w:rsidRDefault="00732A7A" w:rsidP="00732A7A">
            <w:pPr>
              <w:suppressAutoHyphens w:val="0"/>
              <w:spacing w:before="0" w:after="0"/>
              <w:jc w:val="center"/>
              <w:rPr>
                <w:rFonts w:ascii="Calibri" w:eastAsia="Times New Roman" w:hAnsi="Calibri"/>
                <w:color w:val="000000"/>
                <w:sz w:val="20"/>
                <w:szCs w:val="20"/>
              </w:rPr>
            </w:pPr>
            <w:r w:rsidRPr="00732A7A">
              <w:rPr>
                <w:rFonts w:ascii="Calibri" w:eastAsia="Times New Roman" w:hAnsi="Calibri"/>
                <w:color w:val="000000"/>
                <w:sz w:val="20"/>
                <w:szCs w:val="20"/>
              </w:rPr>
              <w:t>41%</w:t>
            </w:r>
          </w:p>
        </w:tc>
        <w:tc>
          <w:tcPr>
            <w:tcW w:w="1300" w:type="dxa"/>
            <w:tcBorders>
              <w:top w:val="nil"/>
              <w:left w:val="nil"/>
              <w:bottom w:val="single" w:sz="4" w:space="0" w:color="auto"/>
              <w:right w:val="single" w:sz="4" w:space="0" w:color="auto"/>
            </w:tcBorders>
            <w:shd w:val="clear" w:color="auto" w:fill="auto"/>
            <w:noWrap/>
            <w:vAlign w:val="bottom"/>
            <w:hideMark/>
          </w:tcPr>
          <w:p w14:paraId="500E8AD0" w14:textId="77777777" w:rsidR="00732A7A" w:rsidRPr="00732A7A" w:rsidRDefault="00732A7A" w:rsidP="00732A7A">
            <w:pPr>
              <w:suppressAutoHyphens w:val="0"/>
              <w:spacing w:before="0" w:after="0"/>
              <w:jc w:val="center"/>
              <w:rPr>
                <w:rFonts w:ascii="Calibri" w:eastAsia="Times New Roman" w:hAnsi="Calibri"/>
                <w:color w:val="000000"/>
                <w:sz w:val="20"/>
                <w:szCs w:val="20"/>
              </w:rPr>
            </w:pPr>
            <w:r w:rsidRPr="00732A7A">
              <w:rPr>
                <w:rFonts w:ascii="Calibri" w:eastAsia="Times New Roman" w:hAnsi="Calibri"/>
                <w:color w:val="000000"/>
                <w:sz w:val="20"/>
                <w:szCs w:val="20"/>
              </w:rPr>
              <w:t>48%</w:t>
            </w:r>
          </w:p>
        </w:tc>
      </w:tr>
      <w:tr w:rsidR="00732A7A" w:rsidRPr="00732A7A" w14:paraId="7063FE40" w14:textId="77777777" w:rsidTr="00732A7A">
        <w:trPr>
          <w:trHeight w:val="300"/>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368E676" w14:textId="77777777" w:rsidR="00732A7A" w:rsidRPr="00732A7A" w:rsidRDefault="00732A7A" w:rsidP="00732A7A">
            <w:pPr>
              <w:suppressAutoHyphens w:val="0"/>
              <w:spacing w:before="0" w:after="0"/>
              <w:rPr>
                <w:rFonts w:ascii="Calibri" w:eastAsia="Times New Roman" w:hAnsi="Calibri"/>
                <w:color w:val="000000"/>
                <w:sz w:val="20"/>
                <w:szCs w:val="20"/>
              </w:rPr>
            </w:pPr>
            <w:r w:rsidRPr="00732A7A">
              <w:rPr>
                <w:rFonts w:ascii="Calibri" w:eastAsia="Times New Roman" w:hAnsi="Calibri"/>
                <w:color w:val="000000"/>
                <w:sz w:val="20"/>
                <w:szCs w:val="20"/>
              </w:rPr>
              <w:t>Sex not recorded</w:t>
            </w:r>
          </w:p>
        </w:tc>
        <w:tc>
          <w:tcPr>
            <w:tcW w:w="1300" w:type="dxa"/>
            <w:tcBorders>
              <w:top w:val="nil"/>
              <w:left w:val="nil"/>
              <w:bottom w:val="single" w:sz="4" w:space="0" w:color="auto"/>
              <w:right w:val="single" w:sz="4" w:space="0" w:color="auto"/>
            </w:tcBorders>
            <w:shd w:val="clear" w:color="auto" w:fill="auto"/>
            <w:noWrap/>
            <w:vAlign w:val="bottom"/>
            <w:hideMark/>
          </w:tcPr>
          <w:p w14:paraId="3A5DE5EE" w14:textId="77777777" w:rsidR="00732A7A" w:rsidRPr="00732A7A" w:rsidRDefault="00732A7A" w:rsidP="00732A7A">
            <w:pPr>
              <w:suppressAutoHyphens w:val="0"/>
              <w:spacing w:before="0" w:after="0"/>
              <w:jc w:val="center"/>
              <w:rPr>
                <w:rFonts w:ascii="Calibri" w:eastAsia="Times New Roman" w:hAnsi="Calibri"/>
                <w:color w:val="000000"/>
                <w:sz w:val="20"/>
                <w:szCs w:val="20"/>
              </w:rPr>
            </w:pPr>
            <w:r w:rsidRPr="00732A7A">
              <w:rPr>
                <w:rFonts w:ascii="Calibri" w:eastAsia="Times New Roman" w:hAnsi="Calibri"/>
                <w:color w:val="000000"/>
                <w:sz w:val="20"/>
                <w:szCs w:val="20"/>
              </w:rPr>
              <w:t>3%</w:t>
            </w:r>
          </w:p>
        </w:tc>
        <w:tc>
          <w:tcPr>
            <w:tcW w:w="1300" w:type="dxa"/>
            <w:tcBorders>
              <w:top w:val="nil"/>
              <w:left w:val="nil"/>
              <w:bottom w:val="single" w:sz="4" w:space="0" w:color="auto"/>
              <w:right w:val="single" w:sz="4" w:space="0" w:color="auto"/>
            </w:tcBorders>
            <w:shd w:val="clear" w:color="auto" w:fill="auto"/>
            <w:noWrap/>
            <w:vAlign w:val="bottom"/>
            <w:hideMark/>
          </w:tcPr>
          <w:p w14:paraId="3F4AA39E" w14:textId="77777777" w:rsidR="00732A7A" w:rsidRPr="00732A7A" w:rsidRDefault="00732A7A" w:rsidP="00732A7A">
            <w:pPr>
              <w:suppressAutoHyphens w:val="0"/>
              <w:spacing w:before="0" w:after="0"/>
              <w:jc w:val="center"/>
              <w:rPr>
                <w:rFonts w:ascii="Calibri" w:eastAsia="Times New Roman" w:hAnsi="Calibri"/>
                <w:color w:val="000000"/>
                <w:sz w:val="20"/>
                <w:szCs w:val="20"/>
              </w:rPr>
            </w:pPr>
            <w:r w:rsidRPr="00732A7A">
              <w:rPr>
                <w:rFonts w:ascii="Calibri" w:eastAsia="Times New Roman" w:hAnsi="Calibri"/>
                <w:color w:val="000000"/>
                <w:sz w:val="20"/>
                <w:szCs w:val="20"/>
              </w:rPr>
              <w:t>4%</w:t>
            </w:r>
          </w:p>
        </w:tc>
        <w:tc>
          <w:tcPr>
            <w:tcW w:w="1300" w:type="dxa"/>
            <w:tcBorders>
              <w:top w:val="nil"/>
              <w:left w:val="nil"/>
              <w:bottom w:val="single" w:sz="4" w:space="0" w:color="auto"/>
              <w:right w:val="single" w:sz="4" w:space="0" w:color="auto"/>
            </w:tcBorders>
            <w:shd w:val="clear" w:color="auto" w:fill="auto"/>
            <w:noWrap/>
            <w:vAlign w:val="bottom"/>
            <w:hideMark/>
          </w:tcPr>
          <w:p w14:paraId="2D73BB2B" w14:textId="77777777" w:rsidR="00732A7A" w:rsidRPr="00732A7A" w:rsidRDefault="00732A7A" w:rsidP="00732A7A">
            <w:pPr>
              <w:suppressAutoHyphens w:val="0"/>
              <w:spacing w:before="0" w:after="0"/>
              <w:jc w:val="center"/>
              <w:rPr>
                <w:rFonts w:ascii="Calibri" w:eastAsia="Times New Roman" w:hAnsi="Calibri"/>
                <w:color w:val="000000"/>
                <w:sz w:val="20"/>
                <w:szCs w:val="20"/>
              </w:rPr>
            </w:pPr>
            <w:r w:rsidRPr="00732A7A">
              <w:rPr>
                <w:rFonts w:ascii="Calibri" w:eastAsia="Times New Roman" w:hAnsi="Calibri"/>
                <w:color w:val="000000"/>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14:paraId="4BE02122" w14:textId="77777777" w:rsidR="00732A7A" w:rsidRPr="00732A7A" w:rsidRDefault="00732A7A" w:rsidP="00732A7A">
            <w:pPr>
              <w:suppressAutoHyphens w:val="0"/>
              <w:spacing w:before="0" w:after="0"/>
              <w:jc w:val="center"/>
              <w:rPr>
                <w:rFonts w:ascii="Calibri" w:eastAsia="Times New Roman" w:hAnsi="Calibri"/>
                <w:color w:val="000000"/>
                <w:sz w:val="20"/>
                <w:szCs w:val="20"/>
              </w:rPr>
            </w:pPr>
            <w:r w:rsidRPr="00732A7A">
              <w:rPr>
                <w:rFonts w:ascii="Calibri" w:eastAsia="Times New Roman" w:hAnsi="Calibri"/>
                <w:color w:val="000000"/>
                <w:sz w:val="20"/>
                <w:szCs w:val="20"/>
              </w:rPr>
              <w:t>2%</w:t>
            </w:r>
          </w:p>
        </w:tc>
      </w:tr>
    </w:tbl>
    <w:p w14:paraId="3D02BC15" w14:textId="48626F86" w:rsidR="00732A7A" w:rsidRDefault="00FD654C" w:rsidP="009C385E">
      <w:r>
        <w:t xml:space="preserve">The Malampa TVET Centre was especially successful in supporting women’s participation, achieving 60%, through a combination of factors. </w:t>
      </w:r>
      <w:r w:rsidR="0027358F">
        <w:t xml:space="preserve">The Centre established a formal partnership with the Malampa Provincial Council of Women (designed to increase the number of women in skills development activities). </w:t>
      </w:r>
      <w:r>
        <w:t xml:space="preserve">The Program hosted a </w:t>
      </w:r>
      <w:r w:rsidR="0027358F">
        <w:t xml:space="preserve">six-month </w:t>
      </w:r>
      <w:r>
        <w:t>volunteer placement in the Malampa Centre, providing the targeted technical input of a Gender Adviser</w:t>
      </w:r>
      <w:r w:rsidR="0027358F">
        <w:rPr>
          <w:rStyle w:val="FootnoteReference"/>
        </w:rPr>
        <w:footnoteReference w:id="16"/>
      </w:r>
      <w:r>
        <w:t xml:space="preserve">. The Gender Adviser was a strong advocate for women’s participation in skills development who also built the skills and knowledge of Program staff </w:t>
      </w:r>
      <w:r w:rsidR="00732A7A">
        <w:t xml:space="preserve">and stakeholders and </w:t>
      </w:r>
      <w:r w:rsidR="003B7A51">
        <w:t>facilitated the co</w:t>
      </w:r>
      <w:r w:rsidR="00F1635E">
        <w:t xml:space="preserve">llaborative development of the </w:t>
      </w:r>
      <w:r w:rsidR="003B7A51" w:rsidRPr="00F1635E">
        <w:rPr>
          <w:i/>
        </w:rPr>
        <w:t>Gender Equality</w:t>
      </w:r>
      <w:r w:rsidR="00F1635E" w:rsidRPr="00F1635E">
        <w:rPr>
          <w:i/>
        </w:rPr>
        <w:t xml:space="preserve"> Strategy for the TVET Centres</w:t>
      </w:r>
      <w:r w:rsidR="00F1635E">
        <w:t>.</w:t>
      </w:r>
      <w:r w:rsidR="00732A7A">
        <w:t xml:space="preserve"> This work was assisted by the </w:t>
      </w:r>
      <w:r w:rsidR="00B826B0">
        <w:t xml:space="preserve">emergence </w:t>
      </w:r>
      <w:r w:rsidR="00732A7A">
        <w:t xml:space="preserve">of the Malampa Centre Manager as an active male champion of change. </w:t>
      </w:r>
    </w:p>
    <w:p w14:paraId="4EF51D95" w14:textId="65E6B9F3" w:rsidR="00C834BF" w:rsidRDefault="00EC4368" w:rsidP="009C385E">
      <w:r>
        <w:t xml:space="preserve">The Program will continue to monitor women’s participation to assess the extent to which this becomes a sustained change. </w:t>
      </w:r>
    </w:p>
    <w:p w14:paraId="361C6889" w14:textId="558BDA3D" w:rsidR="00EC4368" w:rsidRDefault="00064D5F" w:rsidP="00064D5F">
      <w:pPr>
        <w:jc w:val="center"/>
      </w:pPr>
      <w:r>
        <w:rPr>
          <w:noProof/>
          <w:lang w:val="en-GB" w:eastAsia="en-GB"/>
        </w:rPr>
        <w:lastRenderedPageBreak/>
        <mc:AlternateContent>
          <mc:Choice Requires="wps">
            <w:drawing>
              <wp:inline distT="0" distB="0" distL="0" distR="0" wp14:anchorId="4EB50A18" wp14:editId="45AF4AFC">
                <wp:extent cx="4457700" cy="3624416"/>
                <wp:effectExtent l="0" t="0" r="12700" b="8255"/>
                <wp:docPr id="3" name="Text Box 3"/>
                <wp:cNvGraphicFramePr/>
                <a:graphic xmlns:a="http://schemas.openxmlformats.org/drawingml/2006/main">
                  <a:graphicData uri="http://schemas.microsoft.com/office/word/2010/wordprocessingShape">
                    <wps:wsp>
                      <wps:cNvSpPr txBox="1"/>
                      <wps:spPr>
                        <a:xfrm>
                          <a:off x="0" y="0"/>
                          <a:ext cx="4457700" cy="3624416"/>
                        </a:xfrm>
                        <a:prstGeom prst="rect">
                          <a:avLst/>
                        </a:prstGeom>
                        <a:solidFill>
                          <a:srgbClr val="FAC09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5E6374" w14:textId="77777777" w:rsidR="00564169" w:rsidRDefault="00564169" w:rsidP="002B7CF3">
                            <w:pPr>
                              <w:pStyle w:val="TextBoxHeading"/>
                            </w:pPr>
                            <w:r>
                              <w:t>Gender Equality Strategy for the Vanuatu TVET Centres</w:t>
                            </w:r>
                          </w:p>
                          <w:p w14:paraId="2F1A2918" w14:textId="77777777" w:rsidR="00564169" w:rsidRDefault="00564169" w:rsidP="002B7CF3">
                            <w:pPr>
                              <w:pStyle w:val="TableText"/>
                            </w:pPr>
                            <w:r>
                              <w:t xml:space="preserve">Launched at the December Strategic Advisory Group meeting, this Strategy provides practical guidance on how to promote gender equality in TVET Centre activities in order to: </w:t>
                            </w:r>
                          </w:p>
                          <w:p w14:paraId="19A740EF" w14:textId="77777777" w:rsidR="00564169" w:rsidRDefault="00564169" w:rsidP="0019245A">
                            <w:pPr>
                              <w:pStyle w:val="TableText"/>
                              <w:numPr>
                                <w:ilvl w:val="0"/>
                                <w:numId w:val="9"/>
                              </w:numPr>
                            </w:pPr>
                            <w:r>
                              <w:t xml:space="preserve">Address barriers to participation </w:t>
                            </w:r>
                          </w:p>
                          <w:p w14:paraId="4072C1AE" w14:textId="77777777" w:rsidR="00564169" w:rsidRDefault="00564169" w:rsidP="0019245A">
                            <w:pPr>
                              <w:pStyle w:val="TableText"/>
                              <w:numPr>
                                <w:ilvl w:val="0"/>
                                <w:numId w:val="9"/>
                              </w:numPr>
                            </w:pPr>
                            <w:r>
                              <w:t>Ensure a family friendly work environment in TVET Centres</w:t>
                            </w:r>
                          </w:p>
                          <w:p w14:paraId="0D7CF42D" w14:textId="77777777" w:rsidR="00564169" w:rsidRDefault="00564169" w:rsidP="0019245A">
                            <w:pPr>
                              <w:pStyle w:val="TableText"/>
                              <w:numPr>
                                <w:ilvl w:val="0"/>
                                <w:numId w:val="9"/>
                              </w:numPr>
                            </w:pPr>
                            <w:r>
                              <w:t>Strengthen partnerships for advocacy and research in gender quality and improved access to finance</w:t>
                            </w:r>
                          </w:p>
                          <w:p w14:paraId="0DB00C29" w14:textId="77777777" w:rsidR="00564169" w:rsidRDefault="00564169" w:rsidP="0019245A">
                            <w:pPr>
                              <w:pStyle w:val="TableText"/>
                              <w:numPr>
                                <w:ilvl w:val="0"/>
                                <w:numId w:val="9"/>
                              </w:numPr>
                            </w:pPr>
                            <w:r>
                              <w:t xml:space="preserve">Ensure a monitoring system that enables the Program to track and report on gender quality results </w:t>
                            </w:r>
                          </w:p>
                          <w:p w14:paraId="35CF4202" w14:textId="77777777" w:rsidR="00564169" w:rsidRDefault="00564169" w:rsidP="0019245A">
                            <w:pPr>
                              <w:pStyle w:val="TableText"/>
                              <w:numPr>
                                <w:ilvl w:val="0"/>
                                <w:numId w:val="9"/>
                              </w:numPr>
                            </w:pPr>
                            <w:r>
                              <w:t xml:space="preserve">Take steps to reduce TVET Centre participation vulnerability to violence and support those who are survivors of violence. </w:t>
                            </w:r>
                          </w:p>
                          <w:p w14:paraId="6B241AA5" w14:textId="02524349" w:rsidR="00564169" w:rsidRDefault="00564169" w:rsidP="002B7CF3">
                            <w:pPr>
                              <w:pStyle w:val="TableText"/>
                            </w:pPr>
                            <w:r>
                              <w:t xml:space="preserve">The Strategy will be implemented until June 2016 via an Implementation Plan that will be developed early in 2015. It will be reviewed in late 2015 to ensure its implementation is progressing effectively. </w:t>
                            </w:r>
                          </w:p>
                          <w:p w14:paraId="631F1690" w14:textId="77777777" w:rsidR="00564169" w:rsidRPr="002B7CF3" w:rsidRDefault="00564169" w:rsidP="002B7CF3">
                            <w:pPr>
                              <w:pStyle w:val="TableText"/>
                              <w:rPr>
                                <w:i/>
                              </w:rPr>
                            </w:pPr>
                            <w:r w:rsidRPr="002B7CF3">
                              <w:rPr>
                                <w:i/>
                              </w:rPr>
                              <w:t>“</w:t>
                            </w:r>
                            <w:r w:rsidRPr="002B7CF3">
                              <w:rPr>
                                <w:i/>
                                <w:lang w:val="en-US"/>
                              </w:rPr>
                              <w:t xml:space="preserve">…a well written, structured and considered document, that I think should be an example of how we look at gender equality mainstreaming across our programs.” (DFAT Gender Equality Advice) </w:t>
                            </w:r>
                          </w:p>
                          <w:p w14:paraId="3AB17E6F" w14:textId="77777777" w:rsidR="00564169" w:rsidRDefault="00564169" w:rsidP="002B7CF3">
                            <w:pPr>
                              <w:pStyle w:val="TableText"/>
                            </w:pPr>
                          </w:p>
                          <w:p w14:paraId="5F788853" w14:textId="77777777" w:rsidR="00564169" w:rsidRDefault="00564169" w:rsidP="002B7CF3">
                            <w:pPr>
                              <w:pStyle w:val="TableText"/>
                            </w:pPr>
                            <w:r>
                              <w:t>Gender Equality Strategy for the Vanuatu TVET Centres</w:t>
                            </w:r>
                          </w:p>
                          <w:p w14:paraId="2E12CB52" w14:textId="3CC6EAAA" w:rsidR="00564169" w:rsidRDefault="00564169" w:rsidP="002B7CF3">
                            <w:pPr>
                              <w:pStyle w:val="TableText"/>
                            </w:pPr>
                            <w:r>
                              <w:t xml:space="preserve">Launched at the December Strategic Advisory Group meeting, this Strategy provides practical guidance on how to promote gender equality in TVET Centre activities in order to: </w:t>
                            </w:r>
                          </w:p>
                          <w:p w14:paraId="34D90BC5" w14:textId="26F90CEB" w:rsidR="00564169" w:rsidRDefault="00564169" w:rsidP="0019245A">
                            <w:pPr>
                              <w:pStyle w:val="TableText"/>
                              <w:numPr>
                                <w:ilvl w:val="0"/>
                                <w:numId w:val="9"/>
                              </w:numPr>
                            </w:pPr>
                            <w:r>
                              <w:t xml:space="preserve">Address barriers to participation </w:t>
                            </w:r>
                          </w:p>
                          <w:p w14:paraId="79AE18C4" w14:textId="1E8B40C1" w:rsidR="00564169" w:rsidRDefault="00564169" w:rsidP="0019245A">
                            <w:pPr>
                              <w:pStyle w:val="TableText"/>
                              <w:numPr>
                                <w:ilvl w:val="0"/>
                                <w:numId w:val="9"/>
                              </w:numPr>
                            </w:pPr>
                            <w:r>
                              <w:t>Ensure a family friendly work environment in TVET Centres</w:t>
                            </w:r>
                          </w:p>
                          <w:p w14:paraId="6E71CB25" w14:textId="422D937A" w:rsidR="00564169" w:rsidRDefault="00564169" w:rsidP="0019245A">
                            <w:pPr>
                              <w:pStyle w:val="TableText"/>
                              <w:numPr>
                                <w:ilvl w:val="0"/>
                                <w:numId w:val="9"/>
                              </w:numPr>
                            </w:pPr>
                            <w:r>
                              <w:t>Strengthen partnerships for advocacy and research in gender quality and improved access to finance</w:t>
                            </w:r>
                          </w:p>
                          <w:p w14:paraId="5291E5E6" w14:textId="4DF96F2D" w:rsidR="00564169" w:rsidRDefault="00564169" w:rsidP="0019245A">
                            <w:pPr>
                              <w:pStyle w:val="TableText"/>
                              <w:numPr>
                                <w:ilvl w:val="0"/>
                                <w:numId w:val="9"/>
                              </w:numPr>
                            </w:pPr>
                            <w:r>
                              <w:t xml:space="preserve">Ensure a monitoring system that enables the Program to track and report on gender quality results </w:t>
                            </w:r>
                          </w:p>
                          <w:p w14:paraId="55523649" w14:textId="569C1462" w:rsidR="00564169" w:rsidRDefault="00564169" w:rsidP="0019245A">
                            <w:pPr>
                              <w:pStyle w:val="TableText"/>
                              <w:numPr>
                                <w:ilvl w:val="0"/>
                                <w:numId w:val="9"/>
                              </w:numPr>
                            </w:pPr>
                            <w:r>
                              <w:t xml:space="preserve">Take steps to reduce TVET Centre participation vulnerability to violence and support those who are survivors of violence. </w:t>
                            </w:r>
                          </w:p>
                          <w:p w14:paraId="52F298DC" w14:textId="47023E86" w:rsidR="00564169" w:rsidRDefault="00564169" w:rsidP="002B7CF3">
                            <w:pPr>
                              <w:pStyle w:val="TableText"/>
                            </w:pPr>
                            <w:r>
                              <w:t xml:space="preserve">The Strategy will be implemented until June 2016 via an Implementation Plan that will be developed early in 2015. </w:t>
                            </w:r>
                          </w:p>
                          <w:p w14:paraId="220EC33C" w14:textId="77777777" w:rsidR="00564169" w:rsidRPr="002B7CF3" w:rsidRDefault="00564169" w:rsidP="002B7CF3">
                            <w:pPr>
                              <w:pStyle w:val="TableText"/>
                              <w:rPr>
                                <w:i/>
                              </w:rPr>
                            </w:pPr>
                            <w:r w:rsidRPr="002B7CF3">
                              <w:rPr>
                                <w:i/>
                              </w:rPr>
                              <w:t>“</w:t>
                            </w:r>
                            <w:r w:rsidRPr="002B7CF3">
                              <w:rPr>
                                <w:i/>
                                <w:lang w:val="en-US"/>
                              </w:rPr>
                              <w:t xml:space="preserve">…a well written, structured and considered document, that I think should be an example of how we look at gender equality mainstreaming across our programs.” (DFAT Gender Equality Advice)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35" type="#_x0000_t202" style="width:351pt;height:285.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7o2eoCAAA/BgAADgAAAGRycy9lMm9Eb2MueG1srFRLb9swDL4P2H8QdE9tp07SGHUKN0WGAcVa&#10;rB16VmQpMabXJCVxNuy/j5LjNO12WIddbEr8SJEfH5dXrRRoy6xrtCpxdpZixBTVdaNWJf7yuBhc&#10;YOQ8UTURWrES75nDV7P37y53pmBDvdaiZhaBE+WKnSnx2ntTJImjayaJO9OGKVBybSXxcLSrpLZk&#10;B96lSIZpOk522tbGasqcg9ubToln0T/njPo7zh3zSJQYYvPxa+N3Gb7J7JIUK0vMuqGHMMg/RCFJ&#10;o+DRo6sb4gna2OY3V7KhVjvN/RnVMtGcN5TFHCCbLH2VzcOaGBZzAXKcOdLk/p9b+ml7b1FTl/gc&#10;I0UklOiRtR5d6xadB3Z2xhUAejAA8y1cQ5X7eweXIemWWxn+kA4CPfC8P3IbnFG4zPPRZJKCioLu&#10;fDzM82wc/CTP5sY6/4FpiYJQYgvFi5yS7a3zHbSHhNecFk29aISIB7tazoVFWwKFXlTzdBprC95f&#10;wIQKYKWDWeexu2GxVbpnSAExgxiQIfpYxh/z0WRYTUbTwbgaZYM8Sy8GVZUOBzeLKq3SfDGf5tc/&#10;IVxJsrzYQUMZaMdAJVC2EGR1KF5Q/131JKEvej3LkthlXdjgOHLXh5qEOnX1iJLfCxYSEOoz41Df&#10;WJZIVJgsdqSKUMqUjxUFriI6oDjw8xbDAz5SFql8i3FHPljEl7XyR2PZKG1jD8SF8Bx2/bUPmXd4&#10;IOMk7yD6dtnGxp727brU9R662OpuCzhDFw102i1x/p5YGHvoTlhl/g4+XOhdifVBwmit7fc/3Qc8&#10;1BO0GIWql9h92xDLMBIfFczpNMvzsHfiAUZgCAd7qlmeatRGzjU0cAZL09AoBrwXvcitlk+w8arw&#10;KqiIovB2iX0vzn233GBjUlZVEQSbxhB/qx4MDa4Dy2GOHtsnYs1h2Dw00ifdLxxSvJq5Dhssla42&#10;XvMmDmTguWP1wD9sqdiWh40a1uDpOaKe9/7sFwAAAP//AwBQSwMEFAAGAAgAAAAhAOc9IGLcAAAA&#10;BQEAAA8AAABkcnMvZG93bnJldi54bWxMj81OwzAQhO9IvIO1SNyo3fLTNMSpUKWKC0il5dKbGy9J&#10;1HgdxU7rvj0LF7iMNJrVzLfFMrlOnHAIrScN04kCgVR521Kt4XO3vstAhGjIms4TarhggGV5fVWY&#10;3PozfeBpG2vBJRRyo6GJsc+lDFWDzoSJ75E4+/KDM5HtUEs7mDOXu07OlHqSzrTEC43pcdVgddyO&#10;TsOe1tOdzNLwcNyM6fJ2v3iVq3etb2/SyzOIiCn+HcMPPqNDyUwHP5INotPAj8Rf5WyuZmwPGh7n&#10;KgNZFvI/ffkNAAD//wMAUEsBAi0AFAAGAAgAAAAhAOSZw8D7AAAA4QEAABMAAAAAAAAAAAAAAAAA&#10;AAAAAFtDb250ZW50X1R5cGVzXS54bWxQSwECLQAUAAYACAAAACEAI7Jq4dcAAACUAQAACwAAAAAA&#10;AAAAAAAAAAAsAQAAX3JlbHMvLnJlbHNQSwECLQAUAAYACAAAACEA7Q7o2eoCAAA/BgAADgAAAAAA&#10;AAAAAAAAAAAsAgAAZHJzL2Uyb0RvYy54bWxQSwECLQAUAAYACAAAACEA5z0gYtwAAAAFAQAADwAA&#10;AAAAAAAAAAAAAABCBQAAZHJzL2Rvd25yZXYueG1sUEsFBgAAAAAEAAQA8wAAAEsGAAAAAA==&#10;" fillcolor="#fac090" stroked="f">
                <v:textbox>
                  <w:txbxContent>
                    <w:p w14:paraId="3B5E6374" w14:textId="77777777" w:rsidR="00564169" w:rsidRDefault="00564169" w:rsidP="002B7CF3">
                      <w:pPr>
                        <w:pStyle w:val="TextBoxHeading"/>
                      </w:pPr>
                      <w:r>
                        <w:t>Gender Equality Strategy for the Vanuatu TVET Centres</w:t>
                      </w:r>
                    </w:p>
                    <w:p w14:paraId="2F1A2918" w14:textId="77777777" w:rsidR="00564169" w:rsidRDefault="00564169" w:rsidP="002B7CF3">
                      <w:pPr>
                        <w:pStyle w:val="TableText"/>
                      </w:pPr>
                      <w:r>
                        <w:t xml:space="preserve">Launched at the December Strategic Advisory Group meeting, this Strategy provides practical guidance on how to promote gender equality in TVET Centre activities in order to: </w:t>
                      </w:r>
                    </w:p>
                    <w:p w14:paraId="19A740EF" w14:textId="77777777" w:rsidR="00564169" w:rsidRDefault="00564169" w:rsidP="0019245A">
                      <w:pPr>
                        <w:pStyle w:val="TableText"/>
                        <w:numPr>
                          <w:ilvl w:val="0"/>
                          <w:numId w:val="9"/>
                        </w:numPr>
                      </w:pPr>
                      <w:r>
                        <w:t xml:space="preserve">Address barriers to participation </w:t>
                      </w:r>
                    </w:p>
                    <w:p w14:paraId="4072C1AE" w14:textId="77777777" w:rsidR="00564169" w:rsidRDefault="00564169" w:rsidP="0019245A">
                      <w:pPr>
                        <w:pStyle w:val="TableText"/>
                        <w:numPr>
                          <w:ilvl w:val="0"/>
                          <w:numId w:val="9"/>
                        </w:numPr>
                      </w:pPr>
                      <w:r>
                        <w:t>Ensure a family friendly work environment in TVET Centres</w:t>
                      </w:r>
                    </w:p>
                    <w:p w14:paraId="0D7CF42D" w14:textId="77777777" w:rsidR="00564169" w:rsidRDefault="00564169" w:rsidP="0019245A">
                      <w:pPr>
                        <w:pStyle w:val="TableText"/>
                        <w:numPr>
                          <w:ilvl w:val="0"/>
                          <w:numId w:val="9"/>
                        </w:numPr>
                      </w:pPr>
                      <w:r>
                        <w:t>Strengthen partnerships for advocacy and research in gender quality and improved access to finance</w:t>
                      </w:r>
                    </w:p>
                    <w:p w14:paraId="0DB00C29" w14:textId="77777777" w:rsidR="00564169" w:rsidRDefault="00564169" w:rsidP="0019245A">
                      <w:pPr>
                        <w:pStyle w:val="TableText"/>
                        <w:numPr>
                          <w:ilvl w:val="0"/>
                          <w:numId w:val="9"/>
                        </w:numPr>
                      </w:pPr>
                      <w:r>
                        <w:t xml:space="preserve">Ensure a monitoring system that enables the Program to track and report on gender quality results </w:t>
                      </w:r>
                    </w:p>
                    <w:p w14:paraId="35CF4202" w14:textId="77777777" w:rsidR="00564169" w:rsidRDefault="00564169" w:rsidP="0019245A">
                      <w:pPr>
                        <w:pStyle w:val="TableText"/>
                        <w:numPr>
                          <w:ilvl w:val="0"/>
                          <w:numId w:val="9"/>
                        </w:numPr>
                      </w:pPr>
                      <w:r>
                        <w:t xml:space="preserve">Take steps to reduce TVET Centre participation vulnerability to violence and support those who are survivors of violence. </w:t>
                      </w:r>
                    </w:p>
                    <w:p w14:paraId="6B241AA5" w14:textId="02524349" w:rsidR="00564169" w:rsidRDefault="00564169" w:rsidP="002B7CF3">
                      <w:pPr>
                        <w:pStyle w:val="TableText"/>
                      </w:pPr>
                      <w:r>
                        <w:t xml:space="preserve">The Strategy will be implemented until June 2016 via an Implementation Plan that will be developed early in 2015. It will be reviewed in late 2015 to ensure its implementation is progressing effectively. </w:t>
                      </w:r>
                    </w:p>
                    <w:p w14:paraId="631F1690" w14:textId="77777777" w:rsidR="00564169" w:rsidRPr="002B7CF3" w:rsidRDefault="00564169" w:rsidP="002B7CF3">
                      <w:pPr>
                        <w:pStyle w:val="TableText"/>
                        <w:rPr>
                          <w:i/>
                        </w:rPr>
                      </w:pPr>
                      <w:r w:rsidRPr="002B7CF3">
                        <w:rPr>
                          <w:i/>
                        </w:rPr>
                        <w:t>“</w:t>
                      </w:r>
                      <w:r w:rsidRPr="002B7CF3">
                        <w:rPr>
                          <w:i/>
                          <w:lang w:val="en-US"/>
                        </w:rPr>
                        <w:t xml:space="preserve">…a well written, structured and considered document, that I think should be an example of how we look at gender equality mainstreaming across our programs.” (DFAT Gender Equality Advice) </w:t>
                      </w:r>
                    </w:p>
                    <w:p w14:paraId="3AB17E6F" w14:textId="77777777" w:rsidR="00564169" w:rsidRDefault="00564169" w:rsidP="002B7CF3">
                      <w:pPr>
                        <w:pStyle w:val="TableText"/>
                      </w:pPr>
                    </w:p>
                    <w:p w14:paraId="5F788853" w14:textId="77777777" w:rsidR="00564169" w:rsidRDefault="00564169" w:rsidP="002B7CF3">
                      <w:pPr>
                        <w:pStyle w:val="TableText"/>
                      </w:pPr>
                      <w:r>
                        <w:t>Gender Equality Strategy for the Vanuatu TVET Centres</w:t>
                      </w:r>
                    </w:p>
                    <w:p w14:paraId="2E12CB52" w14:textId="3CC6EAAA" w:rsidR="00564169" w:rsidRDefault="00564169" w:rsidP="002B7CF3">
                      <w:pPr>
                        <w:pStyle w:val="TableText"/>
                      </w:pPr>
                      <w:r>
                        <w:t xml:space="preserve">Launched at the December Strategic Advisory Group meeting, this Strategy provides practical guidance on how to promote gender equality in TVET Centre activities in order to: </w:t>
                      </w:r>
                    </w:p>
                    <w:p w14:paraId="34D90BC5" w14:textId="26F90CEB" w:rsidR="00564169" w:rsidRDefault="00564169" w:rsidP="0019245A">
                      <w:pPr>
                        <w:pStyle w:val="TableText"/>
                        <w:numPr>
                          <w:ilvl w:val="0"/>
                          <w:numId w:val="9"/>
                        </w:numPr>
                      </w:pPr>
                      <w:r>
                        <w:t xml:space="preserve">Address barriers to participation </w:t>
                      </w:r>
                    </w:p>
                    <w:p w14:paraId="79AE18C4" w14:textId="1E8B40C1" w:rsidR="00564169" w:rsidRDefault="00564169" w:rsidP="0019245A">
                      <w:pPr>
                        <w:pStyle w:val="TableText"/>
                        <w:numPr>
                          <w:ilvl w:val="0"/>
                          <w:numId w:val="9"/>
                        </w:numPr>
                      </w:pPr>
                      <w:r>
                        <w:t>Ensure a family friendly work environment in TVET Centres</w:t>
                      </w:r>
                    </w:p>
                    <w:p w14:paraId="6E71CB25" w14:textId="422D937A" w:rsidR="00564169" w:rsidRDefault="00564169" w:rsidP="0019245A">
                      <w:pPr>
                        <w:pStyle w:val="TableText"/>
                        <w:numPr>
                          <w:ilvl w:val="0"/>
                          <w:numId w:val="9"/>
                        </w:numPr>
                      </w:pPr>
                      <w:r>
                        <w:t>Strengthen partnerships for advocacy and research in gender quality and improved access to finance</w:t>
                      </w:r>
                    </w:p>
                    <w:p w14:paraId="5291E5E6" w14:textId="4DF96F2D" w:rsidR="00564169" w:rsidRDefault="00564169" w:rsidP="0019245A">
                      <w:pPr>
                        <w:pStyle w:val="TableText"/>
                        <w:numPr>
                          <w:ilvl w:val="0"/>
                          <w:numId w:val="9"/>
                        </w:numPr>
                      </w:pPr>
                      <w:r>
                        <w:t xml:space="preserve">Ensure a monitoring system that enables the Program to track and report on gender quality results </w:t>
                      </w:r>
                    </w:p>
                    <w:p w14:paraId="55523649" w14:textId="569C1462" w:rsidR="00564169" w:rsidRDefault="00564169" w:rsidP="0019245A">
                      <w:pPr>
                        <w:pStyle w:val="TableText"/>
                        <w:numPr>
                          <w:ilvl w:val="0"/>
                          <w:numId w:val="9"/>
                        </w:numPr>
                      </w:pPr>
                      <w:r>
                        <w:t xml:space="preserve">Take steps to reduce TVET Centre participation vulnerability to violence and support those who are survivors of violence. </w:t>
                      </w:r>
                    </w:p>
                    <w:p w14:paraId="52F298DC" w14:textId="47023E86" w:rsidR="00564169" w:rsidRDefault="00564169" w:rsidP="002B7CF3">
                      <w:pPr>
                        <w:pStyle w:val="TableText"/>
                      </w:pPr>
                      <w:r>
                        <w:t xml:space="preserve">The Strategy will be implemented until June 2016 via an Implementation Plan that will be developed early in 2015. </w:t>
                      </w:r>
                    </w:p>
                    <w:p w14:paraId="220EC33C" w14:textId="77777777" w:rsidR="00564169" w:rsidRPr="002B7CF3" w:rsidRDefault="00564169" w:rsidP="002B7CF3">
                      <w:pPr>
                        <w:pStyle w:val="TableText"/>
                        <w:rPr>
                          <w:i/>
                        </w:rPr>
                      </w:pPr>
                      <w:r w:rsidRPr="002B7CF3">
                        <w:rPr>
                          <w:i/>
                        </w:rPr>
                        <w:t>“</w:t>
                      </w:r>
                      <w:r w:rsidRPr="002B7CF3">
                        <w:rPr>
                          <w:i/>
                          <w:lang w:val="en-US"/>
                        </w:rPr>
                        <w:t xml:space="preserve">…a well written, structured and considered document, that I think should be an example of how we look at gender equality mainstreaming across our programs.” (DFAT Gender Equality Advice) </w:t>
                      </w:r>
                    </w:p>
                  </w:txbxContent>
                </v:textbox>
                <w10:anchorlock/>
              </v:shape>
            </w:pict>
          </mc:Fallback>
        </mc:AlternateContent>
      </w:r>
    </w:p>
    <w:p w14:paraId="4F4A9CD4" w14:textId="77777777" w:rsidR="007A4ED5" w:rsidRDefault="007A4ED5" w:rsidP="00064D5F">
      <w:pPr>
        <w:jc w:val="center"/>
      </w:pPr>
    </w:p>
    <w:p w14:paraId="05E85938" w14:textId="6AAF0F8C" w:rsidR="00A42E6D" w:rsidRDefault="00A42E6D" w:rsidP="00A42E6D">
      <w:pPr>
        <w:pStyle w:val="Heading4"/>
      </w:pPr>
      <w:r>
        <w:t>Location</w:t>
      </w:r>
    </w:p>
    <w:p w14:paraId="68D0BD61" w14:textId="4F2D08CD" w:rsidR="002B09EF" w:rsidRDefault="007A4ED5" w:rsidP="009C385E">
      <w:r>
        <w:rPr>
          <w:noProof/>
          <w:lang w:val="en-GB" w:eastAsia="en-GB"/>
        </w:rPr>
        <w:drawing>
          <wp:anchor distT="0" distB="0" distL="114300" distR="114300" simplePos="0" relativeHeight="251677184" behindDoc="0" locked="0" layoutInCell="1" allowOverlap="1" wp14:anchorId="17579568" wp14:editId="1FB7F262">
            <wp:simplePos x="0" y="0"/>
            <wp:positionH relativeFrom="margin">
              <wp:align>left</wp:align>
            </wp:positionH>
            <wp:positionV relativeFrom="margin">
              <wp:posOffset>4559300</wp:posOffset>
            </wp:positionV>
            <wp:extent cx="2289810" cy="17272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0232" r="9252" b="7882"/>
                    <a:stretch/>
                  </pic:blipFill>
                  <pic:spPr bwMode="auto">
                    <a:xfrm>
                      <a:off x="0" y="0"/>
                      <a:ext cx="2289810" cy="17272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A42E6D">
        <w:t xml:space="preserve">The </w:t>
      </w:r>
      <w:r w:rsidR="00B826B0">
        <w:t xml:space="preserve">Program </w:t>
      </w:r>
      <w:r w:rsidR="00A42E6D">
        <w:t xml:space="preserve">collects baseline data regarding the location of its participants – coded according to the Area Council in which they live – as part of its monitoring of access to the </w:t>
      </w:r>
      <w:r w:rsidR="00B826B0">
        <w:t>Program</w:t>
      </w:r>
      <w:r w:rsidR="00A42E6D">
        <w:t xml:space="preserve">. </w:t>
      </w:r>
      <w:r w:rsidR="00C834BF">
        <w:t>Continuing the pattern of 2013, the</w:t>
      </w:r>
      <w:r w:rsidR="00A42E6D">
        <w:t xml:space="preserve"> differences between the provinces </w:t>
      </w:r>
      <w:r w:rsidR="00C834BF">
        <w:t xml:space="preserve">partially </w:t>
      </w:r>
      <w:r w:rsidR="00A42E6D">
        <w:t>reflect the differences in their geographic make-up: only Sanma has an urban area, Malampa has only one Area Council classified as ‘remote’</w:t>
      </w:r>
      <w:r w:rsidR="001B0F0D">
        <w:t>, and Torba Province is considered entirely ‘remote’, reflecting the many challenge to skills development and business development in Vanuatu’s northernmost province.</w:t>
      </w:r>
      <w:r w:rsidR="00C834BF">
        <w:t xml:space="preserve"> </w:t>
      </w:r>
    </w:p>
    <w:p w14:paraId="2773C530" w14:textId="0DB77897" w:rsidR="00A42E6D" w:rsidRDefault="001B0F0D" w:rsidP="009C385E">
      <w:r>
        <w:t xml:space="preserve">Thus 2014 saw a substantial increase in the proportion of participants from remote areas: a third of the men and women participating were from remote areas (compared to only 6% in 2013), and urban participants now represent fewer than ten per cent of participants, down from 23% in 2013. </w:t>
      </w:r>
      <w:r w:rsidR="002F6FE3">
        <w:t>TVET Centres continue their efforts to ensure that access is extended to people in remote areas as much as possible</w:t>
      </w:r>
      <w:r w:rsidR="009F04B9">
        <w:t xml:space="preserve"> where there is genuine potential for economic impact</w:t>
      </w:r>
      <w:r w:rsidR="002F6FE3">
        <w:t xml:space="preserve">. </w:t>
      </w:r>
    </w:p>
    <w:p w14:paraId="47E51DFD" w14:textId="77777777" w:rsidR="002B09EF" w:rsidRDefault="002B09EF">
      <w:pPr>
        <w:suppressAutoHyphens w:val="0"/>
        <w:spacing w:before="0" w:after="0"/>
        <w:rPr>
          <w:rFonts w:ascii="Calibri" w:eastAsia="MS Gothic" w:hAnsi="Calibri"/>
          <w:b/>
          <w:bCs/>
          <w:i/>
          <w:iCs/>
          <w:color w:val="E36C0A" w:themeColor="accent6" w:themeShade="BF"/>
          <w:sz w:val="20"/>
          <w:szCs w:val="20"/>
        </w:rPr>
      </w:pPr>
      <w:r>
        <w:br w:type="page"/>
      </w:r>
    </w:p>
    <w:p w14:paraId="7084A86B" w14:textId="77777777" w:rsidR="00B44B94" w:rsidRDefault="00B44B94" w:rsidP="00B44B94">
      <w:pPr>
        <w:pStyle w:val="Heading4"/>
      </w:pPr>
      <w:r>
        <w:lastRenderedPageBreak/>
        <w:t>Age</w:t>
      </w:r>
    </w:p>
    <w:p w14:paraId="2C3E113A" w14:textId="343EAE6A" w:rsidR="00B44B94" w:rsidRDefault="00B44B94" w:rsidP="00B44B94">
      <w:r>
        <w:rPr>
          <w:noProof/>
          <w:lang w:val="en-GB" w:eastAsia="en-GB"/>
        </w:rPr>
        <w:drawing>
          <wp:anchor distT="0" distB="0" distL="114300" distR="114300" simplePos="0" relativeHeight="251692544" behindDoc="0" locked="0" layoutInCell="1" allowOverlap="1" wp14:anchorId="1C427345" wp14:editId="62B16C6A">
            <wp:simplePos x="0" y="0"/>
            <wp:positionH relativeFrom="margin">
              <wp:posOffset>2971165</wp:posOffset>
            </wp:positionH>
            <wp:positionV relativeFrom="margin">
              <wp:posOffset>342900</wp:posOffset>
            </wp:positionV>
            <wp:extent cx="2686050" cy="2171700"/>
            <wp:effectExtent l="0" t="0" r="6350" b="1270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8098" r="9625"/>
                    <a:stretch/>
                  </pic:blipFill>
                  <pic:spPr bwMode="auto">
                    <a:xfrm>
                      <a:off x="0" y="0"/>
                      <a:ext cx="2686050" cy="21717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t>The average age of TVET Centre participants in 2014 was 36, with similar average ages for both men (37 years old) and women (35 years old). This is slightly higher than in 2013 (when the average was 32). The Program supported youth skills development throughout 2014, with 21% of participants being aged 15-24. This is a lower level than in 2013, most likely explained by the absence of accredited training in the first half of the year, because participants in accredited training tend to be younger than those in BDS activities</w:t>
      </w:r>
      <w:r>
        <w:rPr>
          <w:rStyle w:val="FootnoteReference"/>
        </w:rPr>
        <w:footnoteReference w:id="17"/>
      </w:r>
      <w:r>
        <w:t xml:space="preserve">. Most commonly TVET Centre participants were aged 25-39 (39% of participants), as in 2013 (43%).  </w:t>
      </w:r>
    </w:p>
    <w:p w14:paraId="1F60831A" w14:textId="7045D8A4" w:rsidR="0003092C" w:rsidRDefault="0003092C" w:rsidP="0003092C">
      <w:pPr>
        <w:pStyle w:val="Heading4"/>
      </w:pPr>
      <w:r>
        <w:t>Sector</w:t>
      </w:r>
    </w:p>
    <w:p w14:paraId="793753E3" w14:textId="6545B294" w:rsidR="00C238A3" w:rsidRDefault="00B44B94" w:rsidP="009C385E">
      <w:r>
        <w:rPr>
          <w:noProof/>
          <w:lang w:val="en-GB" w:eastAsia="en-GB"/>
        </w:rPr>
        <w:drawing>
          <wp:anchor distT="0" distB="0" distL="114300" distR="114300" simplePos="0" relativeHeight="251672064" behindDoc="0" locked="0" layoutInCell="1" allowOverlap="1" wp14:anchorId="2A77C3C7" wp14:editId="50B9DB4E">
            <wp:simplePos x="0" y="0"/>
            <wp:positionH relativeFrom="margin">
              <wp:posOffset>63500</wp:posOffset>
            </wp:positionH>
            <wp:positionV relativeFrom="margin">
              <wp:posOffset>3086100</wp:posOffset>
            </wp:positionV>
            <wp:extent cx="2222500" cy="3930650"/>
            <wp:effectExtent l="0" t="0" r="12700" b="635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00" cy="393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819">
        <w:t>The sectors with the largest number of particip</w:t>
      </w:r>
      <w:r w:rsidR="00C238A3">
        <w:t xml:space="preserve">ants in 2014 have been Tourism, Manufacturing and Fisheries. This reflects the continuing significance of the TVET for Tourism Program, continuing investments in handicrafts and other activities in the manufacturing sector, and the importance of the fisheries sector for many communities across Program provinces. </w:t>
      </w:r>
      <w:r w:rsidR="00276D44">
        <w:t xml:space="preserve">As already noted, too, the suspension of accredited training for the first half of the year has influenced the lower level of activity in some sectors, such as Trades and Services. </w:t>
      </w:r>
    </w:p>
    <w:p w14:paraId="0387D92C" w14:textId="798D2233" w:rsidR="00486DA6" w:rsidRDefault="00324786" w:rsidP="009C385E">
      <w:r>
        <w:t xml:space="preserve">The advances in women’s participation are reflected in most sectors where the Program has </w:t>
      </w:r>
      <w:r w:rsidR="005F5177">
        <w:t>coordinated the delivery of</w:t>
      </w:r>
      <w:r>
        <w:t xml:space="preserve"> skills development, but there remain several sectors that continue to be dominated by men, as </w:t>
      </w:r>
      <w:r w:rsidR="00A10F88">
        <w:t>the figure</w:t>
      </w:r>
      <w:r>
        <w:t xml:space="preserve"> below makes clear. In particular, the Fisheries, Forestry and Livestock sectors have seen low levels of women’s participation in TVET Centre activities. This is a continuation of a pattern evident in 2013 participation data. </w:t>
      </w:r>
    </w:p>
    <w:p w14:paraId="03AF050C" w14:textId="77777777" w:rsidR="0061546E" w:rsidRDefault="0061546E" w:rsidP="009C385E"/>
    <w:p w14:paraId="34CAF59E" w14:textId="5B93FC7C" w:rsidR="00324786" w:rsidRDefault="00324786" w:rsidP="00324786">
      <w:pPr>
        <w:pStyle w:val="Caption"/>
      </w:pPr>
      <w:r>
        <w:lastRenderedPageBreak/>
        <w:t xml:space="preserve">TVET Centre Participants by Sector and Sex (2014) </w:t>
      </w:r>
    </w:p>
    <w:p w14:paraId="0B9DB05C" w14:textId="77833F33" w:rsidR="009C385E" w:rsidRDefault="00E9027D" w:rsidP="0003092C">
      <w:pPr>
        <w:jc w:val="center"/>
      </w:pPr>
      <w:r>
        <w:rPr>
          <w:noProof/>
          <w:lang w:val="en-GB" w:eastAsia="en-GB"/>
        </w:rPr>
        <w:drawing>
          <wp:inline distT="0" distB="0" distL="0" distR="0" wp14:anchorId="1C7E1A5D" wp14:editId="559479D3">
            <wp:extent cx="4605618" cy="2155875"/>
            <wp:effectExtent l="0" t="0" r="0" b="317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10109"/>
                    <a:stretch/>
                  </pic:blipFill>
                  <pic:spPr bwMode="auto">
                    <a:xfrm>
                      <a:off x="0" y="0"/>
                      <a:ext cx="4609214" cy="215755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B03F211" w14:textId="5A11374B" w:rsidR="0015618B" w:rsidRDefault="0015618B" w:rsidP="0015618B">
      <w:pPr>
        <w:pStyle w:val="Heading4"/>
      </w:pPr>
      <w:r>
        <w:t xml:space="preserve">Participants with a Disability </w:t>
      </w:r>
    </w:p>
    <w:p w14:paraId="55B950E7" w14:textId="22BAB89B" w:rsidR="0067056D" w:rsidRDefault="00903055" w:rsidP="0067056D">
      <w:r>
        <w:rPr>
          <w:noProof/>
          <w:lang w:val="en-US"/>
        </w:rPr>
        <w:t>Data in 2014</w:t>
      </w:r>
      <w:r w:rsidR="0067056D">
        <w:t xml:space="preserve"> indicates that 8% of TVET Centre participants were men and women with a disability. This is a substantial increase compared to 2013 (4%), and suggests that the efforts associated with the Program’s Disability Inclusion Strategy are having an effect. </w:t>
      </w:r>
    </w:p>
    <w:p w14:paraId="73B4372F" w14:textId="38925D2F" w:rsidR="00E40617" w:rsidRDefault="00903055" w:rsidP="00903055">
      <w:r>
        <w:t xml:space="preserve">Supporting this have been a number of important activities including: </w:t>
      </w:r>
    </w:p>
    <w:p w14:paraId="245EC884" w14:textId="77777777" w:rsidR="007748D9" w:rsidRDefault="00903055" w:rsidP="00903055">
      <w:pPr>
        <w:pStyle w:val="BulletList"/>
      </w:pPr>
      <w:r>
        <w:t>Adjustment to several TVET Centre processes, such as expression of interest forms</w:t>
      </w:r>
    </w:p>
    <w:p w14:paraId="2886059F" w14:textId="4D6AB22F" w:rsidR="00903055" w:rsidRDefault="007748D9" w:rsidP="00903055">
      <w:pPr>
        <w:pStyle w:val="BulletList"/>
      </w:pPr>
      <w:r>
        <w:t xml:space="preserve">Integration of disability considerations into the Gender </w:t>
      </w:r>
      <w:r w:rsidR="00534333">
        <w:t xml:space="preserve">Equality </w:t>
      </w:r>
      <w:r>
        <w:t>Strategy</w:t>
      </w:r>
    </w:p>
    <w:p w14:paraId="0CA09336" w14:textId="2C4649CA" w:rsidR="007748D9" w:rsidRDefault="007748D9" w:rsidP="00903055">
      <w:pPr>
        <w:pStyle w:val="BulletList"/>
      </w:pPr>
      <w:r>
        <w:t>Development of a needs assessment tool</w:t>
      </w:r>
    </w:p>
    <w:p w14:paraId="073C383E" w14:textId="53B70178" w:rsidR="007748D9" w:rsidRDefault="007748D9" w:rsidP="00903055">
      <w:pPr>
        <w:pStyle w:val="BulletList"/>
      </w:pPr>
      <w:r>
        <w:t xml:space="preserve">Commencement of development of a referral guide, which will be further refined in consultation with the Vanuatu Disability Civil Society Network in early 2015. </w:t>
      </w:r>
    </w:p>
    <w:p w14:paraId="19F163A1" w14:textId="3B9A3B76" w:rsidR="007748D9" w:rsidRDefault="007748D9" w:rsidP="007748D9">
      <w:r>
        <w:t xml:space="preserve">These continuing efforts, combined with the positive approach within VQA and other parts of government, should continue to result in good levels of disability inclusion in skills development. </w:t>
      </w:r>
    </w:p>
    <w:p w14:paraId="48F23B38" w14:textId="77777777" w:rsidR="00183E5B" w:rsidRDefault="00183E5B" w:rsidP="00183E5B">
      <w:pPr>
        <w:pStyle w:val="Heading4"/>
      </w:pPr>
      <w:r>
        <w:t xml:space="preserve">Occupation </w:t>
      </w:r>
    </w:p>
    <w:p w14:paraId="4DC5FE2A" w14:textId="79CE4D28" w:rsidR="00C33D91" w:rsidRDefault="00507793" w:rsidP="00E40617">
      <w:r>
        <w:rPr>
          <w:noProof/>
          <w:lang w:val="en-GB" w:eastAsia="en-GB"/>
        </w:rPr>
        <w:drawing>
          <wp:anchor distT="0" distB="0" distL="114300" distR="114300" simplePos="0" relativeHeight="251694592" behindDoc="0" locked="0" layoutInCell="1" allowOverlap="1" wp14:anchorId="64823EB6" wp14:editId="0F3DB97E">
            <wp:simplePos x="0" y="0"/>
            <wp:positionH relativeFrom="margin">
              <wp:posOffset>0</wp:posOffset>
            </wp:positionH>
            <wp:positionV relativeFrom="margin">
              <wp:posOffset>6172200</wp:posOffset>
            </wp:positionV>
            <wp:extent cx="2628900" cy="2101215"/>
            <wp:effectExtent l="0" t="0" r="12700" b="6985"/>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9290" r="9658" b="8135"/>
                    <a:stretch/>
                  </pic:blipFill>
                  <pic:spPr bwMode="auto">
                    <a:xfrm>
                      <a:off x="0" y="0"/>
                      <a:ext cx="2628900" cy="210121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6102">
        <w:t xml:space="preserve">Half of the participants in skills development in 2014 were men and women who support themselves and their families mainly through subsistence activities (48%). </w:t>
      </w:r>
      <w:r w:rsidR="001345F9">
        <w:t xml:space="preserve">This is a substantially higher proportion than in 2013, likely to reflect the substantial increase in participants from remote areas who are much less likely to be in formal employment or operating established businesses. </w:t>
      </w:r>
    </w:p>
    <w:p w14:paraId="596EFD9F" w14:textId="237926B2" w:rsidR="008B7EA8" w:rsidRPr="00E40617" w:rsidRDefault="00276800" w:rsidP="00E40617">
      <w:r>
        <w:t>The extent to which skills development is contributing to participan</w:t>
      </w:r>
      <w:r w:rsidR="00C33D91">
        <w:t>t</w:t>
      </w:r>
      <w:r>
        <w:t xml:space="preserve">s shifting from subsistence to more established business and self-employment is not yet possible to assess, and the six-monthly participant outcomes surveys are not designed to investigate this in depth. If this question </w:t>
      </w:r>
      <w:r w:rsidR="00C33D91">
        <w:t xml:space="preserve">is considered </w:t>
      </w:r>
      <w:r>
        <w:t>an issue of sufficient importance</w:t>
      </w:r>
      <w:r w:rsidR="00C33D91">
        <w:t xml:space="preserve">, a small-scale stand-alone evaluation study would be necessary to establish any outcomes in this regard. </w:t>
      </w:r>
    </w:p>
    <w:p w14:paraId="4EEFB30A" w14:textId="729745C5" w:rsidR="00E80C13" w:rsidRDefault="00E80C13" w:rsidP="00E80C13">
      <w:pPr>
        <w:pStyle w:val="Heading3"/>
      </w:pPr>
      <w:r>
        <w:lastRenderedPageBreak/>
        <w:t xml:space="preserve">Training Providers </w:t>
      </w:r>
    </w:p>
    <w:p w14:paraId="5CB4736D" w14:textId="6BD006BC" w:rsidR="00E80C13" w:rsidRDefault="002663C3" w:rsidP="0095398A">
      <w:r>
        <w:t>The contracting and management of local providers is an important component of building their capacity, a</w:t>
      </w:r>
      <w:r w:rsidR="00366C21">
        <w:t>nd thus the capacity of the whole TVET sector in Vanuatu. Over 2014 a range of training providers and industry experts provided skills development services through the TVET Centres</w:t>
      </w:r>
      <w:r w:rsidR="00116613">
        <w:t xml:space="preserve"> and </w:t>
      </w:r>
      <w:r w:rsidR="00366C21">
        <w:t xml:space="preserve">supported a continuing program of training provider capacity development. </w:t>
      </w:r>
    </w:p>
    <w:p w14:paraId="5C538A49" w14:textId="3B3014DE" w:rsidR="00366C21" w:rsidRDefault="00EA11A6" w:rsidP="0095398A">
      <w:r>
        <w:t xml:space="preserve">With the limitations in accredited training delivery in 2014 there was a resulting drop in the number and diversity of registered training providers engaged in TVET Centre skills development delivery. Only four registered training providers </w:t>
      </w:r>
      <w:r w:rsidR="00062A04">
        <w:t>provided accredited training</w:t>
      </w:r>
      <w:r>
        <w:t xml:space="preserve"> in 2014 (compared to ten in 2013), and all were larger providers (Vanuatu Institute of Technology, Vanuatu Agriculture College, Vanuatu College of Nurse Education, and the Vanuatu Chamber of Commerce and Industry). No Rural Training Centres provided TVET Centre </w:t>
      </w:r>
      <w:r w:rsidR="00062A04">
        <w:t xml:space="preserve">accredited </w:t>
      </w:r>
      <w:r>
        <w:t xml:space="preserve">training in 2014 as a result of their de-registration and the ongoing work involved in their re-registration process. </w:t>
      </w:r>
    </w:p>
    <w:p w14:paraId="389EC3D6" w14:textId="5789DC13" w:rsidR="00E53BC2" w:rsidRDefault="00EB3885" w:rsidP="0095398A">
      <w:r>
        <w:t xml:space="preserve">In contrast, the Program continued to expand its range of industry experts who provided business development services (training workshops and coaching/mentoring) </w:t>
      </w:r>
      <w:r w:rsidR="00534333">
        <w:t xml:space="preserve">through the TVET Centres </w:t>
      </w:r>
      <w:r>
        <w:t>in 2014. A total of twenty-six different organisations and individual</w:t>
      </w:r>
      <w:r w:rsidR="008C79A8">
        <w:t xml:space="preserve">s delivered skills development. </w:t>
      </w:r>
      <w:r w:rsidR="00CA4C6C">
        <w:t>Individual experts dominated BDS activities, delivering 73% of activities, with Government Departments the second most common BDS provider (</w:t>
      </w:r>
      <w:r w:rsidR="008C79A8">
        <w:t>13%). BDS experts included for the first time several ni-Vanuatu individual experts. This is a positive development in terms of sustainability.</w:t>
      </w:r>
      <w:r w:rsidR="00062A04">
        <w:t xml:space="preserve"> Other BDS activities were provided by registered training providers, government departments, staff of the TVET Centres, and one private sector organisation.</w:t>
      </w:r>
    </w:p>
    <w:p w14:paraId="01083880" w14:textId="369C7820" w:rsidR="00A8218F" w:rsidRDefault="00E53BC2" w:rsidP="0095398A">
      <w:r>
        <w:t xml:space="preserve">A list of all training providers and industry experts who delivered skills development activities in 2014 is provided at Annex 2. </w:t>
      </w:r>
    </w:p>
    <w:p w14:paraId="064FD79A" w14:textId="1564A2AB" w:rsidR="00ED541E" w:rsidRDefault="00ED541E" w:rsidP="00ED541E">
      <w:pPr>
        <w:pStyle w:val="Heading3"/>
      </w:pPr>
      <w:r>
        <w:t xml:space="preserve">Participant Outcomes </w:t>
      </w:r>
    </w:p>
    <w:p w14:paraId="36317D8E" w14:textId="161299A4" w:rsidR="00635558" w:rsidRDefault="00C0207C" w:rsidP="00ED541E">
      <w:r>
        <w:t>The Participant Outcomes Survey was launched in March 2014</w:t>
      </w:r>
      <w:r w:rsidR="00F65E9B">
        <w:t>, establishing a cycle of six-monthly survey interviews with a sample of TVET Centre participants. Designed to explore personal, employment, business and economic outcomes at a period six-to-eight months after participating in skills development, the Survey has been completed twice, as scheduled.</w:t>
      </w:r>
      <w:r w:rsidR="00170761">
        <w:t xml:space="preserve"> The survey is conducted across Program provinces by an interview team of two (the Program M&amp;E Manager and M&amp;E Officer), who visit past participants in their homes and workplaces to conduct a structured interview of 20-30 minutes duration. </w:t>
      </w:r>
      <w:r w:rsidR="007D1073">
        <w:t xml:space="preserve">The M&amp;E team then enters data </w:t>
      </w:r>
      <w:r w:rsidR="00170761">
        <w:t xml:space="preserve">into a </w:t>
      </w:r>
      <w:r w:rsidR="007D1073">
        <w:t xml:space="preserve">Survey Monkey </w:t>
      </w:r>
      <w:r w:rsidR="00170761">
        <w:t>database</w:t>
      </w:r>
      <w:r w:rsidR="007D1073">
        <w:t xml:space="preserve"> before raw data is exported into an Excel file. Specialist </w:t>
      </w:r>
      <w:r w:rsidR="00F83660">
        <w:t>personnel</w:t>
      </w:r>
      <w:r w:rsidR="007D1073">
        <w:t xml:space="preserve"> at the Australian Council</w:t>
      </w:r>
      <w:r w:rsidR="004041DA">
        <w:t xml:space="preserve"> for Educational Research</w:t>
      </w:r>
      <w:r w:rsidR="007D1073">
        <w:t xml:space="preserve"> undertake the quantitative analysis, including weighting to reflect the different sample populations, using </w:t>
      </w:r>
      <w:r w:rsidR="00FC2705">
        <w:t>SAS</w:t>
      </w:r>
      <w:r w:rsidR="00FC2705">
        <w:rPr>
          <w:rStyle w:val="FootnoteReference"/>
        </w:rPr>
        <w:footnoteReference w:id="18"/>
      </w:r>
      <w:r w:rsidR="007D1073">
        <w:t>.</w:t>
      </w:r>
      <w:r w:rsidR="00170761">
        <w:t xml:space="preserve"> The survey design and instrument are provided at Annex 4. </w:t>
      </w:r>
      <w:r w:rsidR="00F65E9B">
        <w:t xml:space="preserve"> </w:t>
      </w:r>
    </w:p>
    <w:p w14:paraId="400EDDED" w14:textId="574A14A9" w:rsidR="00ED541E" w:rsidRDefault="00635558" w:rsidP="00ED541E">
      <w:r>
        <w:t>The</w:t>
      </w:r>
      <w:r w:rsidR="00F65E9B">
        <w:t xml:space="preserve"> t</w:t>
      </w:r>
      <w:r w:rsidR="00C0207C">
        <w:t xml:space="preserve">wo rounds of interviews </w:t>
      </w:r>
      <w:r>
        <w:t xml:space="preserve">completed in 2014 </w:t>
      </w:r>
      <w:r w:rsidR="00F65E9B">
        <w:t>have yielded</w:t>
      </w:r>
      <w:r w:rsidR="00C0207C">
        <w:t xml:space="preserve"> a total data set of </w:t>
      </w:r>
      <w:r>
        <w:t>185</w:t>
      </w:r>
      <w:r w:rsidR="00F65E9B">
        <w:t xml:space="preserve">, enabling </w:t>
      </w:r>
      <w:r w:rsidR="005A283E">
        <w:t>some</w:t>
      </w:r>
      <w:r w:rsidR="00F65E9B">
        <w:t xml:space="preserve"> analysis of outcomes for participants</w:t>
      </w:r>
      <w:r w:rsidR="00170761">
        <w:rPr>
          <w:rStyle w:val="FootnoteReference"/>
        </w:rPr>
        <w:footnoteReference w:id="19"/>
      </w:r>
      <w:r w:rsidR="005A283E">
        <w:t>, examining core aspects of their post-training experiences</w:t>
      </w:r>
      <w:r w:rsidR="00F65E9B">
        <w:t xml:space="preserve">. </w:t>
      </w:r>
      <w:r w:rsidR="00E25ADA">
        <w:t xml:space="preserve">As the dataset grows over the course of 2015, </w:t>
      </w:r>
      <w:r w:rsidR="005A283E">
        <w:t>with</w:t>
      </w:r>
      <w:r w:rsidR="00E25ADA">
        <w:t xml:space="preserve"> two more interview rounds, the basis for more complex analysis will become stronger. It </w:t>
      </w:r>
      <w:r w:rsidR="00125AF4">
        <w:t>may</w:t>
      </w:r>
      <w:r w:rsidR="00E25ADA">
        <w:t xml:space="preserve"> enable exploration of, for example, </w:t>
      </w:r>
      <w:r w:rsidR="00125AF4">
        <w:t xml:space="preserve">differences in outcomes between participants in different sectors, age groups, or provinces, or whether there are emerging patterns in the kinds of obstacles participants are facing. However at this stage, preliminary conclusions can be drawn about </w:t>
      </w:r>
      <w:r w:rsidR="00A10F88">
        <w:t xml:space="preserve">some aspects of </w:t>
      </w:r>
      <w:r w:rsidR="00125AF4">
        <w:t xml:space="preserve">personal economic </w:t>
      </w:r>
      <w:r w:rsidR="00125AF4">
        <w:lastRenderedPageBreak/>
        <w:t xml:space="preserve">outcomes </w:t>
      </w:r>
      <w:r w:rsidR="00F83660">
        <w:t xml:space="preserve">and changes in business income. These findings are </w:t>
      </w:r>
      <w:r w:rsidR="00207252">
        <w:t>estimates</w:t>
      </w:r>
      <w:r w:rsidR="00F83660">
        <w:t xml:space="preserve"> based on weighted data, and further details can be found in Annex 5. </w:t>
      </w:r>
    </w:p>
    <w:p w14:paraId="4440CDFA" w14:textId="3C0A400D" w:rsidR="009921FB" w:rsidRDefault="009921FB" w:rsidP="009921FB">
      <w:pPr>
        <w:pStyle w:val="Heading4"/>
      </w:pPr>
      <w:r>
        <w:t xml:space="preserve">Personal Income and Livelihood Outcomes </w:t>
      </w:r>
    </w:p>
    <w:p w14:paraId="010CC9BF" w14:textId="38C7379E" w:rsidR="00207252" w:rsidRDefault="00207252" w:rsidP="00ED541E">
      <w:r>
        <w:t xml:space="preserve">Examining the extent to which participants report increased income or improvement in their livelihood six to </w:t>
      </w:r>
      <w:r w:rsidR="00116AB9">
        <w:t>eight</w:t>
      </w:r>
      <w:r>
        <w:t xml:space="preserve"> months after participating in skills development through the TVET Centres, some differences are apparent between occupation types</w:t>
      </w:r>
      <w:r w:rsidR="00A669CC">
        <w:rPr>
          <w:rStyle w:val="FootnoteReference"/>
        </w:rPr>
        <w:footnoteReference w:id="20"/>
      </w:r>
      <w:r>
        <w:t xml:space="preserve">: </w:t>
      </w:r>
    </w:p>
    <w:p w14:paraId="68D0BB0C" w14:textId="6E25A6B0" w:rsidR="00E15206" w:rsidRPr="00C05599" w:rsidRDefault="00526B3D" w:rsidP="00116AB9">
      <w:pPr>
        <w:pStyle w:val="BulletList"/>
      </w:pPr>
      <w:r w:rsidRPr="00C05599">
        <w:rPr>
          <w:lang w:val="en-US"/>
        </w:rPr>
        <w:t xml:space="preserve">18% of employed </w:t>
      </w:r>
      <w:r w:rsidR="00207252">
        <w:rPr>
          <w:lang w:val="en-US"/>
        </w:rPr>
        <w:t xml:space="preserve">participants report increased income </w:t>
      </w:r>
    </w:p>
    <w:p w14:paraId="2AA49FFD" w14:textId="256E1F90" w:rsidR="00E15206" w:rsidRPr="00C05599" w:rsidRDefault="00526B3D" w:rsidP="00116AB9">
      <w:pPr>
        <w:pStyle w:val="BulletList"/>
      </w:pPr>
      <w:r w:rsidRPr="00C05599">
        <w:rPr>
          <w:lang w:val="en-US"/>
        </w:rPr>
        <w:t xml:space="preserve">93% of self-employed </w:t>
      </w:r>
      <w:r w:rsidR="00207252">
        <w:rPr>
          <w:lang w:val="en-US"/>
        </w:rPr>
        <w:t>report increased income</w:t>
      </w:r>
    </w:p>
    <w:p w14:paraId="089A8494" w14:textId="5EBBB677" w:rsidR="00E15206" w:rsidRPr="00207252" w:rsidRDefault="00526B3D" w:rsidP="00116AB9">
      <w:pPr>
        <w:pStyle w:val="BulletList"/>
      </w:pPr>
      <w:r w:rsidRPr="00C05599">
        <w:rPr>
          <w:lang w:val="en-US"/>
        </w:rPr>
        <w:t>74% of subsistence/ students/ other</w:t>
      </w:r>
      <w:r w:rsidR="00207252">
        <w:rPr>
          <w:lang w:val="en-US"/>
        </w:rPr>
        <w:t xml:space="preserve"> participants report improved livelihood. </w:t>
      </w:r>
    </w:p>
    <w:p w14:paraId="0CBD8C4A" w14:textId="6EDA5D8F" w:rsidR="00207252" w:rsidRPr="00C05599" w:rsidRDefault="00207252" w:rsidP="00207252">
      <w:r>
        <w:t xml:space="preserve">This suggests that people who are self employed or otherwise generate their own income directly (i.e. mainly subsistence workers) have much greater scope to change their income or livelihood within six to eight months. Intuitively this is a plausible conclusion, because those in formal employment need to wait for a promotion, a new (higher-paying) job, or a pay rise before their income can increase. A longer timeframe may be necessary before any conclusions could be drawn about the income outcomes of skills development for those in formal employment. But these data do suggest a </w:t>
      </w:r>
      <w:r w:rsidR="007A4ED5">
        <w:t xml:space="preserve">clear </w:t>
      </w:r>
      <w:r>
        <w:t>positive income effect of TVET Centre activity for the majority of those who are self-employed and subsistence workers.</w:t>
      </w:r>
    </w:p>
    <w:p w14:paraId="0E60C308" w14:textId="052F142B" w:rsidR="00C05599" w:rsidRDefault="00047592" w:rsidP="00ED541E">
      <w:r>
        <w:t xml:space="preserve">Looking more closely at the outcomes for women participants, similar distinctions are apparent between occupational groups: </w:t>
      </w:r>
    </w:p>
    <w:p w14:paraId="610AAF46" w14:textId="22BD9A05" w:rsidR="00047592" w:rsidRPr="00C05599" w:rsidRDefault="00047592" w:rsidP="0019245A">
      <w:pPr>
        <w:numPr>
          <w:ilvl w:val="0"/>
          <w:numId w:val="11"/>
        </w:numPr>
      </w:pPr>
      <w:r w:rsidRPr="00C05599">
        <w:rPr>
          <w:lang w:val="en-US"/>
        </w:rPr>
        <w:t xml:space="preserve">11% </w:t>
      </w:r>
      <w:r>
        <w:rPr>
          <w:lang w:val="en-US"/>
        </w:rPr>
        <w:t>of</w:t>
      </w:r>
      <w:r w:rsidRPr="00C05599">
        <w:rPr>
          <w:lang w:val="en-US"/>
        </w:rPr>
        <w:t xml:space="preserve"> women </w:t>
      </w:r>
      <w:r>
        <w:rPr>
          <w:lang w:val="en-US"/>
        </w:rPr>
        <w:t>in formal employment report increased income</w:t>
      </w:r>
    </w:p>
    <w:p w14:paraId="71F2F714" w14:textId="1A3A2AC5" w:rsidR="00047592" w:rsidRPr="00C05599" w:rsidRDefault="00047592" w:rsidP="0019245A">
      <w:pPr>
        <w:numPr>
          <w:ilvl w:val="0"/>
          <w:numId w:val="11"/>
        </w:numPr>
      </w:pPr>
      <w:r w:rsidRPr="00C05599">
        <w:rPr>
          <w:lang w:val="en-US"/>
        </w:rPr>
        <w:t xml:space="preserve">88% </w:t>
      </w:r>
      <w:r>
        <w:rPr>
          <w:lang w:val="en-US"/>
        </w:rPr>
        <w:t xml:space="preserve">of </w:t>
      </w:r>
      <w:r w:rsidRPr="00C05599">
        <w:rPr>
          <w:lang w:val="en-US"/>
        </w:rPr>
        <w:t xml:space="preserve">self-employed women </w:t>
      </w:r>
      <w:r>
        <w:rPr>
          <w:lang w:val="en-US"/>
        </w:rPr>
        <w:t xml:space="preserve">report increased income </w:t>
      </w:r>
    </w:p>
    <w:p w14:paraId="10FDB4A0" w14:textId="5E2B5C20" w:rsidR="00047592" w:rsidRPr="00C05599" w:rsidRDefault="00047592" w:rsidP="0019245A">
      <w:pPr>
        <w:numPr>
          <w:ilvl w:val="0"/>
          <w:numId w:val="11"/>
        </w:numPr>
      </w:pPr>
      <w:r w:rsidRPr="00C05599">
        <w:rPr>
          <w:lang w:val="en-US"/>
        </w:rPr>
        <w:t xml:space="preserve">91% </w:t>
      </w:r>
      <w:r>
        <w:rPr>
          <w:lang w:val="en-US"/>
        </w:rPr>
        <w:t>of</w:t>
      </w:r>
      <w:r w:rsidRPr="00C05599">
        <w:rPr>
          <w:lang w:val="en-US"/>
        </w:rPr>
        <w:t xml:space="preserve"> subsistence/ students/ other</w:t>
      </w:r>
      <w:r>
        <w:rPr>
          <w:lang w:val="en-US"/>
        </w:rPr>
        <w:t xml:space="preserve"> women report improved livelihood</w:t>
      </w:r>
    </w:p>
    <w:p w14:paraId="5E8AA9CA" w14:textId="59BF0957" w:rsidR="00C05599" w:rsidRDefault="00C05599" w:rsidP="00ED541E">
      <w:r w:rsidRPr="00C05599">
        <w:t>The most successful seem to be</w:t>
      </w:r>
      <w:r w:rsidR="00047592">
        <w:t xml:space="preserve"> the women subsistence workers, with almost all reporting improvements in livelihood as a result of their skills development</w:t>
      </w:r>
      <w:r w:rsidR="007A4ED5">
        <w:t>. This may partly be influenced by the low base from which subsistence livelihoods are being improved. S</w:t>
      </w:r>
      <w:r w:rsidR="00047592">
        <w:t xml:space="preserve">elf-employed women are almost as frequently reporting income improvements. </w:t>
      </w:r>
    </w:p>
    <w:p w14:paraId="3564CE68" w14:textId="77777777" w:rsidR="00047592" w:rsidRDefault="00047592" w:rsidP="00047592">
      <w:r>
        <w:t xml:space="preserve">Overall, 65% of women reported increased income or livelihood, compared to 59% of men. This may suggest that women have a somewhat greater capacity for income or livelihood improvements, but the data has not yet been tested for statistical significance in this regard. This will be examined more closely in the 2015 analysis. </w:t>
      </w:r>
    </w:p>
    <w:p w14:paraId="6FFE6B21" w14:textId="5E6A85BF" w:rsidR="00C05599" w:rsidRDefault="00047592" w:rsidP="009921FB">
      <w:pPr>
        <w:pStyle w:val="Heading4"/>
      </w:pPr>
      <w:r>
        <w:t>Business Outcomes</w:t>
      </w:r>
    </w:p>
    <w:p w14:paraId="15CB11D7" w14:textId="77777777" w:rsidR="00047592" w:rsidRDefault="00047592" w:rsidP="00047592">
      <w:pPr>
        <w:rPr>
          <w:lang w:val="en-US"/>
        </w:rPr>
      </w:pPr>
      <w:r>
        <w:t>The study also explores changes in business income for those participants who are self-employed, and also the reasons for any changes in business income. Analysis finds that 100% of self-employed participants say their</w:t>
      </w:r>
      <w:r w:rsidR="00526B3D" w:rsidRPr="00C05599">
        <w:rPr>
          <w:lang w:val="en-US"/>
        </w:rPr>
        <w:t xml:space="preserve"> </w:t>
      </w:r>
      <w:r w:rsidR="00526B3D" w:rsidRPr="002E7092">
        <w:rPr>
          <w:lang w:val="en-US"/>
        </w:rPr>
        <w:t>business has improved</w:t>
      </w:r>
      <w:r w:rsidRPr="002E7092">
        <w:rPr>
          <w:rStyle w:val="FootnoteReference"/>
          <w:lang w:val="en-US"/>
        </w:rPr>
        <w:footnoteReference w:id="21"/>
      </w:r>
      <w:r w:rsidR="00526B3D" w:rsidRPr="00C05599">
        <w:rPr>
          <w:lang w:val="en-US"/>
        </w:rPr>
        <w:t xml:space="preserve"> as a result of skills development</w:t>
      </w:r>
      <w:r>
        <w:rPr>
          <w:lang w:val="en-US"/>
        </w:rPr>
        <w:t>, and 84% say this is because</w:t>
      </w:r>
      <w:r w:rsidR="00526B3D" w:rsidRPr="00C05599">
        <w:rPr>
          <w:lang w:val="en-US"/>
        </w:rPr>
        <w:t xml:space="preserve"> they use new techniques or systems</w:t>
      </w:r>
      <w:r>
        <w:rPr>
          <w:lang w:val="en-US"/>
        </w:rPr>
        <w:t xml:space="preserve"> learned through their TVET Centre participation. </w:t>
      </w:r>
    </w:p>
    <w:p w14:paraId="7B29A373" w14:textId="0416EEE8" w:rsidR="00E15206" w:rsidRPr="009921FB" w:rsidRDefault="00047592" w:rsidP="009921FB">
      <w:r>
        <w:rPr>
          <w:lang w:val="en-US"/>
        </w:rPr>
        <w:t xml:space="preserve">Looking specifically </w:t>
      </w:r>
      <w:r w:rsidR="009921FB">
        <w:rPr>
          <w:lang w:val="en-US"/>
        </w:rPr>
        <w:t xml:space="preserve">at the income generated by businesses, 92% of self-employed participants </w:t>
      </w:r>
      <w:r w:rsidR="00526B3D" w:rsidRPr="00C05599">
        <w:rPr>
          <w:lang w:val="en-US"/>
        </w:rPr>
        <w:t xml:space="preserve">report increased business </w:t>
      </w:r>
      <w:r w:rsidR="00526B3D" w:rsidRPr="002E7092">
        <w:rPr>
          <w:iCs/>
          <w:lang w:val="en-US"/>
        </w:rPr>
        <w:t>income</w:t>
      </w:r>
      <w:r w:rsidR="009921FB">
        <w:rPr>
          <w:i/>
          <w:iCs/>
          <w:lang w:val="en-US"/>
        </w:rPr>
        <w:t xml:space="preserve">. </w:t>
      </w:r>
      <w:r w:rsidR="009921FB">
        <w:rPr>
          <w:iCs/>
          <w:lang w:val="en-US"/>
        </w:rPr>
        <w:t xml:space="preserve">When asked what was most valuable in their skills </w:t>
      </w:r>
      <w:r w:rsidR="009921FB">
        <w:rPr>
          <w:iCs/>
          <w:lang w:val="en-US"/>
        </w:rPr>
        <w:lastRenderedPageBreak/>
        <w:t xml:space="preserve">development in order to achieve increased business income, the most common responses were: new skills and knowledge (76%), and support through coaching and mentoring (57%). </w:t>
      </w:r>
    </w:p>
    <w:p w14:paraId="02A675CC" w14:textId="42D5C761" w:rsidR="00C05599" w:rsidRDefault="00B44B94" w:rsidP="00ED541E">
      <w:r>
        <w:rPr>
          <w:noProof/>
          <w:lang w:val="en-GB" w:eastAsia="en-GB"/>
        </w:rPr>
        <mc:AlternateContent>
          <mc:Choice Requires="wps">
            <w:drawing>
              <wp:anchor distT="0" distB="0" distL="114300" distR="114300" simplePos="0" relativeHeight="251688448" behindDoc="0" locked="0" layoutInCell="1" allowOverlap="1" wp14:anchorId="5C5B004F" wp14:editId="0C83DA00">
                <wp:simplePos x="0" y="0"/>
                <wp:positionH relativeFrom="column">
                  <wp:posOffset>457200</wp:posOffset>
                </wp:positionH>
                <wp:positionV relativeFrom="paragraph">
                  <wp:posOffset>3810</wp:posOffset>
                </wp:positionV>
                <wp:extent cx="4572000" cy="43815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4572000" cy="4381500"/>
                        </a:xfrm>
                        <a:prstGeom prst="rect">
                          <a:avLst/>
                        </a:prstGeom>
                        <a:solidFill>
                          <a:schemeClr val="accent6">
                            <a:lumMod val="60000"/>
                            <a:lumOff val="4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9FBD37" w14:textId="19B4E2FF" w:rsidR="00564169" w:rsidRDefault="00564169" w:rsidP="0012492B">
                            <w:pPr>
                              <w:pStyle w:val="TextBoxHeading"/>
                            </w:pPr>
                            <w:r>
                              <w:t xml:space="preserve">Participant Outcomes Stories – Tilapia Fish Farming </w:t>
                            </w:r>
                          </w:p>
                          <w:p w14:paraId="1296D110" w14:textId="462EB568" w:rsidR="00564169" w:rsidRDefault="00564169" w:rsidP="0012492B">
                            <w:pPr>
                              <w:pStyle w:val="TableText"/>
                            </w:pPr>
                            <w:r>
                              <w:t xml:space="preserve">The October interview sample for the Participant Outcomes Survey included many men and a few women who had completed training in tilapia fish farming. In addition to the quantitative data collected, this enabled the interview team to hear many personal stories that, together, offer some useful observations. </w:t>
                            </w:r>
                          </w:p>
                          <w:p w14:paraId="151BD0AF" w14:textId="3A0DA451" w:rsidR="00564169" w:rsidRDefault="00564169" w:rsidP="0012492B">
                            <w:pPr>
                              <w:pStyle w:val="TableText"/>
                            </w:pPr>
                            <w:r>
                              <w:t xml:space="preserve">First, for many participants 6-8 months had not been long enough to start generating income with their new skills. It was not sufficient for the time required to build ponds, establish water supply and then grow fish ready for harvest. This points to the fact that for some sectors or some skills there will be a longer lead time before participants can see economic benefits. </w:t>
                            </w:r>
                          </w:p>
                          <w:p w14:paraId="0F3A3CF4" w14:textId="716E4E8B" w:rsidR="00564169" w:rsidRDefault="00564169" w:rsidP="0012492B">
                            <w:pPr>
                              <w:pStyle w:val="TableText"/>
                            </w:pPr>
                            <w:r>
                              <w:t xml:space="preserve">Second, there were several stories about participants passing their skills on to others in their families and communities. These others are now also building ponds and buying fingerlings to launch their own fish farming businesses. This has the potential for flow-on benefits beyond just the men and women directly trained, as long as it does not generate an over-supply of product in the market. This flow-on effect may also hold true for other skills and sectors. </w:t>
                            </w:r>
                          </w:p>
                          <w:p w14:paraId="25B37A7A" w14:textId="28B12FD6" w:rsidR="00564169" w:rsidRDefault="00564169" w:rsidP="0012492B">
                            <w:pPr>
                              <w:pStyle w:val="TableText"/>
                            </w:pPr>
                            <w:r>
                              <w:t xml:space="preserve">Finally, some participants found that they could not fill their ponds with water, due to low capacity village water supply systems, or no access to rain catchment, or drought, or the absence of an underground water system. Sometimes this might mean that fish farming was not an appropriate choice for the individual. But the stories also highlight the fact that, regardless of the quality of training or the motivation of participants, barriers outside of an individual’s control – such as poor infrastructure – can prove insurmountable. This emphasises the great importance of sectors working together to support economic development in the provinces: because sometimes skills development is not enough.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6" type="#_x0000_t202" style="position:absolute;margin-left:36pt;margin-top:.3pt;width:5in;height:34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siLvsCAACABgAADgAAAGRycy9lMm9Eb2MueG1srFVdb9MwFH1H4j9Efu+SlLTboqVT1qkIaWwT&#10;G9qz6zhthGMb2/0YiP/OsdN03QCJIV5S+3753nPuvT0737YiWnNjGyULkh4lJOKSqaqRi4J8vp8N&#10;TkhkHZUVFUrygjxyS84nb9+cbXTOh2qpRMVNhCDS5htdkKVzOo9jy5a8pfZIaS6hrJVpqcPVLOLK&#10;0A2ityIeJsk43ihTaaMYtxbSy05JJiF+XXPmburacheJgiA3F74mfOf+G0/OaL4wVC8btkuD/kMW&#10;LW0kHt2HuqSORivT/BKqbZhRVtXuiKk2VnXdMB5qQDVp8qKauyXVPNQCcKzew2T/X1h2vb41UVMV&#10;ZAh4JG3B0T3fuuhCbSOIgM9G2xxmdxqGbgs5eO7lFkJf9rY2rf9FQRH0CPW4R9dHYxBmo2MwBhWD&#10;Lnt3ko5wQfz4yV0b695z1Ub+UBAD+gKqdH1lXWfam/jXrBJNNWuECBffMnwqTLSmIJsyxqUbB3ex&#10;aj+qqpOPkcKOdojRHJ0468XIJjSfjxRye/aIkP4pqfyjXT6dhIdW65KkOSrG0Vv62kMbfJ+i+vJ4&#10;dDoYl6N0kKXJyaAsk+HgclYmZZLNpqfZxQ9k29I0yzdoSI129kwA8Jmgix35Xv137LeUPZuVNI1D&#10;l3ZpI3Cork819ix3bIaTexTcFyDkJ16jPwKpf4Q59AOQC9beqgY+r3Hc2QfIApSvce7Ah0d4WUm3&#10;d24bqUxogT2nHd3Vlz7lurMHGAd1+6PbzrdhMNL9FMxV9YghMKpbI1azWYNGvaLW3VKDvYHmxi50&#10;N/jUQm0KonYnEi2V+fY7ubcHodCSyNNeEPt1RQ0nkfggMeinaZYhrAuXMEIkMoea+aFGrtqpQven&#10;2LqahSOcjRP9sTaqfcDKLP2rUFHJ8HZBXH+cum47YuUyXpbBCKtKU3cl7zTzoT3Mfgzvtw/U6N2s&#10;OnTSteo3Fs1fjGxn6z2lKldO1U2YZw90h+qOAKy50Je7lez36OE9WD39cUx+AgAA//8DAFBLAwQU&#10;AAYACAAAACEADqdt4NsAAAAHAQAADwAAAGRycy9kb3ducmV2LnhtbEyPMU/DMBCFdyT+g3VILIg6&#10;dEhIiFNVlToAEwGJ1Y6PJCI+B9tt03/PdYLx0zu99129Wdwkjhji6EnBwyoDgdR5O1Kv4ON9f/8I&#10;IiZNVk+eUMEZI2ya66taV9af6A2PbeoFl1CstIIhpbmSMnYDOh1Xfkbi7MsHpxNj6KUN+sTlbpLr&#10;LMul0yPxwqBn3A3YfbcHp+CTljK9mLvC7HdnM/20Yfv8Wih1e7Nsn0AkXNLfMVz0WR0adjL+QDaK&#10;SUGx5leSghwEp0V5QcNYZjnIppb//ZtfAAAA//8DAFBLAQItABQABgAIAAAAIQDkmcPA+wAAAOEB&#10;AAATAAAAAAAAAAAAAAAAAAAAAABbQ29udGVudF9UeXBlc10ueG1sUEsBAi0AFAAGAAgAAAAhACOy&#10;auHXAAAAlAEAAAsAAAAAAAAAAAAAAAAALAEAAF9yZWxzLy5yZWxzUEsBAi0AFAAGAAgAAAAhAPYL&#10;Ii77AgAAgAYAAA4AAAAAAAAAAAAAAAAALAIAAGRycy9lMm9Eb2MueG1sUEsBAi0AFAAGAAgAAAAh&#10;AA6nbeDbAAAABwEAAA8AAAAAAAAAAAAAAAAAUwUAAGRycy9kb3ducmV2LnhtbFBLBQYAAAAABAAE&#10;APMAAABbBgAAAAA=&#10;" fillcolor="#fabf8f [1945]" stroked="f">
                <v:textbox>
                  <w:txbxContent>
                    <w:p w14:paraId="799FBD37" w14:textId="19B4E2FF" w:rsidR="00564169" w:rsidRDefault="00564169" w:rsidP="0012492B">
                      <w:pPr>
                        <w:pStyle w:val="TextBoxHeading"/>
                      </w:pPr>
                      <w:r>
                        <w:t xml:space="preserve">Participant Outcomes Stories – Tilapia Fish Farming </w:t>
                      </w:r>
                    </w:p>
                    <w:p w14:paraId="1296D110" w14:textId="462EB568" w:rsidR="00564169" w:rsidRDefault="00564169" w:rsidP="0012492B">
                      <w:pPr>
                        <w:pStyle w:val="TableText"/>
                      </w:pPr>
                      <w:r>
                        <w:t xml:space="preserve">The October interview sample for the Participant Outcomes Survey included many men and a few women who had completed training in tilapia fish farming. In addition to the quantitative data collected, this enabled the interview team to hear many personal stories that, together, offer some useful observations. </w:t>
                      </w:r>
                    </w:p>
                    <w:p w14:paraId="151BD0AF" w14:textId="3A0DA451" w:rsidR="00564169" w:rsidRDefault="00564169" w:rsidP="0012492B">
                      <w:pPr>
                        <w:pStyle w:val="TableText"/>
                      </w:pPr>
                      <w:r>
                        <w:t xml:space="preserve">First, for many participants 6-8 months had not been long enough to start generating income with their new skills. It was not sufficient for the time required to build ponds, establish water supply and then grow fish ready for harvest. This points to the fact that for some sectors or some skills there will be a longer lead time before participants can see economic benefits. </w:t>
                      </w:r>
                    </w:p>
                    <w:p w14:paraId="0F3A3CF4" w14:textId="716E4E8B" w:rsidR="00564169" w:rsidRDefault="00564169" w:rsidP="0012492B">
                      <w:pPr>
                        <w:pStyle w:val="TableText"/>
                      </w:pPr>
                      <w:r>
                        <w:t xml:space="preserve">Second, there were several stories about participants passing their skills on to others in their families and communities. These others are now also building ponds and buying fingerlings to launch their own fish farming businesses. This has the potential for flow-on benefits beyond just the men and women directly trained, as long as it does not generate an over-supply of product in the market. This flow-on effect may also hold true for other skills and sectors. </w:t>
                      </w:r>
                    </w:p>
                    <w:p w14:paraId="25B37A7A" w14:textId="28B12FD6" w:rsidR="00564169" w:rsidRDefault="00564169" w:rsidP="0012492B">
                      <w:pPr>
                        <w:pStyle w:val="TableText"/>
                      </w:pPr>
                      <w:r>
                        <w:t xml:space="preserve">Finally, some participants found that they could not fill their ponds with water, due to low capacity village water supply systems, or no access to rain catchment, or drought, or the absence of an underground water system. Sometimes this might mean that fish farming was not an appropriate choice for the individual. But the stories also highlight the fact that, regardless of the quality of training or the motivation of participants, barriers outside of an individual’s control – such as poor infrastructure – can prove insurmountable. This emphasises the great importance of sectors working together to support economic development in the provinces: because sometimes skills development is not enough. </w:t>
                      </w:r>
                    </w:p>
                  </w:txbxContent>
                </v:textbox>
                <w10:wrap type="square"/>
              </v:shape>
            </w:pict>
          </mc:Fallback>
        </mc:AlternateContent>
      </w:r>
    </w:p>
    <w:p w14:paraId="4A88A61F" w14:textId="27675933" w:rsidR="0012492B" w:rsidRDefault="0012492B" w:rsidP="00ED541E"/>
    <w:p w14:paraId="238EBAA5" w14:textId="77777777" w:rsidR="00AA783F" w:rsidRDefault="00AA783F" w:rsidP="00ED541E"/>
    <w:p w14:paraId="359AFFB8" w14:textId="64306E70" w:rsidR="00AA783F" w:rsidRDefault="00AA783F" w:rsidP="00ED541E"/>
    <w:p w14:paraId="1650FD07" w14:textId="2B9A8E54" w:rsidR="00AA783F" w:rsidRDefault="00AA783F" w:rsidP="00ED541E"/>
    <w:p w14:paraId="3C07BE73" w14:textId="4E39C891" w:rsidR="00AA783F" w:rsidRDefault="00AA783F" w:rsidP="00ED541E"/>
    <w:p w14:paraId="10221181" w14:textId="3D78CAF3" w:rsidR="00AA783F" w:rsidRDefault="00AA783F" w:rsidP="00ED541E"/>
    <w:p w14:paraId="06063F88" w14:textId="4414E3DE" w:rsidR="00AA783F" w:rsidRDefault="00AA783F" w:rsidP="00ED541E"/>
    <w:p w14:paraId="38C00AB1" w14:textId="2D338ABE" w:rsidR="00AA783F" w:rsidRDefault="00AA783F" w:rsidP="00ED541E"/>
    <w:p w14:paraId="3A66EA50" w14:textId="23FFA4BD" w:rsidR="00AA783F" w:rsidRDefault="00AA783F" w:rsidP="00ED541E"/>
    <w:p w14:paraId="1937D9E1" w14:textId="495854C7" w:rsidR="00AA783F" w:rsidRDefault="00AA783F" w:rsidP="00ED541E"/>
    <w:p w14:paraId="0EAE45E9" w14:textId="5149779C" w:rsidR="00AA783F" w:rsidRDefault="00AA783F" w:rsidP="00ED541E"/>
    <w:p w14:paraId="4EBCC5D3" w14:textId="1EC7C9BC" w:rsidR="00AA783F" w:rsidRDefault="00AA783F" w:rsidP="00ED541E"/>
    <w:p w14:paraId="3AFE02C0" w14:textId="626D57DA" w:rsidR="00AA783F" w:rsidRDefault="00AA783F" w:rsidP="00ED541E"/>
    <w:p w14:paraId="3DBC4416" w14:textId="38C77F4E" w:rsidR="00AA783F" w:rsidRDefault="00AA783F" w:rsidP="00ED541E"/>
    <w:p w14:paraId="7A8CCCA4" w14:textId="26392FAB" w:rsidR="00AA783F" w:rsidRDefault="00AA783F" w:rsidP="00ED541E"/>
    <w:p w14:paraId="0693A8D1" w14:textId="3BD4F5A2" w:rsidR="00AA783F" w:rsidRDefault="00AA783F" w:rsidP="00ED541E"/>
    <w:p w14:paraId="46FF5007" w14:textId="77777777" w:rsidR="00526B3D" w:rsidRDefault="00526B3D" w:rsidP="00ED541E"/>
    <w:p w14:paraId="51FC575A" w14:textId="31099EBF" w:rsidR="00486DA6" w:rsidRDefault="007F3B2F" w:rsidP="00B44B94">
      <w:pPr>
        <w:rPr>
          <w:rFonts w:ascii="Calibri" w:eastAsia="MS Gothic" w:hAnsi="Calibri"/>
          <w:caps/>
          <w:color w:val="FF6600"/>
          <w:sz w:val="26"/>
          <w:szCs w:val="26"/>
        </w:rPr>
      </w:pPr>
      <w:r>
        <w:t xml:space="preserve">It is important to note that the outcomes data collected and reported here examines outcomes at a relatively short timeframe after skills development. There would be great value from a further evaluation of participant outcomes at a longer timeframe, and with greater complexity, so as to examine the outcomes for those with extended and multi-dimensional skills development support, as well as those with more limited involvement. It is hoped that the DFAT evaluation may provide some of this </w:t>
      </w:r>
      <w:r w:rsidR="00C05599">
        <w:t xml:space="preserve">insight. </w:t>
      </w:r>
      <w:r w:rsidR="00486DA6">
        <w:br w:type="page"/>
      </w:r>
    </w:p>
    <w:p w14:paraId="33EFC448" w14:textId="3EC2CB41" w:rsidR="00727792" w:rsidRDefault="00727792" w:rsidP="00727792">
      <w:pPr>
        <w:pStyle w:val="Heading1"/>
      </w:pPr>
      <w:bookmarkStart w:id="11" w:name="_Toc285716745"/>
      <w:r>
        <w:lastRenderedPageBreak/>
        <w:t>Monitoring and Evaluation Priorities for 201</w:t>
      </w:r>
      <w:r w:rsidR="008D363D">
        <w:t>5</w:t>
      </w:r>
      <w:bookmarkEnd w:id="11"/>
    </w:p>
    <w:p w14:paraId="6812879B" w14:textId="337F1999" w:rsidR="00E7354A" w:rsidRDefault="00E7354A" w:rsidP="00F56038">
      <w:r>
        <w:t xml:space="preserve">Because 2015 will be the third year of Phase 3 implementation, the M&amp;E team will further increase its focus on outcomes. There will be two further Participant Outcomes Survey data collection periods, which will more than double the dataset of participant outcomes 6-8 months after participation. We hope that this will mean that, by the end of 2015, stronger conclusions </w:t>
      </w:r>
      <w:r w:rsidR="002E7092">
        <w:t xml:space="preserve">across a greater range of variables </w:t>
      </w:r>
      <w:r>
        <w:t xml:space="preserve">will begin to emerge from our outcomes data. </w:t>
      </w:r>
      <w:r w:rsidR="00FC5028">
        <w:t xml:space="preserve">There will also be a sustained commitment to supporting ways to tell the real life stories of TVET Centre participants and their communities. These stories have proven a powerful means of engaging political and public support and understanding. </w:t>
      </w:r>
    </w:p>
    <w:p w14:paraId="7A0DB71D" w14:textId="7681C8F3" w:rsidR="00E7354A" w:rsidRDefault="00E7354A" w:rsidP="00F56038">
      <w:r>
        <w:t xml:space="preserve">Our ongoing data collection and analysis activities will be complemented by the other high priority for M&amp;E in 2015: the DFAT program evaluation, which is planned for early in the year. The M&amp;E team will support the evaluation and will participate to the greatest extent possible. It is hoped that this evaluation will shed light on two critical aspects of the program: identifying and documenting the complex network of factors that have enabled the program to work so effectively in and with Vanuatu’s systems and structure; and producing a strong set of quantitative evidence about the longer-term outcomes for program participants, possibly also with evidence of the economic impact on communities that has resulted. </w:t>
      </w:r>
    </w:p>
    <w:p w14:paraId="1049DD2B" w14:textId="269F4FA3" w:rsidR="00F56038" w:rsidRDefault="00F56038" w:rsidP="00F56038">
      <w:r>
        <w:t>The M&amp;E team, and the w</w:t>
      </w:r>
      <w:r w:rsidR="00E7354A">
        <w:t>hole staff of the Program, will also continue efforts to continually improve the monitoring and evaluation system in 2015. This will include producing a further updated Monitoring and Evaluation Plan</w:t>
      </w:r>
      <w:r w:rsidR="000E5968">
        <w:t xml:space="preserve">. The team will also direct considerable attention to supporting the new Tafea TVET Centre, including staff training, establishing data collection systems and process for Tafea Province, and engaging with the Tafea Provincial </w:t>
      </w:r>
      <w:r w:rsidR="00534333">
        <w:t>Government</w:t>
      </w:r>
      <w:r w:rsidR="00062A04">
        <w:t xml:space="preserve"> </w:t>
      </w:r>
      <w:r w:rsidR="000E5968">
        <w:t xml:space="preserve">Training Board as the TVET Centre establishment progresses. </w:t>
      </w:r>
    </w:p>
    <w:p w14:paraId="78DF8F08" w14:textId="77777777" w:rsidR="002E7092" w:rsidRDefault="002E7092">
      <w:pPr>
        <w:suppressAutoHyphens w:val="0"/>
        <w:spacing w:before="0" w:after="0"/>
        <w:rPr>
          <w:rFonts w:ascii="Calibri" w:eastAsia="MS Gothic" w:hAnsi="Calibri"/>
          <w:caps/>
          <w:color w:val="FF6600"/>
          <w:sz w:val="26"/>
          <w:szCs w:val="26"/>
        </w:rPr>
      </w:pPr>
      <w:r>
        <w:br w:type="page"/>
      </w:r>
    </w:p>
    <w:p w14:paraId="1BEE30F6" w14:textId="3084FCB6" w:rsidR="00697996" w:rsidRDefault="00697996" w:rsidP="00727792">
      <w:pPr>
        <w:pStyle w:val="Heading1"/>
      </w:pPr>
      <w:bookmarkStart w:id="12" w:name="_Toc285716746"/>
      <w:r>
        <w:lastRenderedPageBreak/>
        <w:t>Conclusions</w:t>
      </w:r>
      <w:bookmarkEnd w:id="12"/>
      <w:r>
        <w:t xml:space="preserve"> </w:t>
      </w:r>
    </w:p>
    <w:p w14:paraId="703EB9A2" w14:textId="4FA214D9" w:rsidR="002A51F3" w:rsidRDefault="00F51E44">
      <w:r>
        <w:t xml:space="preserve">Based on the data </w:t>
      </w:r>
      <w:r w:rsidR="00560D63">
        <w:t>analysed for this r</w:t>
      </w:r>
      <w:r>
        <w:t xml:space="preserve">eport, </w:t>
      </w:r>
      <w:r w:rsidR="00CB5168">
        <w:t>a number of</w:t>
      </w:r>
      <w:r>
        <w:t xml:space="preserve"> conclusions can be drawn regarding progress towards the end-of-program outcomes of the TVET Program Phase 3</w:t>
      </w:r>
      <w:r w:rsidR="00560D63">
        <w:t>:</w:t>
      </w:r>
      <w:r w:rsidR="00CB5168">
        <w:t xml:space="preserve"> </w:t>
      </w:r>
    </w:p>
    <w:p w14:paraId="5EE86455" w14:textId="54372742" w:rsidR="004C7D41" w:rsidRDefault="00091410">
      <w:r w:rsidRPr="00091410">
        <w:rPr>
          <w:b/>
        </w:rPr>
        <w:t>T</w:t>
      </w:r>
      <w:r w:rsidR="002A51F3" w:rsidRPr="00091410">
        <w:rPr>
          <w:b/>
        </w:rPr>
        <w:t xml:space="preserve">he model and approach of the TVET Program </w:t>
      </w:r>
      <w:r w:rsidRPr="00091410">
        <w:rPr>
          <w:b/>
        </w:rPr>
        <w:t>is</w:t>
      </w:r>
      <w:r w:rsidR="002A51F3" w:rsidRPr="00091410">
        <w:rPr>
          <w:b/>
        </w:rPr>
        <w:t xml:space="preserve"> </w:t>
      </w:r>
      <w:r w:rsidR="00F43A86">
        <w:rPr>
          <w:b/>
        </w:rPr>
        <w:t>distinctive</w:t>
      </w:r>
      <w:r w:rsidR="002A51F3" w:rsidRPr="00091410">
        <w:rPr>
          <w:b/>
        </w:rPr>
        <w:t xml:space="preserve">, and </w:t>
      </w:r>
      <w:r w:rsidR="00F43A86">
        <w:rPr>
          <w:b/>
        </w:rPr>
        <w:t>distinctively</w:t>
      </w:r>
      <w:r w:rsidR="002A51F3" w:rsidRPr="00091410">
        <w:rPr>
          <w:b/>
        </w:rPr>
        <w:t xml:space="preserve"> effective amongst development cooperation programs</w:t>
      </w:r>
      <w:r w:rsidR="002E7092">
        <w:t>. T</w:t>
      </w:r>
      <w:r>
        <w:t xml:space="preserve">his </w:t>
      </w:r>
      <w:r w:rsidR="004C7D41">
        <w:t>has been repeatedly</w:t>
      </w:r>
      <w:r>
        <w:t xml:space="preserve"> emphasised by stakeholders from a wide range of perspectives</w:t>
      </w:r>
      <w:r w:rsidR="002A51F3">
        <w:t xml:space="preserve">. </w:t>
      </w:r>
      <w:r>
        <w:t>The elements that make up the Program approach are many, but include fundamental characteristics including its strength-based approach, its genuine embeddedness in the Vanuatu system, a long-term commitment to respectful collaboration with partners in government and training providers</w:t>
      </w:r>
      <w:r w:rsidR="002E7092">
        <w:t>, and</w:t>
      </w:r>
      <w:r>
        <w:t xml:space="preserve"> an openness to working with others in the private sector and other development partners. </w:t>
      </w:r>
    </w:p>
    <w:p w14:paraId="741817F0" w14:textId="45447633" w:rsidR="002A51F3" w:rsidRDefault="004C7D41">
      <w:r w:rsidRPr="004C7D41">
        <w:rPr>
          <w:b/>
        </w:rPr>
        <w:t xml:space="preserve">The leadership of the Program, supported by a committed, hard-working and highly professional team of </w:t>
      </w:r>
      <w:r>
        <w:rPr>
          <w:b/>
        </w:rPr>
        <w:t xml:space="preserve">ni-Vanuatu </w:t>
      </w:r>
      <w:r w:rsidRPr="004C7D41">
        <w:rPr>
          <w:b/>
        </w:rPr>
        <w:t>staff, has been fundamental to its achievements.</w:t>
      </w:r>
      <w:r>
        <w:t xml:space="preserve"> Underpinning all the other results of the Program</w:t>
      </w:r>
      <w:r w:rsidR="00091410">
        <w:t xml:space="preserve"> has been the invaluable leadership of the Program with the partnership of the Team Leader (with her deep cultural understanding and language skills) and Deputy Team Leader, supported by the management team and the Technical Director, </w:t>
      </w:r>
      <w:r w:rsidR="00560D63">
        <w:t xml:space="preserve">and Program staff, </w:t>
      </w:r>
      <w:r w:rsidR="00091410">
        <w:t xml:space="preserve">and their commitment to a relationship-based approach to long-term development work. </w:t>
      </w:r>
      <w:r w:rsidR="00F77510">
        <w:t>In short, the people on the TVET Program are the key to its success because:</w:t>
      </w:r>
      <w:r>
        <w:t xml:space="preserve"> </w:t>
      </w:r>
    </w:p>
    <w:p w14:paraId="71BDF8A1" w14:textId="6E774AFB" w:rsidR="004C7D41" w:rsidRDefault="004C7D41" w:rsidP="004C7D41">
      <w:pPr>
        <w:pStyle w:val="Quote"/>
      </w:pPr>
      <w:r>
        <w:t>“Unless the people delivering the program are empowered, supported</w:t>
      </w:r>
      <w:r w:rsidR="00F77510">
        <w:t>,</w:t>
      </w:r>
      <w:r>
        <w:t xml:space="preserve"> and happy, you are not going to get the results you want”</w:t>
      </w:r>
      <w:r>
        <w:rPr>
          <w:rStyle w:val="FootnoteReference"/>
        </w:rPr>
        <w:footnoteReference w:id="22"/>
      </w:r>
    </w:p>
    <w:p w14:paraId="7F5223A1" w14:textId="5E66E0F8" w:rsidR="002A51F3" w:rsidRDefault="00260647">
      <w:r w:rsidRPr="00260647">
        <w:rPr>
          <w:b/>
        </w:rPr>
        <w:t xml:space="preserve">There are genuine and tangible </w:t>
      </w:r>
      <w:r w:rsidR="00CB19C4" w:rsidRPr="00260647">
        <w:rPr>
          <w:b/>
        </w:rPr>
        <w:t>sign</w:t>
      </w:r>
      <w:r w:rsidR="00CB19C4">
        <w:rPr>
          <w:b/>
        </w:rPr>
        <w:t>s</w:t>
      </w:r>
      <w:r w:rsidR="00062A04">
        <w:rPr>
          <w:b/>
        </w:rPr>
        <w:t xml:space="preserve"> </w:t>
      </w:r>
      <w:r w:rsidRPr="00260647">
        <w:rPr>
          <w:b/>
        </w:rPr>
        <w:t>of institutional sustainability</w:t>
      </w:r>
      <w:r w:rsidR="00560D63">
        <w:t xml:space="preserve">, </w:t>
      </w:r>
      <w:r w:rsidR="002A51F3">
        <w:t xml:space="preserve">with the transition of Program staff to PSC positions and commitments of funds to fourth TVET Centre. </w:t>
      </w:r>
      <w:r w:rsidR="00560D63">
        <w:t xml:space="preserve">The high degree of engagement in the technical work of short-term advisers in 2014 bodes well for the continued implementation of the new systems and tools and the now sustained political and public support for the TVET sector is also significant. Although these signs are early and remain fragile, they are nevertheless very significant. </w:t>
      </w:r>
    </w:p>
    <w:p w14:paraId="2F4FC3FF" w14:textId="1E571C8D" w:rsidR="00966A59" w:rsidRDefault="005512F9">
      <w:r w:rsidRPr="005512F9">
        <w:rPr>
          <w:b/>
        </w:rPr>
        <w:t>The TVET sector in Vanuatu has now substantially re-shaped and is better placed to support the development of skills that meet industry needs and economic opportunities</w:t>
      </w:r>
      <w:r>
        <w:t xml:space="preserve">. This is the outcome of </w:t>
      </w:r>
      <w:r w:rsidR="00966A59">
        <w:t xml:space="preserve">institutional reform in the VQA and MoET, coupled with investments in training provider quality systems, new packages to support language literacy and numeracy and tourism and hospitality, </w:t>
      </w:r>
      <w:r w:rsidR="00594C28">
        <w:t>new tools to support improvements in trainer quality, and the new</w:t>
      </w:r>
      <w:r>
        <w:t xml:space="preserve"> provincial Skills Plans. The changes made by the Government of Vanuatu, and the new tools and systems that are now in place, are substantially the result of Program advocacy and support.   </w:t>
      </w:r>
    </w:p>
    <w:p w14:paraId="215BC9C3" w14:textId="651B68C1" w:rsidR="00372402" w:rsidRDefault="00D711A8">
      <w:r w:rsidRPr="00D711A8">
        <w:rPr>
          <w:b/>
        </w:rPr>
        <w:t>The continuing growth, success and expansion of the TVET Centre network, and its gradual integration into national systems, does bring some risks</w:t>
      </w:r>
      <w:r>
        <w:t xml:space="preserve">. </w:t>
      </w:r>
      <w:r w:rsidR="00372402">
        <w:t xml:space="preserve">There are risks with continuing expansion to a fourth province and integration into government systems </w:t>
      </w:r>
      <w:r w:rsidR="00560D63">
        <w:t xml:space="preserve">with the associated risks of further stretching the limited resources of the Program and </w:t>
      </w:r>
      <w:r w:rsidR="001D6CD2">
        <w:t xml:space="preserve">the TVET sector. There is some concern about the possibility that staffing and governance could become politicised in the future, and that there may be pressure on the expenditure of the </w:t>
      </w:r>
      <w:r w:rsidR="005274A8">
        <w:t>Employment</w:t>
      </w:r>
      <w:r w:rsidR="001D6CD2">
        <w:t xml:space="preserve"> and Training Fund. It will be essential that the Program and DFAT manage these risks carefully and retain active mitigation strategies. </w:t>
      </w:r>
    </w:p>
    <w:p w14:paraId="3A8777DA" w14:textId="0C665906" w:rsidR="00372402" w:rsidRDefault="00372402">
      <w:r w:rsidRPr="00BC71F6">
        <w:rPr>
          <w:b/>
        </w:rPr>
        <w:t xml:space="preserve">Investment and commitment to </w:t>
      </w:r>
      <w:r w:rsidR="00BC71F6" w:rsidRPr="00BC71F6">
        <w:rPr>
          <w:b/>
        </w:rPr>
        <w:t xml:space="preserve">addressing </w:t>
      </w:r>
      <w:r w:rsidRPr="00BC71F6">
        <w:rPr>
          <w:b/>
        </w:rPr>
        <w:t>gender and disability is paying real dividends</w:t>
      </w:r>
      <w:r>
        <w:t xml:space="preserve"> in inclusion as well as awareness, understanding and support for inclusion amongst stakeholders in government and training providers. </w:t>
      </w:r>
    </w:p>
    <w:p w14:paraId="107856D9" w14:textId="47F37BD8" w:rsidR="00437074" w:rsidRDefault="00712542">
      <w:r w:rsidRPr="00D9082E">
        <w:rPr>
          <w:b/>
        </w:rPr>
        <w:lastRenderedPageBreak/>
        <w:t xml:space="preserve">Operational challenges, including difficulties in the provision of contextualised IT, finance and human resource management systems, made the achievement of the Program’s </w:t>
      </w:r>
      <w:r w:rsidR="00D9082E" w:rsidRPr="00D9082E">
        <w:rPr>
          <w:b/>
        </w:rPr>
        <w:t>significant o</w:t>
      </w:r>
      <w:r w:rsidRPr="00D9082E">
        <w:rPr>
          <w:b/>
        </w:rPr>
        <w:t>utcomes more difficult than was necessary</w:t>
      </w:r>
      <w:r>
        <w:t xml:space="preserve">. </w:t>
      </w:r>
      <w:r w:rsidR="00116AB9">
        <w:t xml:space="preserve">As the Program, and the network of TVET Centres, continues to develop over 2015 it will be essential that the new Team Leader is sufficiently supported and enabled by the operational systems that underpin Program implementation. </w:t>
      </w:r>
      <w:r w:rsidR="00594C28">
        <w:t xml:space="preserve">This is critical to sustaining Program success over the coming year. </w:t>
      </w:r>
    </w:p>
    <w:p w14:paraId="61F88764" w14:textId="7EE20098" w:rsidR="001D6CD2" w:rsidRDefault="001D6CD2" w:rsidP="001D6CD2">
      <w:r w:rsidRPr="00BC71F6">
        <w:rPr>
          <w:b/>
        </w:rPr>
        <w:t xml:space="preserve">There is evidence of positive </w:t>
      </w:r>
      <w:r>
        <w:rPr>
          <w:b/>
        </w:rPr>
        <w:t xml:space="preserve">and substantial </w:t>
      </w:r>
      <w:r w:rsidRPr="00BC71F6">
        <w:rPr>
          <w:b/>
        </w:rPr>
        <w:t>economic outcomes for participants</w:t>
      </w:r>
      <w:r>
        <w:t xml:space="preserve">, </w:t>
      </w:r>
      <w:r w:rsidRPr="00BC71F6">
        <w:rPr>
          <w:b/>
        </w:rPr>
        <w:t>especially those who are self-employed and subsistence workers.</w:t>
      </w:r>
      <w:r>
        <w:t xml:space="preserve"> This appears to confirm the findings of e</w:t>
      </w:r>
      <w:r w:rsidR="00116AB9">
        <w:t xml:space="preserve">arlier </w:t>
      </w:r>
      <w:r w:rsidR="00197997">
        <w:t xml:space="preserve">evaluations </w:t>
      </w:r>
      <w:r>
        <w:t xml:space="preserve">regarding participant outcomes and provides an important endorsement of the Program’s approach to skills development that is contextualised, </w:t>
      </w:r>
      <w:r w:rsidR="00116AB9">
        <w:t>linked to industry needs,</w:t>
      </w:r>
      <w:r>
        <w:t xml:space="preserve"> and </w:t>
      </w:r>
      <w:r w:rsidR="00116AB9">
        <w:t xml:space="preserve">delivered </w:t>
      </w:r>
      <w:r>
        <w:t xml:space="preserve">in the community. </w:t>
      </w:r>
    </w:p>
    <w:p w14:paraId="0DDAC7C0" w14:textId="77777777" w:rsidR="001D6CD2" w:rsidRDefault="001D6CD2"/>
    <w:p w14:paraId="133434C2" w14:textId="77777777" w:rsidR="00A609AE" w:rsidRDefault="00A609AE" w:rsidP="00727792">
      <w:pPr>
        <w:pStyle w:val="Heading1"/>
        <w:sectPr w:rsidR="00A609AE" w:rsidSect="00B97687">
          <w:footerReference w:type="default" r:id="rId27"/>
          <w:pgSz w:w="11900" w:h="16840"/>
          <w:pgMar w:top="1440" w:right="1440" w:bottom="1440" w:left="1440" w:header="708" w:footer="708" w:gutter="0"/>
          <w:pgNumType w:start="1"/>
          <w:cols w:space="708"/>
          <w:docGrid w:linePitch="360"/>
        </w:sectPr>
      </w:pPr>
    </w:p>
    <w:p w14:paraId="54D8ADB3" w14:textId="77777777" w:rsidR="00697996" w:rsidRDefault="00317849" w:rsidP="00727792">
      <w:pPr>
        <w:pStyle w:val="Heading1"/>
      </w:pPr>
      <w:bookmarkStart w:id="13" w:name="_Toc285716747"/>
      <w:r>
        <w:lastRenderedPageBreak/>
        <w:t>Annex 1: Program Logic</w:t>
      </w:r>
      <w:bookmarkEnd w:id="13"/>
      <w:r>
        <w:t xml:space="preserve"> </w:t>
      </w:r>
      <w:r w:rsidR="00697996">
        <w:t xml:space="preserve"> </w:t>
      </w:r>
    </w:p>
    <w:p w14:paraId="178C80D9" w14:textId="169E9A11" w:rsidR="008C51B8" w:rsidRDefault="008B36EA" w:rsidP="00A609AE">
      <w:pPr>
        <w:jc w:val="center"/>
      </w:pPr>
      <w:r>
        <w:rPr>
          <w:noProof/>
          <w:lang w:val="en-GB" w:eastAsia="en-GB"/>
        </w:rPr>
        <w:drawing>
          <wp:inline distT="0" distB="0" distL="0" distR="0" wp14:anchorId="5D893672" wp14:editId="1F12B414">
            <wp:extent cx="7288286" cy="5466064"/>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ETSSP Logic 2.0.pdf"/>
                    <pic:cNvPicPr/>
                  </pic:nvPicPr>
                  <pic:blipFill>
                    <a:blip r:embed="rId28">
                      <a:extLst>
                        <a:ext uri="{28A0092B-C50C-407E-A947-70E740481C1C}">
                          <a14:useLocalDpi xmlns:a14="http://schemas.microsoft.com/office/drawing/2010/main" val="0"/>
                        </a:ext>
                      </a:extLst>
                    </a:blip>
                    <a:stretch>
                      <a:fillRect/>
                    </a:stretch>
                  </pic:blipFill>
                  <pic:spPr>
                    <a:xfrm>
                      <a:off x="0" y="0"/>
                      <a:ext cx="7288707" cy="5466380"/>
                    </a:xfrm>
                    <a:prstGeom prst="rect">
                      <a:avLst/>
                    </a:prstGeom>
                  </pic:spPr>
                </pic:pic>
              </a:graphicData>
            </a:graphic>
          </wp:inline>
        </w:drawing>
      </w:r>
    </w:p>
    <w:p w14:paraId="0437CFFD" w14:textId="77777777" w:rsidR="001233A9" w:rsidRDefault="001233A9" w:rsidP="008A3F8D">
      <w:pPr>
        <w:pStyle w:val="Heading1"/>
        <w:sectPr w:rsidR="001233A9" w:rsidSect="00B97687">
          <w:pgSz w:w="16840" w:h="11900" w:orient="landscape"/>
          <w:pgMar w:top="1361" w:right="1304" w:bottom="1361" w:left="1304" w:header="709" w:footer="709" w:gutter="0"/>
          <w:cols w:space="708"/>
          <w:titlePg/>
          <w:docGrid w:linePitch="360"/>
        </w:sectPr>
      </w:pPr>
    </w:p>
    <w:p w14:paraId="11DD8E05" w14:textId="70CBCD45" w:rsidR="00E53BC2" w:rsidRDefault="00E53BC2" w:rsidP="00E63A36">
      <w:pPr>
        <w:pStyle w:val="Heading1"/>
      </w:pPr>
      <w:bookmarkStart w:id="14" w:name="_Toc285716748"/>
      <w:bookmarkStart w:id="15" w:name="_Toc254605919"/>
      <w:r>
        <w:lastRenderedPageBreak/>
        <w:t xml:space="preserve">Annex 2: </w:t>
      </w:r>
      <w:r w:rsidR="00964708">
        <w:t>Training Providers and Industry Experts</w:t>
      </w:r>
      <w:bookmarkEnd w:id="14"/>
      <w:r>
        <w:t xml:space="preserve"> </w:t>
      </w:r>
    </w:p>
    <w:p w14:paraId="2766C5B8" w14:textId="53EAB44C" w:rsidR="00E857EC" w:rsidRDefault="00E857EC" w:rsidP="00E63A36">
      <w:pPr>
        <w:pStyle w:val="Heading3"/>
      </w:pPr>
      <w:r>
        <w:t>Accredited Training Providers</w:t>
      </w:r>
      <w:bookmarkEnd w:id="15"/>
      <w:r>
        <w:t xml:space="preserve"> </w:t>
      </w:r>
      <w:r w:rsidR="00E53BC2">
        <w:t>(2014)</w:t>
      </w:r>
    </w:p>
    <w:tbl>
      <w:tblPr>
        <w:tblW w:w="6384" w:type="dxa"/>
        <w:tblInd w:w="103" w:type="dxa"/>
        <w:tblLook w:val="04A0" w:firstRow="1" w:lastRow="0" w:firstColumn="1" w:lastColumn="0" w:noHBand="0" w:noVBand="1"/>
      </w:tblPr>
      <w:tblGrid>
        <w:gridCol w:w="6384"/>
      </w:tblGrid>
      <w:tr w:rsidR="00FD27DB" w:rsidRPr="00FD27DB" w14:paraId="2C72CCFB" w14:textId="77777777" w:rsidTr="00FD27DB">
        <w:trPr>
          <w:trHeight w:val="280"/>
        </w:trPr>
        <w:tc>
          <w:tcPr>
            <w:tcW w:w="6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EF391" w14:textId="77777777" w:rsidR="00FD27DB" w:rsidRPr="00FD27DB" w:rsidRDefault="00FD27DB" w:rsidP="00FD27DB">
            <w:pPr>
              <w:suppressAutoHyphens w:val="0"/>
              <w:spacing w:before="0" w:after="0"/>
              <w:rPr>
                <w:rFonts w:ascii="Calibri" w:eastAsia="Times New Roman" w:hAnsi="Calibri"/>
                <w:b/>
                <w:bCs/>
                <w:color w:val="000000"/>
                <w:sz w:val="22"/>
                <w:szCs w:val="22"/>
              </w:rPr>
            </w:pPr>
            <w:r w:rsidRPr="00FD27DB">
              <w:rPr>
                <w:rFonts w:ascii="Calibri" w:eastAsia="Times New Roman" w:hAnsi="Calibri"/>
                <w:b/>
                <w:bCs/>
                <w:color w:val="000000"/>
                <w:sz w:val="22"/>
                <w:szCs w:val="22"/>
              </w:rPr>
              <w:t>Private Training Provider</w:t>
            </w:r>
          </w:p>
        </w:tc>
      </w:tr>
      <w:tr w:rsidR="00FD27DB" w:rsidRPr="00FD27DB" w14:paraId="52331CBA" w14:textId="77777777" w:rsidTr="00FD27DB">
        <w:trPr>
          <w:trHeight w:val="280"/>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14:paraId="4B2E81B7" w14:textId="4FC3C7A7" w:rsidR="00FD27DB" w:rsidRPr="00FD27DB" w:rsidRDefault="00FD27DB" w:rsidP="00FD27DB">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        Vanuatu Chamber of Commerce and Industry </w:t>
            </w:r>
          </w:p>
        </w:tc>
      </w:tr>
      <w:tr w:rsidR="00FD27DB" w:rsidRPr="00FD27DB" w14:paraId="2D086BE1" w14:textId="77777777" w:rsidTr="00FD27DB">
        <w:trPr>
          <w:trHeight w:val="280"/>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14:paraId="0DE1DDD8" w14:textId="77777777" w:rsidR="00FD27DB" w:rsidRPr="00FD27DB" w:rsidRDefault="00FD27DB" w:rsidP="00FD27DB">
            <w:pPr>
              <w:suppressAutoHyphens w:val="0"/>
              <w:spacing w:before="0" w:after="0"/>
              <w:rPr>
                <w:rFonts w:ascii="Calibri" w:eastAsia="Times New Roman" w:hAnsi="Calibri"/>
                <w:b/>
                <w:bCs/>
                <w:color w:val="000000"/>
                <w:sz w:val="22"/>
                <w:szCs w:val="22"/>
              </w:rPr>
            </w:pPr>
            <w:r w:rsidRPr="00FD27DB">
              <w:rPr>
                <w:rFonts w:ascii="Calibri" w:eastAsia="Times New Roman" w:hAnsi="Calibri"/>
                <w:b/>
                <w:bCs/>
                <w:color w:val="000000"/>
                <w:sz w:val="22"/>
                <w:szCs w:val="22"/>
              </w:rPr>
              <w:t>Public Training Provider</w:t>
            </w:r>
          </w:p>
        </w:tc>
      </w:tr>
      <w:tr w:rsidR="00FD27DB" w:rsidRPr="00FD27DB" w14:paraId="4B401A2C" w14:textId="77777777" w:rsidTr="00FD27DB">
        <w:trPr>
          <w:trHeight w:val="280"/>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14:paraId="371F6A5C" w14:textId="1D3E9958" w:rsidR="00FD27DB" w:rsidRPr="00FD27DB" w:rsidRDefault="00FD27DB" w:rsidP="00FD27DB">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        Vanuatu Agricultural College </w:t>
            </w:r>
          </w:p>
        </w:tc>
      </w:tr>
      <w:tr w:rsidR="00FD27DB" w:rsidRPr="00FD27DB" w14:paraId="21FC0DAA" w14:textId="77777777" w:rsidTr="00FD27DB">
        <w:trPr>
          <w:trHeight w:val="280"/>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14:paraId="7538E026" w14:textId="058D9140" w:rsidR="00FD27DB" w:rsidRPr="00FD27DB" w:rsidRDefault="00FD27DB" w:rsidP="00FD27DB">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        Vanuatu Institute of Technology </w:t>
            </w:r>
          </w:p>
        </w:tc>
      </w:tr>
      <w:tr w:rsidR="00FD27DB" w:rsidRPr="00FD27DB" w14:paraId="1B970CA9" w14:textId="77777777" w:rsidTr="00FD27DB">
        <w:trPr>
          <w:trHeight w:val="280"/>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14:paraId="5DA4EFF9" w14:textId="4B83E03E" w:rsidR="00FD27DB" w:rsidRPr="00FD27DB" w:rsidRDefault="00FD27DB" w:rsidP="00FD27DB">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        Vanuatu College of Nurse Education </w:t>
            </w:r>
          </w:p>
        </w:tc>
      </w:tr>
    </w:tbl>
    <w:p w14:paraId="67BCB152" w14:textId="61BBDA40" w:rsidR="00E857EC" w:rsidRDefault="00E857EC" w:rsidP="00E53BC2">
      <w:pPr>
        <w:pStyle w:val="Heading3"/>
      </w:pPr>
      <w:bookmarkStart w:id="16" w:name="_Toc254605920"/>
      <w:r>
        <w:t>BDS Providers</w:t>
      </w:r>
      <w:bookmarkEnd w:id="16"/>
      <w:r w:rsidR="00E53BC2">
        <w:t xml:space="preserve"> (</w:t>
      </w:r>
      <w:r w:rsidR="00160D82">
        <w:t>2014</w:t>
      </w:r>
      <w:r w:rsidR="00E53BC2">
        <w:t>)</w:t>
      </w:r>
    </w:p>
    <w:tbl>
      <w:tblPr>
        <w:tblW w:w="6513" w:type="dxa"/>
        <w:tblInd w:w="103" w:type="dxa"/>
        <w:tblLayout w:type="fixed"/>
        <w:tblLook w:val="04A0" w:firstRow="1" w:lastRow="0" w:firstColumn="1" w:lastColumn="0" w:noHBand="0" w:noVBand="1"/>
      </w:tblPr>
      <w:tblGrid>
        <w:gridCol w:w="431"/>
        <w:gridCol w:w="6082"/>
      </w:tblGrid>
      <w:tr w:rsidR="00AF59E8" w:rsidRPr="00AF59E8" w14:paraId="08AF0C7F" w14:textId="77777777" w:rsidTr="00AF59E8">
        <w:trPr>
          <w:trHeight w:val="280"/>
        </w:trPr>
        <w:tc>
          <w:tcPr>
            <w:tcW w:w="65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27FD9" w14:textId="2FAC485E" w:rsidR="00AF59E8" w:rsidRPr="00AF59E8" w:rsidRDefault="00AF59E8" w:rsidP="00AF59E8">
            <w:pPr>
              <w:suppressAutoHyphens w:val="0"/>
              <w:spacing w:before="0" w:after="0"/>
              <w:rPr>
                <w:rFonts w:ascii="Calibri" w:eastAsia="Times New Roman" w:hAnsi="Calibri"/>
                <w:b/>
                <w:color w:val="000000"/>
                <w:sz w:val="22"/>
                <w:szCs w:val="22"/>
              </w:rPr>
            </w:pPr>
            <w:r w:rsidRPr="00AF59E8">
              <w:rPr>
                <w:rFonts w:ascii="Calibri" w:eastAsia="Times New Roman" w:hAnsi="Calibri"/>
                <w:b/>
                <w:color w:val="000000"/>
                <w:sz w:val="22"/>
                <w:szCs w:val="22"/>
              </w:rPr>
              <w:t xml:space="preserve">Government Department </w:t>
            </w:r>
          </w:p>
        </w:tc>
      </w:tr>
      <w:tr w:rsidR="00AF59E8" w:rsidRPr="00AF59E8" w14:paraId="4A9CD3F8" w14:textId="77777777" w:rsidTr="00AF59E8">
        <w:trPr>
          <w:trHeight w:val="280"/>
        </w:trPr>
        <w:tc>
          <w:tcPr>
            <w:tcW w:w="431" w:type="dxa"/>
            <w:tcBorders>
              <w:top w:val="nil"/>
              <w:left w:val="single" w:sz="4" w:space="0" w:color="auto"/>
              <w:bottom w:val="single" w:sz="4" w:space="0" w:color="auto"/>
            </w:tcBorders>
            <w:shd w:val="clear" w:color="auto" w:fill="auto"/>
            <w:noWrap/>
            <w:vAlign w:val="bottom"/>
            <w:hideMark/>
          </w:tcPr>
          <w:p w14:paraId="3E7F0F98"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2B86218C"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xml:space="preserve">Sanma Dept of Fisheries (Glen Alo) </w:t>
            </w:r>
          </w:p>
        </w:tc>
      </w:tr>
      <w:tr w:rsidR="00AF59E8" w:rsidRPr="00AF59E8" w14:paraId="469C2962"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7D7CBC63"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3554265D"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xml:space="preserve">Dept of Forestry </w:t>
            </w:r>
          </w:p>
        </w:tc>
      </w:tr>
      <w:tr w:rsidR="00AF59E8" w:rsidRPr="00AF59E8" w14:paraId="7CB2FA25"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6FEC73D5"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5D24AD69"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Sanma Industry Dept (Keith Antfalo)</w:t>
            </w:r>
          </w:p>
        </w:tc>
      </w:tr>
      <w:tr w:rsidR="00AF59E8" w:rsidRPr="00AF59E8" w14:paraId="6B688DB6"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7933564C"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4182A15D"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Sanma Agriculture Dept (Oniel Tabito)</w:t>
            </w:r>
          </w:p>
        </w:tc>
      </w:tr>
      <w:tr w:rsidR="00AF59E8" w:rsidRPr="00AF59E8" w14:paraId="5A4E016D" w14:textId="77777777" w:rsidTr="00EC14DE">
        <w:trPr>
          <w:trHeight w:val="280"/>
        </w:trPr>
        <w:tc>
          <w:tcPr>
            <w:tcW w:w="6513"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9C5D93" w14:textId="655E1E24" w:rsidR="00AF59E8" w:rsidRPr="00AF59E8" w:rsidRDefault="00AF59E8" w:rsidP="00AF59E8">
            <w:pPr>
              <w:suppressAutoHyphens w:val="0"/>
              <w:spacing w:before="0" w:after="0"/>
              <w:rPr>
                <w:rFonts w:ascii="Calibri" w:eastAsia="Times New Roman" w:hAnsi="Calibri"/>
                <w:b/>
                <w:color w:val="000000"/>
                <w:sz w:val="22"/>
                <w:szCs w:val="22"/>
              </w:rPr>
            </w:pPr>
            <w:r w:rsidRPr="00AF59E8">
              <w:rPr>
                <w:rFonts w:ascii="Calibri" w:eastAsia="Times New Roman" w:hAnsi="Calibri"/>
                <w:b/>
                <w:color w:val="000000"/>
                <w:sz w:val="22"/>
                <w:szCs w:val="22"/>
              </w:rPr>
              <w:t xml:space="preserve">Individual </w:t>
            </w:r>
          </w:p>
        </w:tc>
      </w:tr>
      <w:tr w:rsidR="00AF59E8" w:rsidRPr="00AF59E8" w14:paraId="320F6F9D" w14:textId="77777777" w:rsidTr="00AF59E8">
        <w:trPr>
          <w:trHeight w:val="280"/>
        </w:trPr>
        <w:tc>
          <w:tcPr>
            <w:tcW w:w="431" w:type="dxa"/>
            <w:tcBorders>
              <w:top w:val="nil"/>
              <w:left w:val="single" w:sz="4" w:space="0" w:color="auto"/>
              <w:bottom w:val="single" w:sz="4" w:space="0" w:color="auto"/>
            </w:tcBorders>
            <w:shd w:val="clear" w:color="auto" w:fill="auto"/>
            <w:noWrap/>
            <w:vAlign w:val="bottom"/>
            <w:hideMark/>
          </w:tcPr>
          <w:p w14:paraId="7D99A649"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0A8D29BF"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Pascal Guillet</w:t>
            </w:r>
          </w:p>
        </w:tc>
      </w:tr>
      <w:tr w:rsidR="00AF59E8" w:rsidRPr="00AF59E8" w14:paraId="22658FF9"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1539AE55"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60E1B39E"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Eslylin Molly</w:t>
            </w:r>
          </w:p>
        </w:tc>
      </w:tr>
      <w:tr w:rsidR="00AF59E8" w:rsidRPr="00AF59E8" w14:paraId="03A6127A"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2D510745"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1890A44E"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Eslyn Turner - Ezzy Business Accounts</w:t>
            </w:r>
          </w:p>
        </w:tc>
      </w:tr>
      <w:tr w:rsidR="00AF59E8" w:rsidRPr="00AF59E8" w14:paraId="3E3A11BB"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151F776A"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7334CD9C"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xml:space="preserve">Jacklyn Tinning </w:t>
            </w:r>
          </w:p>
        </w:tc>
      </w:tr>
      <w:tr w:rsidR="00AF59E8" w:rsidRPr="00AF59E8" w14:paraId="1CAF416D"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54C6F744"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7008DEB7"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Jane Laycock</w:t>
            </w:r>
          </w:p>
        </w:tc>
      </w:tr>
      <w:tr w:rsidR="00AF59E8" w:rsidRPr="00AF59E8" w14:paraId="3AE42575"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0A6DB330"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2D8001F2"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Joanne Wade</w:t>
            </w:r>
          </w:p>
        </w:tc>
      </w:tr>
      <w:tr w:rsidR="00AF59E8" w:rsidRPr="00AF59E8" w14:paraId="6F65DF81"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5D7DC2C8"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3CA66539"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Mary Orielly</w:t>
            </w:r>
          </w:p>
        </w:tc>
      </w:tr>
      <w:tr w:rsidR="00AF59E8" w:rsidRPr="00AF59E8" w14:paraId="2D7F3767"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323C54FF"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4F957B4D"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Gina Tari</w:t>
            </w:r>
          </w:p>
        </w:tc>
      </w:tr>
      <w:tr w:rsidR="00AF59E8" w:rsidRPr="00AF59E8" w14:paraId="4A377443"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047D2DDB"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5154F051"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Mereana</w:t>
            </w:r>
          </w:p>
        </w:tc>
      </w:tr>
      <w:tr w:rsidR="00AF59E8" w:rsidRPr="00AF59E8" w14:paraId="67F82CCF"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4C740B40"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1AE07915"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Odile Guiomar</w:t>
            </w:r>
          </w:p>
        </w:tc>
      </w:tr>
      <w:tr w:rsidR="00AF59E8" w:rsidRPr="00AF59E8" w14:paraId="687DBD06"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36DBFC62"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306E06C2"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Pascal Gavotto</w:t>
            </w:r>
          </w:p>
        </w:tc>
      </w:tr>
      <w:tr w:rsidR="00AF59E8" w:rsidRPr="00AF59E8" w14:paraId="4BD0D202"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3AC98711"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604F62A0"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Renata.R.Netaf</w:t>
            </w:r>
          </w:p>
        </w:tc>
      </w:tr>
      <w:tr w:rsidR="00AF59E8" w:rsidRPr="00AF59E8" w14:paraId="36EC33FB"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251569C0"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4186A81E"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Eric Natuoivi</w:t>
            </w:r>
          </w:p>
        </w:tc>
      </w:tr>
      <w:tr w:rsidR="00AF59E8" w:rsidRPr="00AF59E8" w14:paraId="555CB04C"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1E92FD80"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0813DEC3"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Linda Taveimasa</w:t>
            </w:r>
          </w:p>
        </w:tc>
      </w:tr>
      <w:tr w:rsidR="00AF59E8" w:rsidRPr="00AF59E8" w14:paraId="274173A4"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5FE43816"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51489416"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Mereana</w:t>
            </w:r>
          </w:p>
        </w:tc>
      </w:tr>
      <w:tr w:rsidR="00AF59E8" w:rsidRPr="00AF59E8" w14:paraId="00C78F10" w14:textId="77777777" w:rsidTr="00EC14DE">
        <w:trPr>
          <w:trHeight w:val="280"/>
        </w:trPr>
        <w:tc>
          <w:tcPr>
            <w:tcW w:w="6513"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EA8318" w14:textId="105CF823" w:rsidR="00AF59E8" w:rsidRPr="00AF59E8" w:rsidRDefault="00AF59E8" w:rsidP="00AF59E8">
            <w:pPr>
              <w:suppressAutoHyphens w:val="0"/>
              <w:spacing w:before="0" w:after="0"/>
              <w:rPr>
                <w:rFonts w:ascii="Calibri" w:eastAsia="Times New Roman" w:hAnsi="Calibri"/>
                <w:b/>
                <w:color w:val="000000"/>
                <w:sz w:val="22"/>
                <w:szCs w:val="22"/>
              </w:rPr>
            </w:pPr>
            <w:r w:rsidRPr="00AF59E8">
              <w:rPr>
                <w:rFonts w:ascii="Calibri" w:eastAsia="Times New Roman" w:hAnsi="Calibri"/>
                <w:b/>
                <w:color w:val="000000"/>
                <w:sz w:val="22"/>
                <w:szCs w:val="22"/>
              </w:rPr>
              <w:t xml:space="preserve">Private Training Provider </w:t>
            </w:r>
          </w:p>
        </w:tc>
      </w:tr>
      <w:tr w:rsidR="00AF59E8" w:rsidRPr="00AF59E8" w14:paraId="4158CE94" w14:textId="77777777" w:rsidTr="00AF59E8">
        <w:trPr>
          <w:trHeight w:val="280"/>
        </w:trPr>
        <w:tc>
          <w:tcPr>
            <w:tcW w:w="431" w:type="dxa"/>
            <w:tcBorders>
              <w:top w:val="nil"/>
              <w:left w:val="single" w:sz="4" w:space="0" w:color="auto"/>
              <w:bottom w:val="single" w:sz="4" w:space="0" w:color="auto"/>
            </w:tcBorders>
            <w:shd w:val="clear" w:color="auto" w:fill="auto"/>
            <w:noWrap/>
            <w:vAlign w:val="bottom"/>
            <w:hideMark/>
          </w:tcPr>
          <w:p w14:paraId="02C7FAAF"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4CE8C2F2"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xml:space="preserve">Listair Adventist Technical Institute </w:t>
            </w:r>
          </w:p>
        </w:tc>
      </w:tr>
      <w:tr w:rsidR="00AF59E8" w:rsidRPr="00AF59E8" w14:paraId="617F8C16"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06F9DF42"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3AF69223"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xml:space="preserve">Telecom Vanuatu Ltd </w:t>
            </w:r>
          </w:p>
        </w:tc>
      </w:tr>
      <w:tr w:rsidR="00AF59E8" w:rsidRPr="00AF59E8" w14:paraId="1BAB0C6E"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752E195B"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048FB172"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xml:space="preserve">Vanuatu Chamber of Commerce and Industry </w:t>
            </w:r>
          </w:p>
        </w:tc>
      </w:tr>
      <w:tr w:rsidR="00AF59E8" w:rsidRPr="00AF59E8" w14:paraId="420128BC" w14:textId="77777777" w:rsidTr="00EC14DE">
        <w:trPr>
          <w:trHeight w:val="280"/>
        </w:trPr>
        <w:tc>
          <w:tcPr>
            <w:tcW w:w="6513"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8023D2" w14:textId="1754575C" w:rsidR="00AF59E8" w:rsidRPr="00AF59E8" w:rsidRDefault="00AF59E8" w:rsidP="00AF59E8">
            <w:pPr>
              <w:suppressAutoHyphens w:val="0"/>
              <w:spacing w:before="0" w:after="0"/>
              <w:rPr>
                <w:rFonts w:ascii="Calibri" w:eastAsia="Times New Roman" w:hAnsi="Calibri"/>
                <w:b/>
                <w:color w:val="000000"/>
                <w:sz w:val="22"/>
                <w:szCs w:val="22"/>
              </w:rPr>
            </w:pPr>
            <w:r w:rsidRPr="00AF59E8">
              <w:rPr>
                <w:rFonts w:ascii="Calibri" w:eastAsia="Times New Roman" w:hAnsi="Calibri"/>
                <w:b/>
                <w:color w:val="000000"/>
                <w:sz w:val="22"/>
                <w:szCs w:val="22"/>
              </w:rPr>
              <w:t xml:space="preserve">Public Training Provider </w:t>
            </w:r>
          </w:p>
        </w:tc>
      </w:tr>
      <w:tr w:rsidR="00AF59E8" w:rsidRPr="00AF59E8" w14:paraId="0504D3C3" w14:textId="77777777" w:rsidTr="00AF59E8">
        <w:trPr>
          <w:trHeight w:val="280"/>
        </w:trPr>
        <w:tc>
          <w:tcPr>
            <w:tcW w:w="431" w:type="dxa"/>
            <w:tcBorders>
              <w:top w:val="nil"/>
              <w:left w:val="single" w:sz="4" w:space="0" w:color="auto"/>
              <w:bottom w:val="single" w:sz="4" w:space="0" w:color="auto"/>
            </w:tcBorders>
            <w:shd w:val="clear" w:color="auto" w:fill="auto"/>
            <w:noWrap/>
            <w:vAlign w:val="bottom"/>
            <w:hideMark/>
          </w:tcPr>
          <w:p w14:paraId="41847FE6"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132B7EF6"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Vanuatu Agriculture College</w:t>
            </w:r>
          </w:p>
        </w:tc>
      </w:tr>
      <w:tr w:rsidR="00AF59E8" w:rsidRPr="00AF59E8" w14:paraId="188A4BE4"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253C962A"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2059972F"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xml:space="preserve">Vanuatu Maritime College </w:t>
            </w:r>
          </w:p>
        </w:tc>
      </w:tr>
      <w:tr w:rsidR="00AF59E8" w:rsidRPr="00AF59E8" w14:paraId="5F31ED20" w14:textId="77777777" w:rsidTr="00EC14DE">
        <w:trPr>
          <w:trHeight w:val="280"/>
        </w:trPr>
        <w:tc>
          <w:tcPr>
            <w:tcW w:w="6513"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DBC170" w14:textId="03B74383" w:rsidR="00AF59E8" w:rsidRPr="00AF59E8" w:rsidRDefault="00AF59E8" w:rsidP="00AF59E8">
            <w:pPr>
              <w:suppressAutoHyphens w:val="0"/>
              <w:spacing w:before="0" w:after="0"/>
              <w:rPr>
                <w:rFonts w:ascii="Calibri" w:eastAsia="Times New Roman" w:hAnsi="Calibri"/>
                <w:b/>
                <w:color w:val="000000"/>
                <w:sz w:val="22"/>
                <w:szCs w:val="22"/>
              </w:rPr>
            </w:pPr>
            <w:r w:rsidRPr="00AF59E8">
              <w:rPr>
                <w:rFonts w:ascii="Calibri" w:eastAsia="Times New Roman" w:hAnsi="Calibri"/>
                <w:b/>
                <w:color w:val="000000"/>
                <w:sz w:val="22"/>
                <w:szCs w:val="22"/>
              </w:rPr>
              <w:t>TVET Centre</w:t>
            </w:r>
          </w:p>
        </w:tc>
      </w:tr>
      <w:tr w:rsidR="00AF59E8" w:rsidRPr="00AF59E8" w14:paraId="142BA31E" w14:textId="77777777" w:rsidTr="00AF59E8">
        <w:trPr>
          <w:trHeight w:val="280"/>
        </w:trPr>
        <w:tc>
          <w:tcPr>
            <w:tcW w:w="431" w:type="dxa"/>
            <w:tcBorders>
              <w:top w:val="nil"/>
              <w:left w:val="single" w:sz="4" w:space="0" w:color="auto"/>
              <w:bottom w:val="single" w:sz="4" w:space="0" w:color="auto"/>
            </w:tcBorders>
            <w:shd w:val="clear" w:color="auto" w:fill="auto"/>
            <w:noWrap/>
            <w:vAlign w:val="bottom"/>
            <w:hideMark/>
          </w:tcPr>
          <w:p w14:paraId="1962DEB0"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single" w:sz="4" w:space="0" w:color="auto"/>
              <w:right w:val="single" w:sz="4" w:space="0" w:color="auto"/>
            </w:tcBorders>
            <w:shd w:val="clear" w:color="auto" w:fill="auto"/>
            <w:noWrap/>
            <w:vAlign w:val="bottom"/>
            <w:hideMark/>
          </w:tcPr>
          <w:p w14:paraId="0105B54C"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xml:space="preserve">Sanma TVET Centre </w:t>
            </w:r>
          </w:p>
        </w:tc>
      </w:tr>
      <w:tr w:rsidR="00AF59E8" w:rsidRPr="00AF59E8" w14:paraId="3F40EA20" w14:textId="77777777" w:rsidTr="00062A04">
        <w:trPr>
          <w:trHeight w:val="280"/>
        </w:trPr>
        <w:tc>
          <w:tcPr>
            <w:tcW w:w="431" w:type="dxa"/>
            <w:tcBorders>
              <w:top w:val="single" w:sz="4" w:space="0" w:color="auto"/>
              <w:left w:val="single" w:sz="4" w:space="0" w:color="auto"/>
              <w:bottom w:val="single" w:sz="4" w:space="0" w:color="auto"/>
            </w:tcBorders>
            <w:shd w:val="clear" w:color="auto" w:fill="auto"/>
            <w:noWrap/>
            <w:vAlign w:val="bottom"/>
            <w:hideMark/>
          </w:tcPr>
          <w:p w14:paraId="691D7AFB"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w:t>
            </w:r>
          </w:p>
        </w:tc>
        <w:tc>
          <w:tcPr>
            <w:tcW w:w="6082" w:type="dxa"/>
            <w:tcBorders>
              <w:top w:val="nil"/>
              <w:left w:val="nil"/>
              <w:bottom w:val="nil"/>
              <w:right w:val="single" w:sz="4" w:space="0" w:color="auto"/>
            </w:tcBorders>
            <w:shd w:val="clear" w:color="auto" w:fill="auto"/>
            <w:noWrap/>
            <w:vAlign w:val="bottom"/>
            <w:hideMark/>
          </w:tcPr>
          <w:p w14:paraId="2B03DB28" w14:textId="77777777" w:rsidR="00AF59E8" w:rsidRPr="00AF59E8" w:rsidRDefault="00AF59E8" w:rsidP="00AF59E8">
            <w:pPr>
              <w:suppressAutoHyphens w:val="0"/>
              <w:spacing w:before="0" w:after="0"/>
              <w:rPr>
                <w:rFonts w:ascii="Calibri" w:eastAsia="Times New Roman" w:hAnsi="Calibri"/>
                <w:color w:val="000000"/>
                <w:sz w:val="22"/>
                <w:szCs w:val="22"/>
              </w:rPr>
            </w:pPr>
            <w:r w:rsidRPr="00AF59E8">
              <w:rPr>
                <w:rFonts w:ascii="Calibri" w:eastAsia="Times New Roman" w:hAnsi="Calibri"/>
                <w:color w:val="000000"/>
                <w:sz w:val="22"/>
                <w:szCs w:val="22"/>
              </w:rPr>
              <w:t xml:space="preserve">Malampa TVET Centre </w:t>
            </w:r>
          </w:p>
        </w:tc>
      </w:tr>
      <w:tr w:rsidR="00062A04" w:rsidRPr="00AF59E8" w14:paraId="5010D66C" w14:textId="77777777" w:rsidTr="00AF59E8">
        <w:trPr>
          <w:trHeight w:val="280"/>
        </w:trPr>
        <w:tc>
          <w:tcPr>
            <w:tcW w:w="431" w:type="dxa"/>
            <w:tcBorders>
              <w:top w:val="single" w:sz="4" w:space="0" w:color="auto"/>
              <w:left w:val="single" w:sz="4" w:space="0" w:color="auto"/>
              <w:bottom w:val="single" w:sz="4" w:space="0" w:color="auto"/>
            </w:tcBorders>
            <w:shd w:val="clear" w:color="auto" w:fill="auto"/>
            <w:noWrap/>
            <w:vAlign w:val="bottom"/>
          </w:tcPr>
          <w:p w14:paraId="1DBB6FC6" w14:textId="77777777" w:rsidR="00062A04" w:rsidRPr="00AF59E8" w:rsidRDefault="00062A04" w:rsidP="00AF59E8">
            <w:pPr>
              <w:suppressAutoHyphens w:val="0"/>
              <w:spacing w:before="0" w:after="0"/>
              <w:rPr>
                <w:rFonts w:ascii="Calibri" w:eastAsia="Times New Roman" w:hAnsi="Calibri"/>
                <w:color w:val="000000"/>
                <w:sz w:val="22"/>
                <w:szCs w:val="22"/>
              </w:rPr>
            </w:pPr>
          </w:p>
        </w:tc>
        <w:tc>
          <w:tcPr>
            <w:tcW w:w="6082" w:type="dxa"/>
            <w:tcBorders>
              <w:top w:val="nil"/>
              <w:left w:val="nil"/>
              <w:bottom w:val="single" w:sz="4" w:space="0" w:color="auto"/>
              <w:right w:val="single" w:sz="4" w:space="0" w:color="auto"/>
            </w:tcBorders>
            <w:shd w:val="clear" w:color="auto" w:fill="auto"/>
            <w:noWrap/>
            <w:vAlign w:val="bottom"/>
          </w:tcPr>
          <w:p w14:paraId="3ABBC211" w14:textId="42A8A1B9" w:rsidR="00062A04" w:rsidRPr="00AF59E8" w:rsidRDefault="00062A04" w:rsidP="00AF59E8">
            <w:pPr>
              <w:suppressAutoHyphens w:val="0"/>
              <w:spacing w:before="0" w:after="0"/>
              <w:rPr>
                <w:rFonts w:ascii="Calibri" w:eastAsia="Times New Roman" w:hAnsi="Calibri"/>
                <w:color w:val="000000"/>
                <w:sz w:val="22"/>
                <w:szCs w:val="22"/>
              </w:rPr>
            </w:pPr>
            <w:r>
              <w:rPr>
                <w:rFonts w:ascii="Calibri" w:eastAsia="Times New Roman" w:hAnsi="Calibri"/>
                <w:color w:val="000000"/>
                <w:sz w:val="22"/>
                <w:szCs w:val="22"/>
              </w:rPr>
              <w:t xml:space="preserve">TVET for Tourism Program Staff </w:t>
            </w:r>
          </w:p>
        </w:tc>
      </w:tr>
    </w:tbl>
    <w:p w14:paraId="23C183C6" w14:textId="2AE17ECD" w:rsidR="00AE28CA" w:rsidRDefault="00AE28CA" w:rsidP="000674CD"/>
    <w:p w14:paraId="27CA4F8C" w14:textId="77777777" w:rsidR="00AE28CA" w:rsidRDefault="00AE28CA">
      <w:pPr>
        <w:suppressAutoHyphens w:val="0"/>
        <w:spacing w:before="0" w:after="0"/>
      </w:pPr>
      <w:r>
        <w:br w:type="page"/>
      </w:r>
    </w:p>
    <w:p w14:paraId="5DD0B5F6" w14:textId="3A2ECD71" w:rsidR="00437F34" w:rsidRDefault="00AE28CA" w:rsidP="00AE28CA">
      <w:pPr>
        <w:pStyle w:val="Heading1"/>
      </w:pPr>
      <w:bookmarkStart w:id="17" w:name="_Toc285716749"/>
      <w:r>
        <w:lastRenderedPageBreak/>
        <w:t>Annex 3: Stakeholder Interviews</w:t>
      </w:r>
      <w:bookmarkEnd w:id="17"/>
      <w:r>
        <w:t xml:space="preserve"> </w:t>
      </w:r>
    </w:p>
    <w:p w14:paraId="548F6E79" w14:textId="63BF93CC" w:rsidR="00F24C0C" w:rsidRDefault="00F24C0C" w:rsidP="000674CD">
      <w:r>
        <w:t>The Program M&amp;E Specialist conducted semi-structured interviews with stakeholders from a range of organisations and perspectives in November and December 2014, with a small number of interviews with Program staff finalised in January and February 2015. Interviews were recorded, with interviewee consent. The views expressed in these interviews were analysed for common themes and notable stories, and these are reflected throughout this report.</w:t>
      </w:r>
    </w:p>
    <w:p w14:paraId="369BA98E" w14:textId="0CC48215" w:rsidR="00F24C0C" w:rsidRDefault="00F24C0C" w:rsidP="000674CD">
      <w:r>
        <w:t xml:space="preserve">Interviews were conducted with: </w:t>
      </w:r>
    </w:p>
    <w:p w14:paraId="406FC5C6" w14:textId="6085F0B8" w:rsidR="00955A8A" w:rsidRDefault="00955A8A" w:rsidP="00646BCA">
      <w:pPr>
        <w:pStyle w:val="BulletList"/>
      </w:pPr>
      <w:r>
        <w:t xml:space="preserve">Jocelyn Mete, First Political Adviser to the Minister for Education and Training </w:t>
      </w:r>
    </w:p>
    <w:p w14:paraId="57D34EE1" w14:textId="33EA1ABD" w:rsidR="00955A8A" w:rsidRDefault="00955A8A" w:rsidP="00646BCA">
      <w:pPr>
        <w:pStyle w:val="BulletList"/>
      </w:pPr>
      <w:r>
        <w:t xml:space="preserve">David Lambukly, CEO, Vanuatu Qualifications Authority </w:t>
      </w:r>
    </w:p>
    <w:p w14:paraId="0D709AAA" w14:textId="12F98D8C" w:rsidR="00955A8A" w:rsidRDefault="00955A8A" w:rsidP="00646BCA">
      <w:pPr>
        <w:pStyle w:val="BulletList"/>
      </w:pPr>
      <w:r>
        <w:t xml:space="preserve">George Borugu, Director, Department of Tourism </w:t>
      </w:r>
    </w:p>
    <w:p w14:paraId="37109A3B" w14:textId="4CD6788B" w:rsidR="00955A8A" w:rsidRDefault="00955A8A" w:rsidP="00646BCA">
      <w:pPr>
        <w:pStyle w:val="BulletList"/>
      </w:pPr>
      <w:r>
        <w:t xml:space="preserve">Emmanuel Aru, TVET in Schools Coordinator, Ministry of Education and Training </w:t>
      </w:r>
    </w:p>
    <w:p w14:paraId="0AB7EB9C" w14:textId="36C47002" w:rsidR="00955A8A" w:rsidRDefault="00955A8A" w:rsidP="00646BCA">
      <w:pPr>
        <w:pStyle w:val="BulletList"/>
      </w:pPr>
      <w:r>
        <w:t xml:space="preserve">Kalpa Kalbeo, </w:t>
      </w:r>
      <w:r w:rsidR="00646BCA">
        <w:t>Principal</w:t>
      </w:r>
      <w:r>
        <w:t xml:space="preserve">, Vanuatu Institute of Technology </w:t>
      </w:r>
    </w:p>
    <w:p w14:paraId="5ADB412A" w14:textId="5EAB2B1A" w:rsidR="00955A8A" w:rsidRDefault="00955A8A" w:rsidP="00646BCA">
      <w:pPr>
        <w:pStyle w:val="BulletList"/>
      </w:pPr>
      <w:r>
        <w:t xml:space="preserve">Jerrol Arnhambat, </w:t>
      </w:r>
      <w:r w:rsidR="00646BCA">
        <w:t xml:space="preserve">Vanuatu Rural Development Training Centres Association </w:t>
      </w:r>
    </w:p>
    <w:p w14:paraId="1B0313FD" w14:textId="7247FD00" w:rsidR="00955A8A" w:rsidRDefault="00BF31B3" w:rsidP="00646BCA">
      <w:pPr>
        <w:pStyle w:val="BulletList"/>
      </w:pPr>
      <w:r>
        <w:t xml:space="preserve">Arthur Edgell, Training Manager, Vanuatu Chamber of Commerce and Industry </w:t>
      </w:r>
    </w:p>
    <w:p w14:paraId="25EF4B58" w14:textId="3F3DCE17" w:rsidR="00955A8A" w:rsidRDefault="00955A8A" w:rsidP="00646BCA">
      <w:pPr>
        <w:pStyle w:val="BulletList"/>
      </w:pPr>
      <w:r>
        <w:t xml:space="preserve">Palen </w:t>
      </w:r>
      <w:r w:rsidR="00321AEE">
        <w:t>Ata</w:t>
      </w:r>
      <w:r>
        <w:t xml:space="preserve">, Acting Secretary General, Malampa Province </w:t>
      </w:r>
    </w:p>
    <w:p w14:paraId="682A2FEE" w14:textId="41182065" w:rsidR="00955A8A" w:rsidRDefault="00955A8A" w:rsidP="00646BCA">
      <w:pPr>
        <w:pStyle w:val="BulletList"/>
      </w:pPr>
      <w:r>
        <w:t xml:space="preserve">Renjo </w:t>
      </w:r>
      <w:r w:rsidR="00BF31B3">
        <w:t xml:space="preserve">Samuel, Chair, Malampa Provincial </w:t>
      </w:r>
      <w:r w:rsidR="005F5177">
        <w:t xml:space="preserve">Government </w:t>
      </w:r>
      <w:r w:rsidR="00BF31B3">
        <w:t xml:space="preserve">Training Board and Provincial Education Officer </w:t>
      </w:r>
    </w:p>
    <w:p w14:paraId="30E836B4" w14:textId="4EC1DA37" w:rsidR="00955A8A" w:rsidRDefault="00BF31B3" w:rsidP="00646BCA">
      <w:pPr>
        <w:pStyle w:val="BulletList"/>
      </w:pPr>
      <w:r>
        <w:t>Kalowie Robert, Centre Manager, Malampa TVET Centre</w:t>
      </w:r>
    </w:p>
    <w:p w14:paraId="4F420338" w14:textId="4ED6A90E" w:rsidR="00BF31B3" w:rsidRDefault="00BF31B3" w:rsidP="00646BCA">
      <w:pPr>
        <w:pStyle w:val="BulletList"/>
      </w:pPr>
      <w:r>
        <w:t xml:space="preserve">Ketty Napwatt, Secretary General, Torba Province </w:t>
      </w:r>
    </w:p>
    <w:p w14:paraId="7EEDBA2F" w14:textId="3282612C" w:rsidR="00955A8A" w:rsidRDefault="00955A8A" w:rsidP="00646BCA">
      <w:pPr>
        <w:pStyle w:val="BulletList"/>
      </w:pPr>
      <w:r>
        <w:t xml:space="preserve">Albert Ruddley, Centre Manager, Torba TVET Centre </w:t>
      </w:r>
    </w:p>
    <w:p w14:paraId="08B92D4B" w14:textId="559FACF0" w:rsidR="00955A8A" w:rsidRDefault="00955A8A" w:rsidP="00646BCA">
      <w:pPr>
        <w:pStyle w:val="BulletList"/>
      </w:pPr>
      <w:r>
        <w:t xml:space="preserve">Hopkins Dick, Chair, Torba Provincial </w:t>
      </w:r>
      <w:r w:rsidR="005F5177">
        <w:t xml:space="preserve">Government </w:t>
      </w:r>
      <w:r>
        <w:t xml:space="preserve">Training Board </w:t>
      </w:r>
    </w:p>
    <w:p w14:paraId="24E1929F" w14:textId="77777777" w:rsidR="00BF31B3" w:rsidRDefault="00BF31B3" w:rsidP="00646BCA">
      <w:pPr>
        <w:pStyle w:val="BulletList"/>
      </w:pPr>
      <w:r>
        <w:t xml:space="preserve">Moulin Tabouti, Centre Manager, Sanma TVET Centre </w:t>
      </w:r>
    </w:p>
    <w:p w14:paraId="23E4E55E" w14:textId="69BA62C1" w:rsidR="00A87D31" w:rsidRDefault="00A87D31" w:rsidP="00646BCA">
      <w:pPr>
        <w:pStyle w:val="BulletList"/>
      </w:pPr>
      <w:r>
        <w:t xml:space="preserve">Zakariah Daniel, Secretary General, Sanma Province and Chair, Sanma Provincial </w:t>
      </w:r>
      <w:r w:rsidR="005F5177">
        <w:t xml:space="preserve">Government </w:t>
      </w:r>
      <w:r>
        <w:t>Training Board</w:t>
      </w:r>
    </w:p>
    <w:p w14:paraId="75BACF91" w14:textId="099931CA" w:rsidR="00A87D31" w:rsidRDefault="00955A8A" w:rsidP="00646BCA">
      <w:pPr>
        <w:pStyle w:val="BulletList"/>
      </w:pPr>
      <w:r>
        <w:t xml:space="preserve">Jill and </w:t>
      </w:r>
      <w:r w:rsidR="00047D4D">
        <w:t>Alistair</w:t>
      </w:r>
      <w:r>
        <w:t xml:space="preserve"> Macgillivray, Listair Training School, Santo </w:t>
      </w:r>
    </w:p>
    <w:p w14:paraId="4A9BA4E1" w14:textId="53F41A3E" w:rsidR="00A87D31" w:rsidRDefault="00A87D31" w:rsidP="00646BCA">
      <w:pPr>
        <w:pStyle w:val="BulletList"/>
      </w:pPr>
      <w:r>
        <w:t xml:space="preserve">Fremden </w:t>
      </w:r>
      <w:r w:rsidR="005F5177">
        <w:t>Yanhambath</w:t>
      </w:r>
      <w:r>
        <w:t xml:space="preserve">, Team Leader, TVET Program </w:t>
      </w:r>
    </w:p>
    <w:p w14:paraId="17EC2DFD" w14:textId="00360F8B" w:rsidR="00A87D31" w:rsidRDefault="00A87D31" w:rsidP="00646BCA">
      <w:pPr>
        <w:pStyle w:val="BulletList"/>
      </w:pPr>
      <w:r>
        <w:t xml:space="preserve">Anna Gibert, </w:t>
      </w:r>
      <w:r w:rsidR="005F5177">
        <w:t xml:space="preserve">former Team Leader, now </w:t>
      </w:r>
      <w:r>
        <w:t>Implementation Adviser, TVET Program</w:t>
      </w:r>
    </w:p>
    <w:p w14:paraId="1AB9F479" w14:textId="5948041F" w:rsidR="00A87D31" w:rsidRDefault="00A87D31" w:rsidP="00646BCA">
      <w:pPr>
        <w:pStyle w:val="BulletList"/>
      </w:pPr>
      <w:r>
        <w:t xml:space="preserve">Marian Loughman, Training Provider Support Services Manager, TVET Program </w:t>
      </w:r>
    </w:p>
    <w:p w14:paraId="6AE4971A" w14:textId="30440FF3" w:rsidR="00F65E9B" w:rsidRDefault="00A87D31" w:rsidP="00646BCA">
      <w:pPr>
        <w:pStyle w:val="BulletList"/>
      </w:pPr>
      <w:r>
        <w:t>Peter Morris, Technical Director, TVET Program</w:t>
      </w:r>
    </w:p>
    <w:p w14:paraId="3E249985" w14:textId="77777777" w:rsidR="00F65E9B" w:rsidRDefault="00F65E9B">
      <w:pPr>
        <w:suppressAutoHyphens w:val="0"/>
        <w:spacing w:before="0" w:after="0"/>
      </w:pPr>
      <w:r>
        <w:br w:type="page"/>
      </w:r>
    </w:p>
    <w:p w14:paraId="321AB161" w14:textId="3A32F471" w:rsidR="002B77CD" w:rsidRDefault="003D160B" w:rsidP="00131CE3">
      <w:pPr>
        <w:pStyle w:val="Heading1"/>
      </w:pPr>
      <w:bookmarkStart w:id="18" w:name="_Toc285716750"/>
      <w:r>
        <w:lastRenderedPageBreak/>
        <w:t xml:space="preserve">Annex 4: </w:t>
      </w:r>
      <w:r w:rsidR="00F65E9B">
        <w:t xml:space="preserve">Participant Outcomes Survey </w:t>
      </w:r>
      <w:r w:rsidR="002B77CD">
        <w:t>Sampling and Implementation Procedures</w:t>
      </w:r>
      <w:bookmarkEnd w:id="18"/>
      <w:r w:rsidR="002B77CD">
        <w:t xml:space="preserve"> </w:t>
      </w:r>
    </w:p>
    <w:p w14:paraId="38C7B4BC" w14:textId="6114AC4F" w:rsidR="00131CE3" w:rsidRPr="00131CE3" w:rsidRDefault="00131CE3" w:rsidP="00131CE3">
      <w:r>
        <w:t>(October 2014)</w:t>
      </w:r>
    </w:p>
    <w:p w14:paraId="7DB99243" w14:textId="77777777" w:rsidR="002B77CD" w:rsidRDefault="002B77CD" w:rsidP="002B77CD">
      <w:r>
        <w:t xml:space="preserve">The M&amp;E team will undertake data collection twice a year in order to make logistics manageable, given the geographic spread of program participants and the travel, cost and communication implications of that geographic spread. </w:t>
      </w:r>
    </w:p>
    <w:p w14:paraId="532D14B1" w14:textId="77777777" w:rsidR="002B77CD" w:rsidRDefault="002B77CD" w:rsidP="002B77CD">
      <w:r>
        <w:t xml:space="preserve">We will select a sample of participants who completed their AT or BDS activity at a time period of 6-8 months prior to survey implementation, according to the following calendar: </w:t>
      </w:r>
    </w:p>
    <w:p w14:paraId="037FA9FD" w14:textId="0305B816" w:rsidR="002B77CD" w:rsidRDefault="002B77CD" w:rsidP="002B77CD">
      <w:r>
        <w:rPr>
          <w:noProof/>
          <w:lang w:val="en-GB" w:eastAsia="en-GB"/>
        </w:rPr>
        <w:drawing>
          <wp:inline distT="0" distB="0" distL="0" distR="0" wp14:anchorId="396D7DC7" wp14:editId="10616253">
            <wp:extent cx="5265420" cy="1057910"/>
            <wp:effectExtent l="0" t="0" r="0" b="889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5420" cy="1057910"/>
                    </a:xfrm>
                    <a:prstGeom prst="rect">
                      <a:avLst/>
                    </a:prstGeom>
                    <a:noFill/>
                    <a:ln>
                      <a:noFill/>
                    </a:ln>
                  </pic:spPr>
                </pic:pic>
              </a:graphicData>
            </a:graphic>
          </wp:inline>
        </w:drawing>
      </w:r>
    </w:p>
    <w:p w14:paraId="53A900A9" w14:textId="77777777" w:rsidR="002B77CD" w:rsidRDefault="002B77CD" w:rsidP="002B77CD">
      <w:r>
        <w:t xml:space="preserve">This will mean two intensive periods of survey data collection, in March and October every year. </w:t>
      </w:r>
    </w:p>
    <w:p w14:paraId="158B449D" w14:textId="77777777" w:rsidR="002B77CD" w:rsidRDefault="002B77CD" w:rsidP="002B77CD">
      <w:r w:rsidRPr="0068322E">
        <w:rPr>
          <w:b/>
        </w:rPr>
        <w:t xml:space="preserve">The first survey </w:t>
      </w:r>
      <w:r>
        <w:rPr>
          <w:b/>
        </w:rPr>
        <w:t>will</w:t>
      </w:r>
      <w:r w:rsidRPr="0068322E">
        <w:rPr>
          <w:b/>
        </w:rPr>
        <w:t xml:space="preserve"> take place in March 2014 and the second in </w:t>
      </w:r>
      <w:r>
        <w:rPr>
          <w:b/>
        </w:rPr>
        <w:t>October</w:t>
      </w:r>
      <w:r w:rsidRPr="0068322E">
        <w:rPr>
          <w:b/>
        </w:rPr>
        <w:t xml:space="preserve"> 2014 – leading into the first full outcomes report to the SAG in December 2014. </w:t>
      </w:r>
    </w:p>
    <w:p w14:paraId="1AD4001F" w14:textId="77777777" w:rsidR="002B77CD" w:rsidRDefault="002B77CD" w:rsidP="002B77CD">
      <w:r>
        <w:t xml:space="preserve">The sample for each survey will be drawn from amongst participants who participated in either July-September, or February-April, each year. Participants from activities that take place in October-January and May-June will not be surveyed. </w:t>
      </w:r>
    </w:p>
    <w:p w14:paraId="52156ADF" w14:textId="77777777" w:rsidR="002B77CD" w:rsidRDefault="002B77CD" w:rsidP="002B77CD">
      <w:r>
        <w:t xml:space="preserve">This scheduling will exclude from the survey the period of the year likely to have the smallest number of training activities and trainees (i.e. December-January), and will align with the six-monthly analysis and reporting timetable for the SAG (noting that the intention is mainly to report outcomes data annually at the December SAG). </w:t>
      </w:r>
    </w:p>
    <w:p w14:paraId="1AB1BD0A" w14:textId="77777777" w:rsidR="002B77CD" w:rsidRDefault="002B77CD" w:rsidP="002B77CD">
      <w:r>
        <w:t xml:space="preserve">This approach will enable much better forward planning, sampling, and logistics management. It will offer a more efficient use of M&amp;E team time and enable them to focus more on other M&amp;E activities in the intervening months of the year, while concentrating their time and attention on the Outcomes Survey in a more focused way, twice a year. </w:t>
      </w:r>
    </w:p>
    <w:p w14:paraId="2FADDBCF" w14:textId="77777777" w:rsidR="002B77CD" w:rsidRDefault="002B77CD" w:rsidP="002B77CD">
      <w:pPr>
        <w:pStyle w:val="Heading3"/>
      </w:pPr>
      <w:r w:rsidRPr="00D84C96">
        <w:t>Sample</w:t>
      </w:r>
    </w:p>
    <w:p w14:paraId="3BD6705D" w14:textId="77777777" w:rsidR="002B77CD" w:rsidRDefault="002B77CD" w:rsidP="002B77CD">
      <w:r>
        <w:t xml:space="preserve">For each period we plan to collect enough data for each of four subpopulations (strata) defined by the cross-classification of: (i) </w:t>
      </w:r>
      <w:r w:rsidRPr="008B330E">
        <w:rPr>
          <w:b/>
        </w:rPr>
        <w:t>Gender</w:t>
      </w:r>
      <w:r>
        <w:t xml:space="preserve"> and (ii) </w:t>
      </w:r>
      <w:r w:rsidRPr="008B330E">
        <w:rPr>
          <w:b/>
        </w:rPr>
        <w:t>Activity Type</w:t>
      </w:r>
      <w:r>
        <w:t xml:space="preserve"> (Accredited Training participants and Business Development Services participants) to enable reporting of outcomes by subpopulation. We will collect 25 responses from each of these subpopulations for each survey period – 100 responses in total.</w:t>
      </w:r>
    </w:p>
    <w:p w14:paraId="2CA1634C" w14:textId="77777777" w:rsidR="002B77CD" w:rsidRDefault="002B77CD" w:rsidP="002B77CD">
      <w:r>
        <w:t>Within each stratum, the list of participants will be sorted by province and sector.</w:t>
      </w:r>
    </w:p>
    <w:p w14:paraId="466B2756" w14:textId="77777777" w:rsidR="002B77CD" w:rsidRDefault="002B77CD" w:rsidP="002B77CD">
      <w:r w:rsidRPr="003444B6">
        <w:rPr>
          <w:b/>
        </w:rPr>
        <w:t>Province</w:t>
      </w:r>
      <w:r>
        <w:t>: three provinces.</w:t>
      </w:r>
    </w:p>
    <w:p w14:paraId="17D0E816" w14:textId="77777777" w:rsidR="002B77CD" w:rsidRDefault="002B77CD" w:rsidP="002B77CD">
      <w:r w:rsidRPr="00512D59">
        <w:rPr>
          <w:b/>
        </w:rPr>
        <w:t>Sector</w:t>
      </w:r>
      <w:r>
        <w:t xml:space="preserve">: We have </w:t>
      </w:r>
      <w:r w:rsidRPr="003029D7">
        <w:t>nine</w:t>
      </w:r>
      <w:r>
        <w:t xml:space="preserve"> (9) sector categories. The sectors in which we provide training are important, and diverse, and it may well be important to try and discern differential outcomes for trainees/ clients in different sectors.</w:t>
      </w:r>
    </w:p>
    <w:p w14:paraId="44643F4D" w14:textId="77777777" w:rsidR="002B77CD" w:rsidRDefault="002B77CD" w:rsidP="002B77CD">
      <w:r>
        <w:t xml:space="preserve">A systematic random sample from these lists will ensure that the drawn sample is also representative across these two variables. </w:t>
      </w:r>
    </w:p>
    <w:p w14:paraId="54DD465C" w14:textId="77777777" w:rsidR="002B77CD" w:rsidRDefault="002B77CD" w:rsidP="002B77CD">
      <w:r>
        <w:t xml:space="preserve">Because data will be collected every six months, the overall sample will expand each time, as we aggregate the overall data set. Over time, this will increasingly enable the analysis of data by Province and Sector.  </w:t>
      </w:r>
    </w:p>
    <w:p w14:paraId="47E12C03" w14:textId="77777777" w:rsidR="002B77CD" w:rsidRDefault="002B77CD" w:rsidP="002B77CD">
      <w:r>
        <w:lastRenderedPageBreak/>
        <w:t xml:space="preserve">In summary, each survey will sample as follows: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4308"/>
        <w:gridCol w:w="458"/>
        <w:gridCol w:w="4045"/>
      </w:tblGrid>
      <w:tr w:rsidR="002B77CD" w14:paraId="668B71A1" w14:textId="77777777" w:rsidTr="002B77CD">
        <w:tc>
          <w:tcPr>
            <w:tcW w:w="230" w:type="pct"/>
          </w:tcPr>
          <w:p w14:paraId="24623AD8" w14:textId="77777777" w:rsidR="002B77CD" w:rsidRPr="00C119FF" w:rsidRDefault="002B77CD" w:rsidP="002B77CD">
            <w:pPr>
              <w:rPr>
                <w:b/>
              </w:rPr>
            </w:pPr>
            <w:r w:rsidRPr="00C119FF">
              <w:rPr>
                <w:b/>
              </w:rPr>
              <w:t>A</w:t>
            </w:r>
          </w:p>
        </w:tc>
        <w:tc>
          <w:tcPr>
            <w:tcW w:w="2332" w:type="pct"/>
            <w:shd w:val="clear" w:color="auto" w:fill="auto"/>
          </w:tcPr>
          <w:p w14:paraId="67783C72" w14:textId="77777777" w:rsidR="002B77CD" w:rsidRDefault="002B77CD" w:rsidP="002B77CD">
            <w:r>
              <w:t>25 Male (</w:t>
            </w:r>
            <w:r w:rsidRPr="004D0B6E">
              <w:rPr>
                <w:rFonts w:ascii="Arial" w:hAnsi="Arial" w:cs="Arial"/>
              </w:rPr>
              <w:t>♂</w:t>
            </w:r>
            <w:r>
              <w:t xml:space="preserve">) Accredited Training Participants </w:t>
            </w:r>
          </w:p>
        </w:tc>
        <w:tc>
          <w:tcPr>
            <w:tcW w:w="248" w:type="pct"/>
          </w:tcPr>
          <w:p w14:paraId="0AB3C24D" w14:textId="77777777" w:rsidR="002B77CD" w:rsidRPr="00C119FF" w:rsidRDefault="002B77CD" w:rsidP="002B77CD">
            <w:pPr>
              <w:rPr>
                <w:b/>
              </w:rPr>
            </w:pPr>
            <w:r w:rsidRPr="00C119FF">
              <w:rPr>
                <w:b/>
              </w:rPr>
              <w:t>C</w:t>
            </w:r>
          </w:p>
        </w:tc>
        <w:tc>
          <w:tcPr>
            <w:tcW w:w="2190" w:type="pct"/>
            <w:shd w:val="clear" w:color="auto" w:fill="auto"/>
          </w:tcPr>
          <w:p w14:paraId="2D31B221" w14:textId="77777777" w:rsidR="002B77CD" w:rsidRDefault="002B77CD" w:rsidP="002B77CD">
            <w:r>
              <w:t>25 Male (</w:t>
            </w:r>
            <w:r w:rsidRPr="004D0B6E">
              <w:rPr>
                <w:rFonts w:ascii="Arial" w:hAnsi="Arial" w:cs="Arial"/>
              </w:rPr>
              <w:t>♂</w:t>
            </w:r>
            <w:r>
              <w:t>) Business Development Clients</w:t>
            </w:r>
          </w:p>
        </w:tc>
      </w:tr>
      <w:tr w:rsidR="002B77CD" w14:paraId="4AB91782" w14:textId="77777777" w:rsidTr="002B77CD">
        <w:tc>
          <w:tcPr>
            <w:tcW w:w="230" w:type="pct"/>
          </w:tcPr>
          <w:p w14:paraId="0E931EEF" w14:textId="77777777" w:rsidR="002B77CD" w:rsidRPr="00C119FF" w:rsidRDefault="002B77CD" w:rsidP="002B77CD">
            <w:pPr>
              <w:rPr>
                <w:b/>
              </w:rPr>
            </w:pPr>
            <w:r w:rsidRPr="00C119FF">
              <w:rPr>
                <w:b/>
              </w:rPr>
              <w:t>B</w:t>
            </w:r>
          </w:p>
        </w:tc>
        <w:tc>
          <w:tcPr>
            <w:tcW w:w="2332" w:type="pct"/>
            <w:shd w:val="clear" w:color="auto" w:fill="auto"/>
          </w:tcPr>
          <w:p w14:paraId="3D166A73" w14:textId="77777777" w:rsidR="002B77CD" w:rsidRDefault="002B77CD" w:rsidP="002B77CD">
            <w:r>
              <w:t>25 Female (</w:t>
            </w:r>
            <w:r w:rsidRPr="004D0B6E">
              <w:rPr>
                <w:rFonts w:ascii="Times New Roman" w:hAnsi="Times New Roman"/>
              </w:rPr>
              <w:t xml:space="preserve">♀) </w:t>
            </w:r>
            <w:r>
              <w:t xml:space="preserve">Accredited Training Participants </w:t>
            </w:r>
          </w:p>
        </w:tc>
        <w:tc>
          <w:tcPr>
            <w:tcW w:w="248" w:type="pct"/>
          </w:tcPr>
          <w:p w14:paraId="1FFE9D63" w14:textId="77777777" w:rsidR="002B77CD" w:rsidRPr="00C119FF" w:rsidRDefault="002B77CD" w:rsidP="002B77CD">
            <w:pPr>
              <w:rPr>
                <w:b/>
              </w:rPr>
            </w:pPr>
            <w:r w:rsidRPr="00C119FF">
              <w:rPr>
                <w:b/>
              </w:rPr>
              <w:t>D</w:t>
            </w:r>
          </w:p>
        </w:tc>
        <w:tc>
          <w:tcPr>
            <w:tcW w:w="2190" w:type="pct"/>
            <w:shd w:val="clear" w:color="auto" w:fill="auto"/>
          </w:tcPr>
          <w:p w14:paraId="05E8B01E" w14:textId="77777777" w:rsidR="002B77CD" w:rsidRDefault="002B77CD" w:rsidP="002B77CD">
            <w:r>
              <w:t>25 Female (</w:t>
            </w:r>
            <w:r w:rsidRPr="004D0B6E">
              <w:rPr>
                <w:rFonts w:ascii="Times New Roman" w:hAnsi="Times New Roman"/>
              </w:rPr>
              <w:t xml:space="preserve">♀) </w:t>
            </w:r>
            <w:r>
              <w:t xml:space="preserve">Business Development Clients </w:t>
            </w:r>
          </w:p>
        </w:tc>
      </w:tr>
    </w:tbl>
    <w:p w14:paraId="39C7C14D" w14:textId="77777777" w:rsidR="002B77CD" w:rsidRDefault="002B77CD" w:rsidP="002B77CD">
      <w:pPr>
        <w:rPr>
          <w:b/>
        </w:rPr>
      </w:pPr>
      <w:r>
        <w:t xml:space="preserve">Total Sample: </w:t>
      </w:r>
      <w:r>
        <w:rPr>
          <w:b/>
        </w:rPr>
        <w:t>1</w:t>
      </w:r>
      <w:r w:rsidRPr="00C119FF">
        <w:rPr>
          <w:b/>
        </w:rPr>
        <w:t>00 Respondents</w:t>
      </w:r>
    </w:p>
    <w:p w14:paraId="3F4F701A" w14:textId="77777777" w:rsidR="002B77CD" w:rsidRDefault="002B77CD" w:rsidP="002B77CD">
      <w:pPr>
        <w:pStyle w:val="Heading3"/>
      </w:pPr>
      <w:r>
        <w:t>Weighting</w:t>
      </w:r>
    </w:p>
    <w:p w14:paraId="658C7A12" w14:textId="77777777" w:rsidR="002B77CD" w:rsidRDefault="002B77CD" w:rsidP="002B77CD">
      <w:pPr>
        <w:rPr>
          <w:lang w:eastAsia="x-none"/>
        </w:rPr>
      </w:pPr>
      <w:r>
        <w:rPr>
          <w:lang w:eastAsia="x-none"/>
        </w:rPr>
        <w:t xml:space="preserve">Because of the different rates of sampling for each subpopulation – for example, because of fewer females in the population – weights will be necessary when analysing the data. For example when analysing the outcomes for training participants as a whole, the 100 male responses will need to have higher weights than the 100 female respondents because a higher proportion of the population of trainees is male. </w:t>
      </w:r>
    </w:p>
    <w:p w14:paraId="59340291" w14:textId="77777777" w:rsidR="002B77CD" w:rsidRDefault="002B77CD" w:rsidP="002B77CD">
      <w:pPr>
        <w:pStyle w:val="Heading3"/>
      </w:pPr>
      <w:r>
        <w:t>Process Outline</w:t>
      </w:r>
    </w:p>
    <w:p w14:paraId="3B536272" w14:textId="77777777" w:rsidR="002B77CD" w:rsidRDefault="002B77CD" w:rsidP="002B77CD">
      <w:r>
        <w:t xml:space="preserve">Equipment Required: </w:t>
      </w:r>
    </w:p>
    <w:p w14:paraId="08F48D3A" w14:textId="77777777" w:rsidR="002B77CD" w:rsidRDefault="002B77CD" w:rsidP="002B77CD">
      <w:pPr>
        <w:pStyle w:val="BulletList"/>
        <w:numPr>
          <w:ilvl w:val="0"/>
          <w:numId w:val="2"/>
        </w:numPr>
      </w:pPr>
      <w:r>
        <w:t>Pens and pencils</w:t>
      </w:r>
    </w:p>
    <w:p w14:paraId="28DAAD6F" w14:textId="77777777" w:rsidR="002B77CD" w:rsidRDefault="002B77CD" w:rsidP="002B77CD">
      <w:pPr>
        <w:pStyle w:val="BulletList"/>
        <w:numPr>
          <w:ilvl w:val="0"/>
          <w:numId w:val="2"/>
        </w:numPr>
      </w:pPr>
      <w:r>
        <w:t>Two clipboards</w:t>
      </w:r>
    </w:p>
    <w:p w14:paraId="683C3A1D" w14:textId="77777777" w:rsidR="002B77CD" w:rsidRDefault="002B77CD" w:rsidP="002B77CD">
      <w:pPr>
        <w:pStyle w:val="BulletList"/>
        <w:numPr>
          <w:ilvl w:val="0"/>
          <w:numId w:val="2"/>
        </w:numPr>
      </w:pPr>
      <w:r>
        <w:t>Envelopes</w:t>
      </w:r>
    </w:p>
    <w:p w14:paraId="698E4C9D" w14:textId="77777777" w:rsidR="002B77CD" w:rsidRDefault="002B77CD" w:rsidP="002B77CD">
      <w:pPr>
        <w:pStyle w:val="BulletList"/>
        <w:numPr>
          <w:ilvl w:val="0"/>
          <w:numId w:val="2"/>
        </w:numPr>
      </w:pPr>
      <w:r>
        <w:t>Camera</w:t>
      </w:r>
    </w:p>
    <w:p w14:paraId="131E1A53" w14:textId="77777777" w:rsidR="002B77CD" w:rsidRDefault="002B77CD" w:rsidP="002B77CD">
      <w:pPr>
        <w:pStyle w:val="BulletList"/>
        <w:numPr>
          <w:ilvl w:val="0"/>
          <w:numId w:val="2"/>
        </w:numPr>
      </w:pPr>
      <w:r>
        <w:t xml:space="preserve">Photo consent forms (from Field Communications Officer) </w:t>
      </w:r>
    </w:p>
    <w:p w14:paraId="04E49C3A" w14:textId="77777777" w:rsidR="002B77CD" w:rsidRPr="00146F7E" w:rsidRDefault="002B77CD" w:rsidP="002B77CD">
      <w:pPr>
        <w:pStyle w:val="BulletList"/>
        <w:numPr>
          <w:ilvl w:val="0"/>
          <w:numId w:val="2"/>
        </w:numPr>
      </w:pPr>
      <w:r>
        <w:t>Business cards (to give people contact details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212"/>
        <w:gridCol w:w="1446"/>
        <w:gridCol w:w="1324"/>
      </w:tblGrid>
      <w:tr w:rsidR="002B77CD" w14:paraId="3A71B6D3" w14:textId="77777777" w:rsidTr="002B77CD">
        <w:trPr>
          <w:cantSplit/>
          <w:tblHeader/>
        </w:trPr>
        <w:tc>
          <w:tcPr>
            <w:tcW w:w="534" w:type="dxa"/>
            <w:shd w:val="clear" w:color="auto" w:fill="B6DDE8"/>
          </w:tcPr>
          <w:p w14:paraId="514A07C7" w14:textId="77777777" w:rsidR="002B77CD" w:rsidRPr="009E5E42" w:rsidRDefault="002B77CD" w:rsidP="002B77CD">
            <w:pPr>
              <w:pStyle w:val="TableHeading"/>
            </w:pPr>
            <w:r>
              <w:t>#</w:t>
            </w:r>
          </w:p>
        </w:tc>
        <w:tc>
          <w:tcPr>
            <w:tcW w:w="5212" w:type="dxa"/>
            <w:shd w:val="clear" w:color="auto" w:fill="B6DDE8"/>
          </w:tcPr>
          <w:p w14:paraId="20194BAA" w14:textId="77777777" w:rsidR="002B77CD" w:rsidRPr="009E5E42" w:rsidRDefault="002B77CD" w:rsidP="002B77CD">
            <w:pPr>
              <w:pStyle w:val="TableHeading"/>
            </w:pPr>
            <w:r w:rsidRPr="009E5E42">
              <w:t>Task</w:t>
            </w:r>
          </w:p>
        </w:tc>
        <w:tc>
          <w:tcPr>
            <w:tcW w:w="1446" w:type="dxa"/>
            <w:shd w:val="clear" w:color="auto" w:fill="B6DDE8"/>
          </w:tcPr>
          <w:p w14:paraId="05788198" w14:textId="77777777" w:rsidR="002B77CD" w:rsidRPr="009E5E42" w:rsidRDefault="002B77CD" w:rsidP="002B77CD">
            <w:pPr>
              <w:pStyle w:val="TableHeading"/>
            </w:pPr>
            <w:r w:rsidRPr="009E5E42">
              <w:t>Responsible</w:t>
            </w:r>
          </w:p>
        </w:tc>
        <w:tc>
          <w:tcPr>
            <w:tcW w:w="1324" w:type="dxa"/>
            <w:shd w:val="clear" w:color="auto" w:fill="B6DDE8"/>
          </w:tcPr>
          <w:p w14:paraId="7B10469C" w14:textId="77777777" w:rsidR="002B77CD" w:rsidRPr="009E5E42" w:rsidRDefault="002B77CD" w:rsidP="002B77CD">
            <w:pPr>
              <w:pStyle w:val="TableText"/>
              <w:jc w:val="center"/>
            </w:pPr>
            <w:r w:rsidRPr="009E5E42">
              <w:t>Timing</w:t>
            </w:r>
          </w:p>
        </w:tc>
      </w:tr>
      <w:tr w:rsidR="002B77CD" w14:paraId="4BAE140B" w14:textId="77777777" w:rsidTr="002B77CD">
        <w:trPr>
          <w:cantSplit/>
        </w:trPr>
        <w:tc>
          <w:tcPr>
            <w:tcW w:w="534" w:type="dxa"/>
            <w:shd w:val="clear" w:color="auto" w:fill="auto"/>
          </w:tcPr>
          <w:p w14:paraId="377F82B6" w14:textId="77777777" w:rsidR="002B77CD" w:rsidRDefault="002B77CD" w:rsidP="0019245A">
            <w:pPr>
              <w:pStyle w:val="TableText"/>
              <w:numPr>
                <w:ilvl w:val="0"/>
                <w:numId w:val="12"/>
              </w:numPr>
              <w:ind w:left="284" w:hanging="218"/>
            </w:pPr>
          </w:p>
        </w:tc>
        <w:tc>
          <w:tcPr>
            <w:tcW w:w="5212" w:type="dxa"/>
            <w:shd w:val="clear" w:color="auto" w:fill="auto"/>
          </w:tcPr>
          <w:p w14:paraId="31C65397" w14:textId="77777777" w:rsidR="002B77CD" w:rsidRDefault="002B77CD" w:rsidP="002B77CD">
            <w:pPr>
              <w:pStyle w:val="TableText"/>
            </w:pPr>
            <w:r>
              <w:t xml:space="preserve">Extract sampling frame from Survey Monkey for each population cohort (A-D). </w:t>
            </w:r>
          </w:p>
          <w:p w14:paraId="208188AC" w14:textId="77777777" w:rsidR="002B77CD" w:rsidRDefault="002B77CD" w:rsidP="002B77CD">
            <w:pPr>
              <w:pStyle w:val="TableText"/>
            </w:pPr>
            <w:r>
              <w:t xml:space="preserve">Randomise list and sample first 25 respondents. </w:t>
            </w:r>
          </w:p>
          <w:p w14:paraId="2464E688" w14:textId="77777777" w:rsidR="002B77CD" w:rsidRDefault="002B77CD" w:rsidP="002B77CD">
            <w:pPr>
              <w:pStyle w:val="TableText"/>
            </w:pPr>
            <w:r>
              <w:t>Subsequent 20 respondents are defined as substitute respondents to allow for non-response (refusals and ‘cannot contact’).</w:t>
            </w:r>
          </w:p>
        </w:tc>
        <w:tc>
          <w:tcPr>
            <w:tcW w:w="1446" w:type="dxa"/>
            <w:shd w:val="clear" w:color="auto" w:fill="auto"/>
          </w:tcPr>
          <w:p w14:paraId="4DECC426" w14:textId="77777777" w:rsidR="002B77CD" w:rsidRDefault="002B77CD" w:rsidP="002B77CD">
            <w:pPr>
              <w:pStyle w:val="TableHeading"/>
            </w:pPr>
            <w:r>
              <w:t>M&amp;E Specialist</w:t>
            </w:r>
          </w:p>
        </w:tc>
        <w:tc>
          <w:tcPr>
            <w:tcW w:w="1324" w:type="dxa"/>
            <w:shd w:val="clear" w:color="auto" w:fill="auto"/>
          </w:tcPr>
          <w:p w14:paraId="0F2DD05B" w14:textId="77777777" w:rsidR="002B77CD" w:rsidRDefault="002B77CD" w:rsidP="002B77CD">
            <w:pPr>
              <w:pStyle w:val="TableText"/>
            </w:pPr>
            <w:r>
              <w:t>15 Feb</w:t>
            </w:r>
          </w:p>
          <w:p w14:paraId="6B9EF1C5" w14:textId="77777777" w:rsidR="002B77CD" w:rsidRDefault="002B77CD" w:rsidP="002B77CD">
            <w:pPr>
              <w:pStyle w:val="TableText"/>
            </w:pPr>
            <w:r>
              <w:t>15 Sep</w:t>
            </w:r>
          </w:p>
        </w:tc>
      </w:tr>
      <w:tr w:rsidR="002B77CD" w14:paraId="7D706A0F" w14:textId="77777777" w:rsidTr="002B77CD">
        <w:trPr>
          <w:cantSplit/>
        </w:trPr>
        <w:tc>
          <w:tcPr>
            <w:tcW w:w="534" w:type="dxa"/>
            <w:shd w:val="clear" w:color="auto" w:fill="auto"/>
          </w:tcPr>
          <w:p w14:paraId="7043BF09" w14:textId="77777777" w:rsidR="002B77CD" w:rsidRDefault="002B77CD" w:rsidP="0019245A">
            <w:pPr>
              <w:pStyle w:val="TableText"/>
              <w:numPr>
                <w:ilvl w:val="0"/>
                <w:numId w:val="12"/>
              </w:numPr>
              <w:ind w:left="284" w:hanging="218"/>
            </w:pPr>
          </w:p>
        </w:tc>
        <w:tc>
          <w:tcPr>
            <w:tcW w:w="5212" w:type="dxa"/>
            <w:shd w:val="clear" w:color="auto" w:fill="auto"/>
          </w:tcPr>
          <w:p w14:paraId="7204C2B0" w14:textId="77777777" w:rsidR="002B77CD" w:rsidRDefault="002B77CD" w:rsidP="002B77CD">
            <w:pPr>
              <w:pStyle w:val="TableText"/>
            </w:pPr>
            <w:r>
              <w:t>Prepare Outcomes Survey Sample List and Response Record Sheet providing details of those participants sampled, and substitutes.</w:t>
            </w:r>
          </w:p>
          <w:p w14:paraId="3BADD50C" w14:textId="77777777" w:rsidR="002B77CD" w:rsidRDefault="002B77CD" w:rsidP="002B77CD">
            <w:pPr>
              <w:pStyle w:val="TableText"/>
            </w:pPr>
            <w:r>
              <w:t>Sort each sample by location (Area Council, then village)</w:t>
            </w:r>
          </w:p>
          <w:p w14:paraId="16D2F19F" w14:textId="77777777" w:rsidR="002B77CD" w:rsidRDefault="002B77CD" w:rsidP="002B77CD">
            <w:pPr>
              <w:pStyle w:val="TableText"/>
            </w:pPr>
            <w:r>
              <w:t>Sort substitutes list by same criteria, so that substitutes can be chosen from same location (</w:t>
            </w:r>
            <w:r w:rsidRPr="003652FB">
              <w:rPr>
                <w:i/>
              </w:rPr>
              <w:t>for logistical convenience only</w:t>
            </w:r>
            <w:r>
              <w:t>)</w:t>
            </w:r>
          </w:p>
        </w:tc>
        <w:tc>
          <w:tcPr>
            <w:tcW w:w="1446" w:type="dxa"/>
            <w:shd w:val="clear" w:color="auto" w:fill="auto"/>
          </w:tcPr>
          <w:p w14:paraId="358C2672" w14:textId="77777777" w:rsidR="002B77CD" w:rsidRDefault="002B77CD" w:rsidP="002B77CD">
            <w:pPr>
              <w:pStyle w:val="TableHeading"/>
            </w:pPr>
            <w:r>
              <w:t>M&amp;E Adviser</w:t>
            </w:r>
          </w:p>
        </w:tc>
        <w:tc>
          <w:tcPr>
            <w:tcW w:w="1324" w:type="dxa"/>
            <w:shd w:val="clear" w:color="auto" w:fill="auto"/>
          </w:tcPr>
          <w:p w14:paraId="5CABBA68" w14:textId="77777777" w:rsidR="002B77CD" w:rsidRDefault="002B77CD" w:rsidP="002B77CD">
            <w:pPr>
              <w:pStyle w:val="TableText"/>
            </w:pPr>
            <w:r>
              <w:t>15 Feb</w:t>
            </w:r>
          </w:p>
          <w:p w14:paraId="431AFD33" w14:textId="77777777" w:rsidR="002B77CD" w:rsidRDefault="002B77CD" w:rsidP="002B77CD">
            <w:pPr>
              <w:pStyle w:val="TableText"/>
            </w:pPr>
            <w:r>
              <w:t>15 Sep</w:t>
            </w:r>
          </w:p>
        </w:tc>
      </w:tr>
      <w:tr w:rsidR="002B77CD" w14:paraId="37CC34B9" w14:textId="77777777" w:rsidTr="002B77CD">
        <w:trPr>
          <w:cantSplit/>
        </w:trPr>
        <w:tc>
          <w:tcPr>
            <w:tcW w:w="534" w:type="dxa"/>
            <w:shd w:val="clear" w:color="auto" w:fill="auto"/>
          </w:tcPr>
          <w:p w14:paraId="5CA1CE2A" w14:textId="77777777" w:rsidR="002B77CD" w:rsidRDefault="002B77CD" w:rsidP="0019245A">
            <w:pPr>
              <w:pStyle w:val="TableText"/>
              <w:numPr>
                <w:ilvl w:val="0"/>
                <w:numId w:val="12"/>
              </w:numPr>
              <w:ind w:left="284" w:hanging="218"/>
            </w:pPr>
          </w:p>
        </w:tc>
        <w:tc>
          <w:tcPr>
            <w:tcW w:w="5212" w:type="dxa"/>
            <w:shd w:val="clear" w:color="auto" w:fill="auto"/>
          </w:tcPr>
          <w:p w14:paraId="466EFFE4" w14:textId="77777777" w:rsidR="002B77CD" w:rsidRDefault="002B77CD" w:rsidP="002B77CD">
            <w:pPr>
              <w:pStyle w:val="TableText"/>
            </w:pPr>
            <w:r>
              <w:t xml:space="preserve">Provide Sample List and Response Record Sheet to MEO and MEA </w:t>
            </w:r>
          </w:p>
        </w:tc>
        <w:tc>
          <w:tcPr>
            <w:tcW w:w="1446" w:type="dxa"/>
            <w:shd w:val="clear" w:color="auto" w:fill="auto"/>
          </w:tcPr>
          <w:p w14:paraId="2B5BB77B" w14:textId="77777777" w:rsidR="002B77CD" w:rsidRDefault="002B77CD" w:rsidP="002B77CD">
            <w:pPr>
              <w:pStyle w:val="TableHeading"/>
            </w:pPr>
            <w:r>
              <w:t>M&amp;E Adviser</w:t>
            </w:r>
          </w:p>
        </w:tc>
        <w:tc>
          <w:tcPr>
            <w:tcW w:w="1324" w:type="dxa"/>
            <w:shd w:val="clear" w:color="auto" w:fill="auto"/>
          </w:tcPr>
          <w:p w14:paraId="789AA181" w14:textId="77777777" w:rsidR="002B77CD" w:rsidRDefault="002B77CD" w:rsidP="002B77CD">
            <w:pPr>
              <w:pStyle w:val="TableText"/>
            </w:pPr>
            <w:r>
              <w:t>15 Feb</w:t>
            </w:r>
          </w:p>
          <w:p w14:paraId="5F32B810" w14:textId="77777777" w:rsidR="002B77CD" w:rsidRDefault="002B77CD" w:rsidP="002B77CD">
            <w:pPr>
              <w:pStyle w:val="TableText"/>
            </w:pPr>
            <w:r>
              <w:t>15 Sep</w:t>
            </w:r>
          </w:p>
        </w:tc>
      </w:tr>
      <w:tr w:rsidR="002B77CD" w14:paraId="5B2F437B" w14:textId="77777777" w:rsidTr="002B77CD">
        <w:trPr>
          <w:cantSplit/>
        </w:trPr>
        <w:tc>
          <w:tcPr>
            <w:tcW w:w="534" w:type="dxa"/>
            <w:shd w:val="clear" w:color="auto" w:fill="auto"/>
          </w:tcPr>
          <w:p w14:paraId="300F812A" w14:textId="77777777" w:rsidR="002B77CD" w:rsidRDefault="002B77CD" w:rsidP="0019245A">
            <w:pPr>
              <w:pStyle w:val="TableText"/>
              <w:numPr>
                <w:ilvl w:val="0"/>
                <w:numId w:val="12"/>
              </w:numPr>
              <w:ind w:left="284" w:hanging="218"/>
            </w:pPr>
          </w:p>
        </w:tc>
        <w:tc>
          <w:tcPr>
            <w:tcW w:w="5212" w:type="dxa"/>
            <w:shd w:val="clear" w:color="auto" w:fill="auto"/>
          </w:tcPr>
          <w:p w14:paraId="5DDAE792" w14:textId="77777777" w:rsidR="002B77CD" w:rsidRDefault="002B77CD" w:rsidP="002B77CD">
            <w:pPr>
              <w:pStyle w:val="TableText"/>
            </w:pPr>
            <w:r>
              <w:t xml:space="preserve">M&amp;E team works together to plan the logistics of travel for data collection, grouping sampled respondents by geographic location, and seeking assistance from TVET Centre Staff as necessary </w:t>
            </w:r>
          </w:p>
        </w:tc>
        <w:tc>
          <w:tcPr>
            <w:tcW w:w="1446" w:type="dxa"/>
            <w:shd w:val="clear" w:color="auto" w:fill="auto"/>
          </w:tcPr>
          <w:p w14:paraId="31F2B889" w14:textId="77777777" w:rsidR="002B77CD" w:rsidRDefault="002B77CD" w:rsidP="002B77CD">
            <w:pPr>
              <w:pStyle w:val="TableHeading"/>
            </w:pPr>
            <w:r>
              <w:t xml:space="preserve">M&amp;E Team </w:t>
            </w:r>
          </w:p>
        </w:tc>
        <w:tc>
          <w:tcPr>
            <w:tcW w:w="1324" w:type="dxa"/>
            <w:shd w:val="clear" w:color="auto" w:fill="auto"/>
          </w:tcPr>
          <w:p w14:paraId="479E3A35" w14:textId="77777777" w:rsidR="002B77CD" w:rsidRDefault="002B77CD" w:rsidP="002B77CD">
            <w:pPr>
              <w:pStyle w:val="TableText"/>
            </w:pPr>
            <w:r>
              <w:t>End Feb</w:t>
            </w:r>
          </w:p>
          <w:p w14:paraId="1C2BE650" w14:textId="77777777" w:rsidR="002B77CD" w:rsidRDefault="002B77CD" w:rsidP="002B77CD">
            <w:pPr>
              <w:pStyle w:val="TableText"/>
            </w:pPr>
            <w:r>
              <w:t>End Sep</w:t>
            </w:r>
          </w:p>
        </w:tc>
      </w:tr>
      <w:tr w:rsidR="002B77CD" w14:paraId="222779A7" w14:textId="77777777" w:rsidTr="002B77CD">
        <w:trPr>
          <w:cantSplit/>
        </w:trPr>
        <w:tc>
          <w:tcPr>
            <w:tcW w:w="534" w:type="dxa"/>
            <w:shd w:val="clear" w:color="auto" w:fill="auto"/>
          </w:tcPr>
          <w:p w14:paraId="3F3CBD45" w14:textId="77777777" w:rsidR="002B77CD" w:rsidRDefault="002B77CD" w:rsidP="0019245A">
            <w:pPr>
              <w:pStyle w:val="TableText"/>
              <w:numPr>
                <w:ilvl w:val="0"/>
                <w:numId w:val="12"/>
              </w:numPr>
              <w:ind w:left="284" w:hanging="218"/>
            </w:pPr>
          </w:p>
        </w:tc>
        <w:tc>
          <w:tcPr>
            <w:tcW w:w="5212" w:type="dxa"/>
            <w:shd w:val="clear" w:color="auto" w:fill="auto"/>
          </w:tcPr>
          <w:p w14:paraId="1835D603" w14:textId="77777777" w:rsidR="002B77CD" w:rsidRDefault="002B77CD" w:rsidP="002B77CD">
            <w:pPr>
              <w:pStyle w:val="TableText"/>
            </w:pPr>
            <w:r>
              <w:t xml:space="preserve">Before travel is finalised and before travelling, the MEO and MEA try to contact all respondents sampled by phone, or via contact with the Area Secretary (or other contact) – to confirm agreement to the interview and arrange interview time and place. </w:t>
            </w:r>
          </w:p>
          <w:p w14:paraId="645FF1AD" w14:textId="77777777" w:rsidR="002B77CD" w:rsidRDefault="002B77CD" w:rsidP="002B77CD">
            <w:pPr>
              <w:pStyle w:val="TableText"/>
            </w:pPr>
            <w:r>
              <w:t>MEO and MEA use the Response Record Sheet to keep notes of all attempts to contact, the outcomes of contact, and to record (with an ‘x’) the progress of each respondent through the survey (i.e. ‘agreed’ ‘refused’ ‘not found’ and/or ‘interview done’)</w:t>
            </w:r>
          </w:p>
        </w:tc>
        <w:tc>
          <w:tcPr>
            <w:tcW w:w="1446" w:type="dxa"/>
            <w:shd w:val="clear" w:color="auto" w:fill="auto"/>
          </w:tcPr>
          <w:p w14:paraId="4FC769B7" w14:textId="77777777" w:rsidR="002B77CD" w:rsidRDefault="002B77CD" w:rsidP="002B77CD">
            <w:pPr>
              <w:pStyle w:val="TableHeading"/>
            </w:pPr>
            <w:r>
              <w:t>MEO and MEA</w:t>
            </w:r>
          </w:p>
        </w:tc>
        <w:tc>
          <w:tcPr>
            <w:tcW w:w="1324" w:type="dxa"/>
            <w:shd w:val="clear" w:color="auto" w:fill="auto"/>
          </w:tcPr>
          <w:p w14:paraId="302F7297" w14:textId="77777777" w:rsidR="002B77CD" w:rsidRDefault="002B77CD" w:rsidP="002B77CD">
            <w:pPr>
              <w:pStyle w:val="TableText"/>
            </w:pPr>
            <w:r>
              <w:t>End Feb</w:t>
            </w:r>
          </w:p>
          <w:p w14:paraId="274BCDEB" w14:textId="77777777" w:rsidR="002B77CD" w:rsidRDefault="002B77CD" w:rsidP="002B77CD">
            <w:pPr>
              <w:pStyle w:val="TableText"/>
            </w:pPr>
            <w:r>
              <w:t>End Sep</w:t>
            </w:r>
          </w:p>
        </w:tc>
      </w:tr>
      <w:tr w:rsidR="002B77CD" w14:paraId="37254520" w14:textId="77777777" w:rsidTr="002B77CD">
        <w:trPr>
          <w:cantSplit/>
        </w:trPr>
        <w:tc>
          <w:tcPr>
            <w:tcW w:w="534" w:type="dxa"/>
            <w:shd w:val="clear" w:color="auto" w:fill="auto"/>
          </w:tcPr>
          <w:p w14:paraId="5F72C7DE" w14:textId="77777777" w:rsidR="002B77CD" w:rsidRPr="004D4519" w:rsidRDefault="002B77CD" w:rsidP="0019245A">
            <w:pPr>
              <w:pStyle w:val="TableText"/>
              <w:numPr>
                <w:ilvl w:val="0"/>
                <w:numId w:val="12"/>
              </w:numPr>
              <w:ind w:left="284" w:hanging="218"/>
            </w:pPr>
          </w:p>
        </w:tc>
        <w:tc>
          <w:tcPr>
            <w:tcW w:w="5212" w:type="dxa"/>
            <w:shd w:val="clear" w:color="auto" w:fill="auto"/>
          </w:tcPr>
          <w:p w14:paraId="516A856F" w14:textId="77777777" w:rsidR="002B77CD" w:rsidRDefault="002B77CD" w:rsidP="002B77CD">
            <w:pPr>
              <w:pStyle w:val="TableText"/>
            </w:pPr>
            <w:r w:rsidRPr="004D4519">
              <w:t>Before</w:t>
            </w:r>
            <w:r>
              <w:t xml:space="preserve"> travelling to interview sites, complete Outcomes Survey forms for all sampled respondents, pre-completed with </w:t>
            </w:r>
            <w:r w:rsidRPr="004D4519">
              <w:t xml:space="preserve">all baseline </w:t>
            </w:r>
            <w:r>
              <w:t>data</w:t>
            </w:r>
            <w:r w:rsidRPr="004D4519">
              <w:t xml:space="preserve"> inserted for each sampled participant. </w:t>
            </w:r>
          </w:p>
        </w:tc>
        <w:tc>
          <w:tcPr>
            <w:tcW w:w="1446" w:type="dxa"/>
            <w:shd w:val="clear" w:color="auto" w:fill="auto"/>
          </w:tcPr>
          <w:p w14:paraId="7E8DE1D7" w14:textId="77777777" w:rsidR="002B77CD" w:rsidRDefault="002B77CD" w:rsidP="002B77CD">
            <w:pPr>
              <w:pStyle w:val="TableHeading"/>
            </w:pPr>
            <w:r>
              <w:t>MEO and MEA</w:t>
            </w:r>
          </w:p>
        </w:tc>
        <w:tc>
          <w:tcPr>
            <w:tcW w:w="1324" w:type="dxa"/>
            <w:shd w:val="clear" w:color="auto" w:fill="auto"/>
          </w:tcPr>
          <w:p w14:paraId="241DF23D" w14:textId="77777777" w:rsidR="002B77CD" w:rsidRDefault="002B77CD" w:rsidP="002B77CD">
            <w:pPr>
              <w:pStyle w:val="TableText"/>
            </w:pPr>
            <w:r>
              <w:t>End Feb</w:t>
            </w:r>
          </w:p>
          <w:p w14:paraId="2BE2CED3" w14:textId="77777777" w:rsidR="002B77CD" w:rsidRDefault="002B77CD" w:rsidP="002B77CD">
            <w:pPr>
              <w:pStyle w:val="TableText"/>
            </w:pPr>
            <w:r>
              <w:t>End Sep</w:t>
            </w:r>
          </w:p>
        </w:tc>
      </w:tr>
      <w:tr w:rsidR="002B77CD" w14:paraId="2991105B" w14:textId="77777777" w:rsidTr="002B77CD">
        <w:trPr>
          <w:cantSplit/>
        </w:trPr>
        <w:tc>
          <w:tcPr>
            <w:tcW w:w="534" w:type="dxa"/>
            <w:shd w:val="clear" w:color="auto" w:fill="auto"/>
          </w:tcPr>
          <w:p w14:paraId="2BD9B99D" w14:textId="77777777" w:rsidR="002B77CD" w:rsidRDefault="002B77CD" w:rsidP="0019245A">
            <w:pPr>
              <w:pStyle w:val="TableText"/>
              <w:numPr>
                <w:ilvl w:val="0"/>
                <w:numId w:val="12"/>
              </w:numPr>
              <w:ind w:left="284" w:hanging="218"/>
            </w:pPr>
          </w:p>
        </w:tc>
        <w:tc>
          <w:tcPr>
            <w:tcW w:w="5212" w:type="dxa"/>
            <w:shd w:val="clear" w:color="auto" w:fill="auto"/>
          </w:tcPr>
          <w:p w14:paraId="5AB27F78" w14:textId="77777777" w:rsidR="002B77CD" w:rsidRDefault="002B77CD" w:rsidP="002B77CD">
            <w:pPr>
              <w:pStyle w:val="TableText"/>
            </w:pPr>
            <w:r>
              <w:t xml:space="preserve">MEO/MEA also takes full baseline survey data for all participants in the population (extracted in full from Survey Monkey). </w:t>
            </w:r>
          </w:p>
          <w:p w14:paraId="0CD10AB8" w14:textId="77777777" w:rsidR="002B77CD" w:rsidRDefault="002B77CD" w:rsidP="002B77CD">
            <w:pPr>
              <w:pStyle w:val="TableText"/>
            </w:pPr>
            <w:r>
              <w:t>This will be required in case pre-completed Survey Forms are misplaced or damaged, and in case data is required to complete a Form for substitute participants who are interviewed in place of sampled participants who refuse or cannot be located.</w:t>
            </w:r>
          </w:p>
        </w:tc>
        <w:tc>
          <w:tcPr>
            <w:tcW w:w="1446" w:type="dxa"/>
            <w:shd w:val="clear" w:color="auto" w:fill="auto"/>
          </w:tcPr>
          <w:p w14:paraId="4A94EC71" w14:textId="77777777" w:rsidR="002B77CD" w:rsidRDefault="002B77CD" w:rsidP="002B77CD">
            <w:pPr>
              <w:pStyle w:val="TableHeading"/>
            </w:pPr>
            <w:r>
              <w:t>MEO and MEA</w:t>
            </w:r>
          </w:p>
        </w:tc>
        <w:tc>
          <w:tcPr>
            <w:tcW w:w="1324" w:type="dxa"/>
            <w:shd w:val="clear" w:color="auto" w:fill="auto"/>
          </w:tcPr>
          <w:p w14:paraId="4E3F7C59" w14:textId="77777777" w:rsidR="002B77CD" w:rsidRDefault="002B77CD" w:rsidP="002B77CD">
            <w:pPr>
              <w:pStyle w:val="TableText"/>
            </w:pPr>
            <w:r>
              <w:t>End Feb</w:t>
            </w:r>
          </w:p>
          <w:p w14:paraId="74923F3D" w14:textId="77777777" w:rsidR="002B77CD" w:rsidRDefault="002B77CD" w:rsidP="002B77CD">
            <w:pPr>
              <w:pStyle w:val="TableText"/>
            </w:pPr>
            <w:r>
              <w:t>End Sep</w:t>
            </w:r>
          </w:p>
        </w:tc>
      </w:tr>
      <w:tr w:rsidR="002B77CD" w14:paraId="7A69A5C4" w14:textId="77777777" w:rsidTr="002B77CD">
        <w:trPr>
          <w:cantSplit/>
        </w:trPr>
        <w:tc>
          <w:tcPr>
            <w:tcW w:w="534" w:type="dxa"/>
            <w:shd w:val="clear" w:color="auto" w:fill="auto"/>
          </w:tcPr>
          <w:p w14:paraId="3D2D3D03" w14:textId="77777777" w:rsidR="002B77CD" w:rsidRDefault="002B77CD" w:rsidP="0019245A">
            <w:pPr>
              <w:pStyle w:val="TableText"/>
              <w:numPr>
                <w:ilvl w:val="0"/>
                <w:numId w:val="12"/>
              </w:numPr>
              <w:ind w:left="284" w:hanging="218"/>
            </w:pPr>
          </w:p>
        </w:tc>
        <w:tc>
          <w:tcPr>
            <w:tcW w:w="5212" w:type="dxa"/>
            <w:shd w:val="clear" w:color="auto" w:fill="auto"/>
          </w:tcPr>
          <w:p w14:paraId="0B8A80A6" w14:textId="77777777" w:rsidR="002B77CD" w:rsidRDefault="002B77CD" w:rsidP="002B77CD">
            <w:pPr>
              <w:pStyle w:val="TableText"/>
            </w:pPr>
            <w:r>
              <w:t>MEO/MEA take a good supply of blank forms as back up.</w:t>
            </w:r>
          </w:p>
        </w:tc>
        <w:tc>
          <w:tcPr>
            <w:tcW w:w="1446" w:type="dxa"/>
            <w:shd w:val="clear" w:color="auto" w:fill="auto"/>
          </w:tcPr>
          <w:p w14:paraId="5B760AA3" w14:textId="77777777" w:rsidR="002B77CD" w:rsidRDefault="002B77CD" w:rsidP="002B77CD">
            <w:pPr>
              <w:pStyle w:val="TableHeading"/>
            </w:pPr>
            <w:r>
              <w:t>MEO and MEA</w:t>
            </w:r>
          </w:p>
        </w:tc>
        <w:tc>
          <w:tcPr>
            <w:tcW w:w="1324" w:type="dxa"/>
            <w:shd w:val="clear" w:color="auto" w:fill="auto"/>
          </w:tcPr>
          <w:p w14:paraId="5A83011B" w14:textId="77777777" w:rsidR="002B77CD" w:rsidRDefault="002B77CD" w:rsidP="002B77CD">
            <w:pPr>
              <w:pStyle w:val="TableText"/>
            </w:pPr>
            <w:r>
              <w:t xml:space="preserve">March </w:t>
            </w:r>
          </w:p>
          <w:p w14:paraId="6ECE463E" w14:textId="77777777" w:rsidR="002B77CD" w:rsidRDefault="002B77CD" w:rsidP="002B77CD">
            <w:pPr>
              <w:pStyle w:val="TableText"/>
            </w:pPr>
            <w:r>
              <w:t xml:space="preserve">October </w:t>
            </w:r>
          </w:p>
        </w:tc>
      </w:tr>
      <w:tr w:rsidR="002B77CD" w14:paraId="07577C4D" w14:textId="77777777" w:rsidTr="002B77CD">
        <w:trPr>
          <w:cantSplit/>
        </w:trPr>
        <w:tc>
          <w:tcPr>
            <w:tcW w:w="534" w:type="dxa"/>
            <w:shd w:val="clear" w:color="auto" w:fill="auto"/>
          </w:tcPr>
          <w:p w14:paraId="42094A1D" w14:textId="77777777" w:rsidR="002B77CD" w:rsidRDefault="002B77CD" w:rsidP="0019245A">
            <w:pPr>
              <w:pStyle w:val="TableText"/>
              <w:numPr>
                <w:ilvl w:val="0"/>
                <w:numId w:val="12"/>
              </w:numPr>
              <w:ind w:left="284" w:hanging="218"/>
            </w:pPr>
          </w:p>
        </w:tc>
        <w:tc>
          <w:tcPr>
            <w:tcW w:w="5212" w:type="dxa"/>
            <w:shd w:val="clear" w:color="auto" w:fill="auto"/>
          </w:tcPr>
          <w:p w14:paraId="796D0263" w14:textId="77777777" w:rsidR="002B77CD" w:rsidRDefault="002B77CD" w:rsidP="002B77CD">
            <w:pPr>
              <w:pStyle w:val="TableText"/>
            </w:pPr>
            <w:r>
              <w:t xml:space="preserve">Prepare an envelope for each batch of forms with details on the cover (grant #, AT/BDS name, Survey Response Ref #s for the batch (from baseline)) </w:t>
            </w:r>
          </w:p>
          <w:p w14:paraId="66019795" w14:textId="77777777" w:rsidR="002B77CD" w:rsidRDefault="002B77CD" w:rsidP="002B77CD">
            <w:pPr>
              <w:pStyle w:val="TableText"/>
            </w:pPr>
          </w:p>
        </w:tc>
        <w:tc>
          <w:tcPr>
            <w:tcW w:w="1446" w:type="dxa"/>
            <w:shd w:val="clear" w:color="auto" w:fill="auto"/>
          </w:tcPr>
          <w:p w14:paraId="662126A3" w14:textId="77777777" w:rsidR="002B77CD" w:rsidRDefault="002B77CD" w:rsidP="002B77CD">
            <w:pPr>
              <w:pStyle w:val="TableHeading"/>
            </w:pPr>
            <w:r>
              <w:t>MEA</w:t>
            </w:r>
          </w:p>
        </w:tc>
        <w:tc>
          <w:tcPr>
            <w:tcW w:w="1324" w:type="dxa"/>
            <w:shd w:val="clear" w:color="auto" w:fill="auto"/>
          </w:tcPr>
          <w:p w14:paraId="20D4308E" w14:textId="77777777" w:rsidR="002B77CD" w:rsidRDefault="002B77CD" w:rsidP="002B77CD">
            <w:pPr>
              <w:pStyle w:val="TableText"/>
            </w:pPr>
            <w:r>
              <w:t xml:space="preserve">Before travelling for data collection </w:t>
            </w:r>
          </w:p>
        </w:tc>
      </w:tr>
      <w:tr w:rsidR="002B77CD" w14:paraId="5A610EFC" w14:textId="77777777" w:rsidTr="002B77CD">
        <w:trPr>
          <w:cantSplit/>
        </w:trPr>
        <w:tc>
          <w:tcPr>
            <w:tcW w:w="534" w:type="dxa"/>
            <w:shd w:val="clear" w:color="auto" w:fill="auto"/>
          </w:tcPr>
          <w:p w14:paraId="424838BD" w14:textId="77777777" w:rsidR="002B77CD" w:rsidRDefault="002B77CD" w:rsidP="0019245A">
            <w:pPr>
              <w:pStyle w:val="TableText"/>
              <w:numPr>
                <w:ilvl w:val="0"/>
                <w:numId w:val="12"/>
              </w:numPr>
              <w:ind w:left="284" w:hanging="218"/>
            </w:pPr>
          </w:p>
        </w:tc>
        <w:tc>
          <w:tcPr>
            <w:tcW w:w="5212" w:type="dxa"/>
            <w:shd w:val="clear" w:color="auto" w:fill="auto"/>
          </w:tcPr>
          <w:p w14:paraId="67B58F49" w14:textId="77777777" w:rsidR="002B77CD" w:rsidRDefault="002B77CD" w:rsidP="002B77CD">
            <w:pPr>
              <w:pStyle w:val="TableText"/>
            </w:pPr>
            <w:r>
              <w:t xml:space="preserve">MEO and MEA conduct interviews in accordance with Survey Questionnaire. </w:t>
            </w:r>
          </w:p>
          <w:p w14:paraId="3B46E18D" w14:textId="77777777" w:rsidR="002B77CD" w:rsidRDefault="002B77CD" w:rsidP="002B77CD">
            <w:pPr>
              <w:pStyle w:val="TableText"/>
            </w:pPr>
            <w:r>
              <w:t xml:space="preserve">As much as possible, female interviewer will interview female respondents. </w:t>
            </w:r>
          </w:p>
          <w:p w14:paraId="2947A5A2" w14:textId="77777777" w:rsidR="002B77CD" w:rsidRDefault="002B77CD" w:rsidP="002B77CD">
            <w:pPr>
              <w:pStyle w:val="TableText"/>
            </w:pPr>
            <w:r>
              <w:t xml:space="preserve">Interview team will take photographs of respondents, locations and businesses, using Consent Form for photos that identify individuals </w:t>
            </w:r>
          </w:p>
        </w:tc>
        <w:tc>
          <w:tcPr>
            <w:tcW w:w="1446" w:type="dxa"/>
            <w:shd w:val="clear" w:color="auto" w:fill="auto"/>
          </w:tcPr>
          <w:p w14:paraId="3CA9EF4D" w14:textId="77777777" w:rsidR="002B77CD" w:rsidRDefault="002B77CD" w:rsidP="002B77CD">
            <w:pPr>
              <w:pStyle w:val="TableHeading"/>
            </w:pPr>
            <w:r>
              <w:t>MEO and MEA</w:t>
            </w:r>
          </w:p>
        </w:tc>
        <w:tc>
          <w:tcPr>
            <w:tcW w:w="1324" w:type="dxa"/>
            <w:shd w:val="clear" w:color="auto" w:fill="auto"/>
          </w:tcPr>
          <w:p w14:paraId="5E4E2055" w14:textId="77777777" w:rsidR="002B77CD" w:rsidRDefault="002B77CD" w:rsidP="002B77CD">
            <w:pPr>
              <w:pStyle w:val="TableText"/>
            </w:pPr>
            <w:r>
              <w:t>March</w:t>
            </w:r>
          </w:p>
          <w:p w14:paraId="763B4207" w14:textId="77777777" w:rsidR="002B77CD" w:rsidRDefault="002B77CD" w:rsidP="002B77CD">
            <w:pPr>
              <w:pStyle w:val="TableText"/>
            </w:pPr>
            <w:r>
              <w:t xml:space="preserve">September </w:t>
            </w:r>
          </w:p>
        </w:tc>
      </w:tr>
      <w:tr w:rsidR="002B77CD" w14:paraId="674E99A4" w14:textId="77777777" w:rsidTr="002B77CD">
        <w:trPr>
          <w:cantSplit/>
        </w:trPr>
        <w:tc>
          <w:tcPr>
            <w:tcW w:w="534" w:type="dxa"/>
            <w:shd w:val="clear" w:color="auto" w:fill="auto"/>
          </w:tcPr>
          <w:p w14:paraId="5888D0E8" w14:textId="77777777" w:rsidR="002B77CD" w:rsidRDefault="002B77CD" w:rsidP="0019245A">
            <w:pPr>
              <w:pStyle w:val="TableText"/>
              <w:numPr>
                <w:ilvl w:val="0"/>
                <w:numId w:val="12"/>
              </w:numPr>
              <w:ind w:left="284" w:hanging="218"/>
            </w:pPr>
          </w:p>
        </w:tc>
        <w:tc>
          <w:tcPr>
            <w:tcW w:w="5212" w:type="dxa"/>
            <w:shd w:val="clear" w:color="auto" w:fill="auto"/>
          </w:tcPr>
          <w:p w14:paraId="13C33BAF" w14:textId="77777777" w:rsidR="002B77CD" w:rsidRDefault="002B77CD" w:rsidP="002B77CD">
            <w:pPr>
              <w:pStyle w:val="TableText"/>
            </w:pPr>
            <w:r>
              <w:t xml:space="preserve">On completion of each interview, put completed form into correct envelope at the end of each survey interview (after checking) </w:t>
            </w:r>
          </w:p>
          <w:p w14:paraId="43D57587" w14:textId="77777777" w:rsidR="002B77CD" w:rsidRDefault="002B77CD" w:rsidP="002B77CD">
            <w:pPr>
              <w:pStyle w:val="TableText"/>
            </w:pPr>
            <w:r>
              <w:t>Once all forms in a batch have been collected, seal envelope for confidentiality.</w:t>
            </w:r>
          </w:p>
        </w:tc>
        <w:tc>
          <w:tcPr>
            <w:tcW w:w="1446" w:type="dxa"/>
            <w:shd w:val="clear" w:color="auto" w:fill="auto"/>
          </w:tcPr>
          <w:p w14:paraId="6F0A846C" w14:textId="77777777" w:rsidR="002B77CD" w:rsidRDefault="002B77CD" w:rsidP="002B77CD">
            <w:pPr>
              <w:pStyle w:val="TableHeading"/>
            </w:pPr>
            <w:r>
              <w:t>MEO and MEA</w:t>
            </w:r>
          </w:p>
        </w:tc>
        <w:tc>
          <w:tcPr>
            <w:tcW w:w="1324" w:type="dxa"/>
            <w:shd w:val="clear" w:color="auto" w:fill="auto"/>
          </w:tcPr>
          <w:p w14:paraId="01870EE9" w14:textId="77777777" w:rsidR="002B77CD" w:rsidRDefault="002B77CD" w:rsidP="002B77CD">
            <w:pPr>
              <w:pStyle w:val="TableText"/>
            </w:pPr>
            <w:r>
              <w:t xml:space="preserve">March </w:t>
            </w:r>
          </w:p>
          <w:p w14:paraId="3553B4DF" w14:textId="77777777" w:rsidR="002B77CD" w:rsidRDefault="002B77CD" w:rsidP="002B77CD">
            <w:pPr>
              <w:pStyle w:val="TableText"/>
            </w:pPr>
            <w:r>
              <w:t xml:space="preserve">September </w:t>
            </w:r>
          </w:p>
        </w:tc>
      </w:tr>
      <w:tr w:rsidR="002B77CD" w14:paraId="7021D000" w14:textId="77777777" w:rsidTr="002B77CD">
        <w:trPr>
          <w:cantSplit/>
        </w:trPr>
        <w:tc>
          <w:tcPr>
            <w:tcW w:w="534" w:type="dxa"/>
            <w:shd w:val="clear" w:color="auto" w:fill="auto"/>
          </w:tcPr>
          <w:p w14:paraId="4D690A9F" w14:textId="77777777" w:rsidR="002B77CD" w:rsidRDefault="002B77CD" w:rsidP="0019245A">
            <w:pPr>
              <w:pStyle w:val="TableText"/>
              <w:numPr>
                <w:ilvl w:val="0"/>
                <w:numId w:val="12"/>
              </w:numPr>
              <w:ind w:left="284" w:hanging="218"/>
            </w:pPr>
          </w:p>
        </w:tc>
        <w:tc>
          <w:tcPr>
            <w:tcW w:w="5212" w:type="dxa"/>
            <w:shd w:val="clear" w:color="auto" w:fill="auto"/>
          </w:tcPr>
          <w:p w14:paraId="51C9566B" w14:textId="77777777" w:rsidR="002B77CD" w:rsidRDefault="002B77CD" w:rsidP="002B77CD">
            <w:pPr>
              <w:pStyle w:val="TableText"/>
            </w:pPr>
            <w:r>
              <w:t xml:space="preserve">MEO/MEA records consent, refusal, or absence of every sampled participant on the </w:t>
            </w:r>
            <w:r w:rsidRPr="003652FB">
              <w:rPr>
                <w:b/>
              </w:rPr>
              <w:t>Response Record</w:t>
            </w:r>
            <w:r>
              <w:t xml:space="preserve"> so we have a record of response and refusal rates.</w:t>
            </w:r>
          </w:p>
        </w:tc>
        <w:tc>
          <w:tcPr>
            <w:tcW w:w="1446" w:type="dxa"/>
            <w:shd w:val="clear" w:color="auto" w:fill="auto"/>
          </w:tcPr>
          <w:p w14:paraId="34052CD9" w14:textId="77777777" w:rsidR="002B77CD" w:rsidRDefault="002B77CD" w:rsidP="002B77CD">
            <w:pPr>
              <w:pStyle w:val="TableHeading"/>
            </w:pPr>
            <w:r>
              <w:t>MEO and MEA</w:t>
            </w:r>
          </w:p>
        </w:tc>
        <w:tc>
          <w:tcPr>
            <w:tcW w:w="1324" w:type="dxa"/>
            <w:shd w:val="clear" w:color="auto" w:fill="auto"/>
          </w:tcPr>
          <w:p w14:paraId="459662D7" w14:textId="77777777" w:rsidR="002B77CD" w:rsidRDefault="002B77CD" w:rsidP="002B77CD">
            <w:pPr>
              <w:pStyle w:val="TableText"/>
            </w:pPr>
            <w:r>
              <w:t xml:space="preserve">March </w:t>
            </w:r>
          </w:p>
          <w:p w14:paraId="355A9C10" w14:textId="77777777" w:rsidR="002B77CD" w:rsidRDefault="002B77CD" w:rsidP="002B77CD">
            <w:pPr>
              <w:pStyle w:val="TableText"/>
            </w:pPr>
            <w:r>
              <w:t xml:space="preserve">September </w:t>
            </w:r>
          </w:p>
        </w:tc>
      </w:tr>
      <w:tr w:rsidR="002B77CD" w14:paraId="5039A256" w14:textId="77777777" w:rsidTr="002B77CD">
        <w:trPr>
          <w:cantSplit/>
        </w:trPr>
        <w:tc>
          <w:tcPr>
            <w:tcW w:w="534" w:type="dxa"/>
            <w:shd w:val="clear" w:color="auto" w:fill="auto"/>
          </w:tcPr>
          <w:p w14:paraId="5C35870F" w14:textId="77777777" w:rsidR="002B77CD" w:rsidRDefault="002B77CD" w:rsidP="0019245A">
            <w:pPr>
              <w:pStyle w:val="TableText"/>
              <w:numPr>
                <w:ilvl w:val="0"/>
                <w:numId w:val="12"/>
              </w:numPr>
              <w:ind w:left="284" w:hanging="218"/>
            </w:pPr>
          </w:p>
        </w:tc>
        <w:tc>
          <w:tcPr>
            <w:tcW w:w="5212" w:type="dxa"/>
            <w:shd w:val="clear" w:color="auto" w:fill="auto"/>
          </w:tcPr>
          <w:p w14:paraId="0C8B3C6B" w14:textId="77777777" w:rsidR="002B77CD" w:rsidRDefault="002B77CD" w:rsidP="002B77CD">
            <w:pPr>
              <w:pStyle w:val="TableText"/>
            </w:pPr>
            <w:r>
              <w:t>Return completed surveys to MEA for data entry.</w:t>
            </w:r>
          </w:p>
        </w:tc>
        <w:tc>
          <w:tcPr>
            <w:tcW w:w="1446" w:type="dxa"/>
            <w:shd w:val="clear" w:color="auto" w:fill="auto"/>
          </w:tcPr>
          <w:p w14:paraId="549992E9" w14:textId="77777777" w:rsidR="002B77CD" w:rsidRDefault="002B77CD" w:rsidP="002B77CD">
            <w:pPr>
              <w:pStyle w:val="TableHeading"/>
            </w:pPr>
            <w:r>
              <w:t>MEO</w:t>
            </w:r>
          </w:p>
        </w:tc>
        <w:tc>
          <w:tcPr>
            <w:tcW w:w="1324" w:type="dxa"/>
            <w:shd w:val="clear" w:color="auto" w:fill="auto"/>
          </w:tcPr>
          <w:p w14:paraId="22A5DDC5" w14:textId="77777777" w:rsidR="002B77CD" w:rsidRDefault="002B77CD" w:rsidP="002B77CD">
            <w:pPr>
              <w:pStyle w:val="TableText"/>
            </w:pPr>
            <w:r>
              <w:t>On completion of each trip</w:t>
            </w:r>
          </w:p>
        </w:tc>
      </w:tr>
      <w:tr w:rsidR="002B77CD" w14:paraId="70BE11DD" w14:textId="77777777" w:rsidTr="002B77CD">
        <w:trPr>
          <w:cantSplit/>
        </w:trPr>
        <w:tc>
          <w:tcPr>
            <w:tcW w:w="534" w:type="dxa"/>
            <w:shd w:val="clear" w:color="auto" w:fill="auto"/>
          </w:tcPr>
          <w:p w14:paraId="4E1599EE" w14:textId="77777777" w:rsidR="002B77CD" w:rsidRDefault="002B77CD" w:rsidP="0019245A">
            <w:pPr>
              <w:pStyle w:val="TableText"/>
              <w:numPr>
                <w:ilvl w:val="0"/>
                <w:numId w:val="12"/>
              </w:numPr>
              <w:ind w:left="284" w:hanging="218"/>
            </w:pPr>
          </w:p>
        </w:tc>
        <w:tc>
          <w:tcPr>
            <w:tcW w:w="5212" w:type="dxa"/>
            <w:shd w:val="clear" w:color="auto" w:fill="auto"/>
          </w:tcPr>
          <w:p w14:paraId="2DBF0D63" w14:textId="77777777" w:rsidR="002B77CD" w:rsidRDefault="002B77CD" w:rsidP="002B77CD">
            <w:pPr>
              <w:pStyle w:val="TableText"/>
            </w:pPr>
            <w:r>
              <w:t>File Response Record Sheet completed with records of consents/ refusals/ substitutes – on completion of data collection M&amp;E Specialist reviews refusals to check interviewer progress and ID any issues with refusals or substitutions – includes in reporting if necessary</w:t>
            </w:r>
          </w:p>
        </w:tc>
        <w:tc>
          <w:tcPr>
            <w:tcW w:w="1446" w:type="dxa"/>
            <w:shd w:val="clear" w:color="auto" w:fill="auto"/>
          </w:tcPr>
          <w:p w14:paraId="15716536" w14:textId="77777777" w:rsidR="002B77CD" w:rsidRDefault="002B77CD" w:rsidP="002B77CD">
            <w:pPr>
              <w:pStyle w:val="TableHeading"/>
            </w:pPr>
            <w:r>
              <w:t>M&amp;E Officer</w:t>
            </w:r>
          </w:p>
        </w:tc>
        <w:tc>
          <w:tcPr>
            <w:tcW w:w="1324" w:type="dxa"/>
            <w:shd w:val="clear" w:color="auto" w:fill="auto"/>
          </w:tcPr>
          <w:p w14:paraId="3A447EB7" w14:textId="77777777" w:rsidR="002B77CD" w:rsidRDefault="002B77CD" w:rsidP="002B77CD">
            <w:pPr>
              <w:pStyle w:val="TableText"/>
            </w:pPr>
          </w:p>
        </w:tc>
      </w:tr>
      <w:tr w:rsidR="002B77CD" w14:paraId="6DA4EC11" w14:textId="77777777" w:rsidTr="002B77CD">
        <w:trPr>
          <w:cantSplit/>
        </w:trPr>
        <w:tc>
          <w:tcPr>
            <w:tcW w:w="534" w:type="dxa"/>
            <w:shd w:val="clear" w:color="auto" w:fill="auto"/>
          </w:tcPr>
          <w:p w14:paraId="46C02DE4" w14:textId="77777777" w:rsidR="002B77CD" w:rsidRDefault="002B77CD" w:rsidP="0019245A">
            <w:pPr>
              <w:pStyle w:val="TableText"/>
              <w:numPr>
                <w:ilvl w:val="0"/>
                <w:numId w:val="12"/>
              </w:numPr>
              <w:ind w:left="284" w:hanging="218"/>
            </w:pPr>
          </w:p>
        </w:tc>
        <w:tc>
          <w:tcPr>
            <w:tcW w:w="5212" w:type="dxa"/>
            <w:shd w:val="clear" w:color="auto" w:fill="auto"/>
          </w:tcPr>
          <w:p w14:paraId="55AD5F2A" w14:textId="77777777" w:rsidR="002B77CD" w:rsidRDefault="002B77CD" w:rsidP="002B77CD">
            <w:pPr>
              <w:pStyle w:val="TableText"/>
            </w:pPr>
            <w:r>
              <w:t xml:space="preserve">Data entry into Baseline and Outcomes Database </w:t>
            </w:r>
          </w:p>
        </w:tc>
        <w:tc>
          <w:tcPr>
            <w:tcW w:w="1446" w:type="dxa"/>
            <w:shd w:val="clear" w:color="auto" w:fill="auto"/>
          </w:tcPr>
          <w:p w14:paraId="7728B834" w14:textId="77777777" w:rsidR="002B77CD" w:rsidRDefault="002B77CD" w:rsidP="002B77CD">
            <w:pPr>
              <w:pStyle w:val="TableHeading"/>
            </w:pPr>
            <w:r>
              <w:t>M&amp;E Assistant</w:t>
            </w:r>
          </w:p>
        </w:tc>
        <w:tc>
          <w:tcPr>
            <w:tcW w:w="1324" w:type="dxa"/>
            <w:shd w:val="clear" w:color="auto" w:fill="auto"/>
          </w:tcPr>
          <w:p w14:paraId="702F9CF2" w14:textId="77777777" w:rsidR="002B77CD" w:rsidRDefault="002B77CD" w:rsidP="002B77CD">
            <w:pPr>
              <w:pStyle w:val="TableText"/>
            </w:pPr>
            <w:r>
              <w:t>To complete by 30 April and 15 November</w:t>
            </w:r>
          </w:p>
        </w:tc>
      </w:tr>
    </w:tbl>
    <w:p w14:paraId="6B0147A0" w14:textId="77777777" w:rsidR="002B77CD" w:rsidRDefault="002B77CD" w:rsidP="002B77CD">
      <w:pPr>
        <w:pStyle w:val="Heading3"/>
      </w:pPr>
      <w:r>
        <w:t xml:space="preserve">Data Analysis </w:t>
      </w:r>
    </w:p>
    <w:p w14:paraId="2B25C448" w14:textId="77777777" w:rsidR="002B77CD" w:rsidRDefault="002B77CD" w:rsidP="002B77CD">
      <w:r>
        <w:t xml:space="preserve">On completion of data entry, the M&amp;E Specialist will analyse the data for consideration by the program team, as well as the Provincial Training Boards and the Strategic Advisory Group. </w:t>
      </w:r>
    </w:p>
    <w:p w14:paraId="62E7BB12" w14:textId="77777777" w:rsidR="002B77CD" w:rsidRDefault="002B77CD" w:rsidP="002B77CD">
      <w:r>
        <w:t xml:space="preserve">The Specialist will require assistance from data analysis specialists at ACER to support quantitative analysis and reporting, in order to appropriately address the weighting of data and the consideration of confidence intervals and other statistical requirements. </w:t>
      </w:r>
    </w:p>
    <w:p w14:paraId="35A9053C" w14:textId="49B3EA37" w:rsidR="00F83660" w:rsidRDefault="00F83660">
      <w:pPr>
        <w:suppressAutoHyphens w:val="0"/>
        <w:spacing w:before="0" w:after="0"/>
      </w:pPr>
      <w:r>
        <w:br w:type="page"/>
      </w:r>
    </w:p>
    <w:p w14:paraId="162D286F" w14:textId="5D74E5BE" w:rsidR="002B77CD" w:rsidRDefault="00F83660" w:rsidP="00F83660">
      <w:pPr>
        <w:pStyle w:val="Heading1"/>
      </w:pPr>
      <w:bookmarkStart w:id="19" w:name="_Toc285716751"/>
      <w:r>
        <w:lastRenderedPageBreak/>
        <w:t>Annex 5: Participant Outcomes Survey Data</w:t>
      </w:r>
      <w:bookmarkEnd w:id="19"/>
    </w:p>
    <w:p w14:paraId="56D0E2F8" w14:textId="77777777" w:rsidR="00B0025E" w:rsidRDefault="00B0025E" w:rsidP="002F1248">
      <w:pPr>
        <w:pStyle w:val="Heading3"/>
      </w:pPr>
      <w:r>
        <w:t xml:space="preserve">Income/Livelihood Improvements </w:t>
      </w:r>
    </w:p>
    <w:tbl>
      <w:tblPr>
        <w:tblW w:w="5969" w:type="dxa"/>
        <w:tblInd w:w="93" w:type="dxa"/>
        <w:tblLayout w:type="fixed"/>
        <w:tblLook w:val="04A0" w:firstRow="1" w:lastRow="0" w:firstColumn="1" w:lastColumn="0" w:noHBand="0" w:noVBand="1"/>
      </w:tblPr>
      <w:tblGrid>
        <w:gridCol w:w="2283"/>
        <w:gridCol w:w="3686"/>
      </w:tblGrid>
      <w:tr w:rsidR="00B0025E" w:rsidRPr="00386CD5" w14:paraId="67A36BC1" w14:textId="77777777" w:rsidTr="00B0025E">
        <w:trPr>
          <w:trHeight w:val="300"/>
        </w:trPr>
        <w:tc>
          <w:tcPr>
            <w:tcW w:w="5969" w:type="dxa"/>
            <w:gridSpan w:val="2"/>
            <w:tcBorders>
              <w:top w:val="nil"/>
              <w:left w:val="nil"/>
              <w:bottom w:val="nil"/>
              <w:right w:val="nil"/>
            </w:tcBorders>
            <w:shd w:val="clear" w:color="000000" w:fill="auto"/>
            <w:noWrap/>
            <w:vAlign w:val="bottom"/>
            <w:hideMark/>
          </w:tcPr>
          <w:p w14:paraId="26A01DC9" w14:textId="03C8A549" w:rsidR="00B0025E" w:rsidRPr="00386CD5" w:rsidRDefault="0061380D" w:rsidP="00B0025E">
            <w:pPr>
              <w:pStyle w:val="TableHeading"/>
            </w:pPr>
            <w:r>
              <w:t xml:space="preserve">Data Table 1: </w:t>
            </w:r>
            <w:r w:rsidR="00B0025E" w:rsidRPr="00386CD5">
              <w:t xml:space="preserve">Income - all TVET Centre Participants </w:t>
            </w:r>
          </w:p>
        </w:tc>
      </w:tr>
      <w:tr w:rsidR="00B0025E" w:rsidRPr="00386CD5" w14:paraId="25363915" w14:textId="77777777" w:rsidTr="00B0025E">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369ACC0" w14:textId="77777777" w:rsidR="00B0025E" w:rsidRPr="00386CD5" w:rsidRDefault="00B0025E" w:rsidP="00B0025E">
            <w:pPr>
              <w:pStyle w:val="TableText"/>
            </w:pPr>
            <w:r w:rsidRPr="00386CD5">
              <w:t> </w:t>
            </w:r>
          </w:p>
        </w:tc>
        <w:tc>
          <w:tcPr>
            <w:tcW w:w="3686" w:type="dxa"/>
            <w:tcBorders>
              <w:top w:val="single" w:sz="4" w:space="0" w:color="auto"/>
              <w:left w:val="nil"/>
              <w:bottom w:val="single" w:sz="4" w:space="0" w:color="auto"/>
              <w:right w:val="single" w:sz="4" w:space="0" w:color="auto"/>
            </w:tcBorders>
            <w:shd w:val="clear" w:color="000000" w:fill="auto"/>
            <w:noWrap/>
            <w:vAlign w:val="bottom"/>
            <w:hideMark/>
          </w:tcPr>
          <w:p w14:paraId="0814E8DE" w14:textId="77777777" w:rsidR="00B0025E" w:rsidRPr="00386CD5" w:rsidRDefault="00B0025E" w:rsidP="00B0025E">
            <w:pPr>
              <w:pStyle w:val="TableHeading"/>
            </w:pPr>
            <w:r>
              <w:t>Participants’ Income</w:t>
            </w:r>
            <w:r w:rsidRPr="00386CD5">
              <w:t xml:space="preserve"> (weighted %)</w:t>
            </w:r>
            <w:r>
              <w:t xml:space="preserve"> (n=150)</w:t>
            </w:r>
          </w:p>
        </w:tc>
      </w:tr>
      <w:tr w:rsidR="00B0025E" w:rsidRPr="00386CD5" w14:paraId="16B0092B" w14:textId="77777777" w:rsidTr="00B0025E">
        <w:trPr>
          <w:trHeight w:val="300"/>
        </w:trPr>
        <w:tc>
          <w:tcPr>
            <w:tcW w:w="2283" w:type="dxa"/>
            <w:tcBorders>
              <w:top w:val="nil"/>
              <w:left w:val="single" w:sz="4" w:space="0" w:color="auto"/>
              <w:bottom w:val="single" w:sz="4" w:space="0" w:color="auto"/>
              <w:right w:val="single" w:sz="4" w:space="0" w:color="auto"/>
            </w:tcBorders>
            <w:shd w:val="clear" w:color="000000" w:fill="auto"/>
            <w:noWrap/>
            <w:vAlign w:val="bottom"/>
            <w:hideMark/>
          </w:tcPr>
          <w:p w14:paraId="2C38A974" w14:textId="77777777" w:rsidR="00B0025E" w:rsidRPr="00386CD5" w:rsidRDefault="00B0025E" w:rsidP="00B0025E">
            <w:pPr>
              <w:pStyle w:val="TableText"/>
            </w:pPr>
            <w:r w:rsidRPr="00386CD5">
              <w:t>No increase</w:t>
            </w:r>
          </w:p>
        </w:tc>
        <w:tc>
          <w:tcPr>
            <w:tcW w:w="3686" w:type="dxa"/>
            <w:tcBorders>
              <w:top w:val="nil"/>
              <w:left w:val="nil"/>
              <w:bottom w:val="single" w:sz="4" w:space="0" w:color="auto"/>
              <w:right w:val="single" w:sz="4" w:space="0" w:color="auto"/>
            </w:tcBorders>
            <w:shd w:val="clear" w:color="000000" w:fill="auto"/>
            <w:noWrap/>
            <w:vAlign w:val="bottom"/>
            <w:hideMark/>
          </w:tcPr>
          <w:p w14:paraId="14C9A448" w14:textId="77777777" w:rsidR="00B0025E" w:rsidRPr="00386CD5" w:rsidRDefault="00B0025E" w:rsidP="00B0025E">
            <w:pPr>
              <w:pStyle w:val="dataannextabletext"/>
            </w:pPr>
            <w:r w:rsidRPr="00386CD5">
              <w:t>39%</w:t>
            </w:r>
          </w:p>
        </w:tc>
      </w:tr>
      <w:tr w:rsidR="00B0025E" w:rsidRPr="00386CD5" w14:paraId="013ABCDB" w14:textId="77777777" w:rsidTr="00B0025E">
        <w:trPr>
          <w:trHeight w:val="300"/>
        </w:trPr>
        <w:tc>
          <w:tcPr>
            <w:tcW w:w="2283" w:type="dxa"/>
            <w:tcBorders>
              <w:top w:val="nil"/>
              <w:left w:val="single" w:sz="4" w:space="0" w:color="auto"/>
              <w:bottom w:val="single" w:sz="4" w:space="0" w:color="auto"/>
              <w:right w:val="single" w:sz="4" w:space="0" w:color="auto"/>
            </w:tcBorders>
            <w:shd w:val="clear" w:color="000000" w:fill="auto"/>
            <w:noWrap/>
            <w:vAlign w:val="bottom"/>
            <w:hideMark/>
          </w:tcPr>
          <w:p w14:paraId="7A5C7422" w14:textId="77777777" w:rsidR="00B0025E" w:rsidRPr="00386CD5" w:rsidRDefault="00B0025E" w:rsidP="00B0025E">
            <w:pPr>
              <w:pStyle w:val="TableText"/>
            </w:pPr>
            <w:r w:rsidRPr="00386CD5">
              <w:t>Increase</w:t>
            </w:r>
          </w:p>
        </w:tc>
        <w:tc>
          <w:tcPr>
            <w:tcW w:w="3686" w:type="dxa"/>
            <w:tcBorders>
              <w:top w:val="nil"/>
              <w:left w:val="nil"/>
              <w:bottom w:val="single" w:sz="4" w:space="0" w:color="auto"/>
              <w:right w:val="single" w:sz="4" w:space="0" w:color="auto"/>
            </w:tcBorders>
            <w:shd w:val="clear" w:color="000000" w:fill="auto"/>
            <w:noWrap/>
            <w:vAlign w:val="bottom"/>
            <w:hideMark/>
          </w:tcPr>
          <w:p w14:paraId="47E0416D" w14:textId="77777777" w:rsidR="00B0025E" w:rsidRPr="00386CD5" w:rsidRDefault="00B0025E" w:rsidP="00B0025E">
            <w:pPr>
              <w:pStyle w:val="TableText"/>
              <w:jc w:val="center"/>
            </w:pPr>
            <w:r w:rsidRPr="00386CD5">
              <w:t>61%</w:t>
            </w:r>
          </w:p>
        </w:tc>
      </w:tr>
    </w:tbl>
    <w:p w14:paraId="456BD142" w14:textId="77777777" w:rsidR="00B0025E" w:rsidRDefault="00B0025E" w:rsidP="00B0025E">
      <w:r>
        <w:t>(</w:t>
      </w:r>
      <w:r w:rsidRPr="00C52D21">
        <w:t>Table 154 - Table sal_inc_live_</w:t>
      </w:r>
      <w:r>
        <w:t>, freq_allcases_wt)</w:t>
      </w:r>
    </w:p>
    <w:p w14:paraId="5447B78E" w14:textId="77777777" w:rsidR="00B0025E" w:rsidRPr="0093544A" w:rsidRDefault="00B0025E" w:rsidP="00B0025E">
      <w:r>
        <w:t xml:space="preserve">Looking at all TVET Centre participants, we see an estimated 61% experiencing an increase in their income/livelihood. </w:t>
      </w:r>
    </w:p>
    <w:tbl>
      <w:tblPr>
        <w:tblW w:w="5969" w:type="dxa"/>
        <w:tblInd w:w="93" w:type="dxa"/>
        <w:tblLayout w:type="fixed"/>
        <w:tblLook w:val="04A0" w:firstRow="1" w:lastRow="0" w:firstColumn="1" w:lastColumn="0" w:noHBand="0" w:noVBand="1"/>
      </w:tblPr>
      <w:tblGrid>
        <w:gridCol w:w="2283"/>
        <w:gridCol w:w="3686"/>
      </w:tblGrid>
      <w:tr w:rsidR="00B0025E" w:rsidRPr="009F56C1" w14:paraId="2E9F1599" w14:textId="77777777" w:rsidTr="00B0025E">
        <w:trPr>
          <w:trHeight w:val="300"/>
        </w:trPr>
        <w:tc>
          <w:tcPr>
            <w:tcW w:w="5969" w:type="dxa"/>
            <w:gridSpan w:val="2"/>
            <w:tcBorders>
              <w:top w:val="nil"/>
              <w:left w:val="nil"/>
              <w:bottom w:val="nil"/>
              <w:right w:val="nil"/>
            </w:tcBorders>
            <w:shd w:val="clear" w:color="000000" w:fill="auto"/>
            <w:noWrap/>
            <w:vAlign w:val="bottom"/>
            <w:hideMark/>
          </w:tcPr>
          <w:p w14:paraId="5E599B13" w14:textId="4379870F" w:rsidR="00B0025E" w:rsidRPr="009F56C1" w:rsidRDefault="0061380D" w:rsidP="00B0025E">
            <w:pPr>
              <w:pStyle w:val="TableHeading"/>
            </w:pPr>
            <w:r>
              <w:t xml:space="preserve">Data Table 2: </w:t>
            </w:r>
            <w:r w:rsidR="00B0025E">
              <w:t xml:space="preserve">Income - </w:t>
            </w:r>
            <w:r w:rsidR="00B0025E" w:rsidRPr="009F56C1">
              <w:t>Employed Participants</w:t>
            </w:r>
          </w:p>
        </w:tc>
      </w:tr>
      <w:tr w:rsidR="00B0025E" w:rsidRPr="009F56C1" w14:paraId="3A3DBA0B" w14:textId="77777777" w:rsidTr="00B0025E">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80C656D" w14:textId="77777777" w:rsidR="00B0025E" w:rsidRPr="009F56C1" w:rsidRDefault="00B0025E" w:rsidP="00B0025E">
            <w:pPr>
              <w:pStyle w:val="TableHeading"/>
            </w:pPr>
            <w:r w:rsidRPr="009F56C1">
              <w:t> </w:t>
            </w:r>
          </w:p>
        </w:tc>
        <w:tc>
          <w:tcPr>
            <w:tcW w:w="3686" w:type="dxa"/>
            <w:tcBorders>
              <w:top w:val="single" w:sz="4" w:space="0" w:color="auto"/>
              <w:left w:val="nil"/>
              <w:bottom w:val="single" w:sz="4" w:space="0" w:color="auto"/>
              <w:right w:val="single" w:sz="4" w:space="0" w:color="auto"/>
            </w:tcBorders>
            <w:shd w:val="clear" w:color="000000" w:fill="auto"/>
            <w:noWrap/>
            <w:vAlign w:val="center"/>
            <w:hideMark/>
          </w:tcPr>
          <w:p w14:paraId="7E9BCE13" w14:textId="77777777" w:rsidR="00B0025E" w:rsidRPr="009F56C1" w:rsidRDefault="00B0025E" w:rsidP="00B0025E">
            <w:pPr>
              <w:pStyle w:val="TableHeading"/>
            </w:pPr>
            <w:r>
              <w:t>Participants’ Income</w:t>
            </w:r>
            <w:r w:rsidRPr="009F56C1">
              <w:t xml:space="preserve"> (weighted %)</w:t>
            </w:r>
            <w:r>
              <w:t xml:space="preserve"> (n=39)</w:t>
            </w:r>
          </w:p>
        </w:tc>
      </w:tr>
      <w:tr w:rsidR="00B0025E" w:rsidRPr="009F56C1" w14:paraId="113BE6A0" w14:textId="77777777" w:rsidTr="00B0025E">
        <w:trPr>
          <w:trHeight w:val="300"/>
        </w:trPr>
        <w:tc>
          <w:tcPr>
            <w:tcW w:w="2283" w:type="dxa"/>
            <w:tcBorders>
              <w:top w:val="nil"/>
              <w:left w:val="single" w:sz="4" w:space="0" w:color="auto"/>
              <w:bottom w:val="single" w:sz="4" w:space="0" w:color="auto"/>
              <w:right w:val="single" w:sz="4" w:space="0" w:color="auto"/>
            </w:tcBorders>
            <w:shd w:val="clear" w:color="000000" w:fill="auto"/>
            <w:noWrap/>
            <w:vAlign w:val="bottom"/>
            <w:hideMark/>
          </w:tcPr>
          <w:p w14:paraId="6D171DAC" w14:textId="77777777" w:rsidR="00B0025E" w:rsidRPr="009F56C1" w:rsidRDefault="00B0025E" w:rsidP="00B0025E">
            <w:pPr>
              <w:pStyle w:val="TableText"/>
            </w:pPr>
            <w:r w:rsidRPr="009F56C1">
              <w:t>Not increased</w:t>
            </w:r>
          </w:p>
        </w:tc>
        <w:tc>
          <w:tcPr>
            <w:tcW w:w="3686" w:type="dxa"/>
            <w:tcBorders>
              <w:top w:val="nil"/>
              <w:left w:val="nil"/>
              <w:bottom w:val="single" w:sz="4" w:space="0" w:color="auto"/>
              <w:right w:val="single" w:sz="4" w:space="0" w:color="auto"/>
            </w:tcBorders>
            <w:shd w:val="clear" w:color="000000" w:fill="auto"/>
            <w:noWrap/>
            <w:vAlign w:val="bottom"/>
            <w:hideMark/>
          </w:tcPr>
          <w:p w14:paraId="2ADA3BFB" w14:textId="77777777" w:rsidR="00B0025E" w:rsidRPr="009F56C1" w:rsidRDefault="00B0025E" w:rsidP="00B0025E">
            <w:pPr>
              <w:pStyle w:val="dataannextabletext"/>
            </w:pPr>
            <w:r w:rsidRPr="009F56C1">
              <w:t>82%</w:t>
            </w:r>
          </w:p>
        </w:tc>
      </w:tr>
      <w:tr w:rsidR="00B0025E" w:rsidRPr="009F56C1" w14:paraId="7161EB56" w14:textId="77777777" w:rsidTr="00B0025E">
        <w:trPr>
          <w:trHeight w:val="300"/>
        </w:trPr>
        <w:tc>
          <w:tcPr>
            <w:tcW w:w="2283" w:type="dxa"/>
            <w:tcBorders>
              <w:top w:val="nil"/>
              <w:left w:val="single" w:sz="4" w:space="0" w:color="auto"/>
              <w:bottom w:val="single" w:sz="4" w:space="0" w:color="auto"/>
              <w:right w:val="single" w:sz="4" w:space="0" w:color="auto"/>
            </w:tcBorders>
            <w:shd w:val="clear" w:color="000000" w:fill="auto"/>
            <w:noWrap/>
            <w:vAlign w:val="bottom"/>
            <w:hideMark/>
          </w:tcPr>
          <w:p w14:paraId="420B44D1" w14:textId="77777777" w:rsidR="00B0025E" w:rsidRPr="009F56C1" w:rsidRDefault="00B0025E" w:rsidP="00B0025E">
            <w:pPr>
              <w:pStyle w:val="TableText"/>
            </w:pPr>
            <w:r w:rsidRPr="009F56C1">
              <w:t xml:space="preserve">Increased </w:t>
            </w:r>
          </w:p>
        </w:tc>
        <w:tc>
          <w:tcPr>
            <w:tcW w:w="3686" w:type="dxa"/>
            <w:tcBorders>
              <w:top w:val="nil"/>
              <w:left w:val="nil"/>
              <w:bottom w:val="single" w:sz="4" w:space="0" w:color="auto"/>
              <w:right w:val="single" w:sz="4" w:space="0" w:color="auto"/>
            </w:tcBorders>
            <w:shd w:val="clear" w:color="000000" w:fill="auto"/>
            <w:noWrap/>
            <w:vAlign w:val="bottom"/>
            <w:hideMark/>
          </w:tcPr>
          <w:p w14:paraId="455BE4B6" w14:textId="77777777" w:rsidR="00B0025E" w:rsidRPr="009F56C1" w:rsidRDefault="00B0025E" w:rsidP="00B0025E">
            <w:pPr>
              <w:pStyle w:val="dataannextabletext"/>
            </w:pPr>
            <w:r w:rsidRPr="009F56C1">
              <w:t>18%</w:t>
            </w:r>
          </w:p>
        </w:tc>
      </w:tr>
    </w:tbl>
    <w:p w14:paraId="548E3E8C" w14:textId="77777777" w:rsidR="00B0025E" w:rsidRDefault="00B0025E" w:rsidP="00B0025E">
      <w:r>
        <w:t>(Table 86, Q14, freq_allcases_wt)</w:t>
      </w:r>
    </w:p>
    <w:p w14:paraId="700267E2" w14:textId="77777777" w:rsidR="00B0025E" w:rsidRDefault="00B0025E" w:rsidP="00B0025E">
      <w:r>
        <w:t xml:space="preserve">This indicates that only an estimated 18% of employed participants (who were the only respondents asked this question) experienced increased income within 6-8 months of their participation in TVET Centre activities. </w:t>
      </w:r>
    </w:p>
    <w:tbl>
      <w:tblPr>
        <w:tblW w:w="5969" w:type="dxa"/>
        <w:tblInd w:w="93" w:type="dxa"/>
        <w:tblLayout w:type="fixed"/>
        <w:tblLook w:val="04A0" w:firstRow="1" w:lastRow="0" w:firstColumn="1" w:lastColumn="0" w:noHBand="0" w:noVBand="1"/>
      </w:tblPr>
      <w:tblGrid>
        <w:gridCol w:w="2283"/>
        <w:gridCol w:w="3686"/>
      </w:tblGrid>
      <w:tr w:rsidR="00B0025E" w:rsidRPr="009F56C1" w14:paraId="7F99B752" w14:textId="77777777" w:rsidTr="00B0025E">
        <w:trPr>
          <w:trHeight w:val="300"/>
        </w:trPr>
        <w:tc>
          <w:tcPr>
            <w:tcW w:w="5969" w:type="dxa"/>
            <w:gridSpan w:val="2"/>
            <w:tcBorders>
              <w:top w:val="nil"/>
              <w:left w:val="nil"/>
              <w:bottom w:val="nil"/>
              <w:right w:val="nil"/>
            </w:tcBorders>
            <w:shd w:val="clear" w:color="000000" w:fill="auto"/>
            <w:noWrap/>
            <w:vAlign w:val="bottom"/>
            <w:hideMark/>
          </w:tcPr>
          <w:p w14:paraId="27583FF1" w14:textId="283F245D" w:rsidR="00B0025E" w:rsidRPr="009F56C1" w:rsidRDefault="0061380D" w:rsidP="00B0025E">
            <w:pPr>
              <w:pStyle w:val="TableHeading"/>
              <w:rPr>
                <w:rFonts w:eastAsia="Times New Roman"/>
                <w:b w:val="0"/>
                <w:bCs/>
                <w:color w:val="000000"/>
              </w:rPr>
            </w:pPr>
            <w:r>
              <w:t xml:space="preserve">Data Table 3: </w:t>
            </w:r>
            <w:r w:rsidR="00B0025E" w:rsidRPr="00B0025E">
              <w:t>Income - Self-Employed Participants</w:t>
            </w:r>
          </w:p>
        </w:tc>
      </w:tr>
      <w:tr w:rsidR="00B0025E" w:rsidRPr="009F56C1" w14:paraId="2FBBC067" w14:textId="77777777" w:rsidTr="00B0025E">
        <w:trPr>
          <w:trHeight w:val="300"/>
        </w:trPr>
        <w:tc>
          <w:tcPr>
            <w:tcW w:w="2283" w:type="dxa"/>
            <w:tcBorders>
              <w:top w:val="nil"/>
              <w:left w:val="nil"/>
              <w:bottom w:val="nil"/>
              <w:right w:val="nil"/>
            </w:tcBorders>
            <w:shd w:val="clear" w:color="000000" w:fill="auto"/>
            <w:noWrap/>
            <w:vAlign w:val="bottom"/>
            <w:hideMark/>
          </w:tcPr>
          <w:p w14:paraId="471ABC86" w14:textId="77777777" w:rsidR="00B0025E" w:rsidRPr="009F56C1" w:rsidRDefault="00B0025E" w:rsidP="00B0025E">
            <w:pPr>
              <w:suppressAutoHyphens w:val="0"/>
              <w:spacing w:before="0" w:after="0"/>
              <w:rPr>
                <w:rFonts w:ascii="Calibri" w:eastAsia="Times New Roman" w:hAnsi="Calibri"/>
                <w:color w:val="000000"/>
              </w:rPr>
            </w:pPr>
          </w:p>
        </w:tc>
        <w:tc>
          <w:tcPr>
            <w:tcW w:w="3686"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67BF44B5" w14:textId="77777777" w:rsidR="00B0025E" w:rsidRPr="009F56C1" w:rsidRDefault="00B0025E" w:rsidP="00B0025E">
            <w:pPr>
              <w:pStyle w:val="TableHeading"/>
              <w:rPr>
                <w:rFonts w:eastAsia="Times New Roman"/>
                <w:color w:val="000000"/>
              </w:rPr>
            </w:pPr>
            <w:r w:rsidRPr="00B0025E">
              <w:t>Participants’ Income (weighted %) (n=46)</w:t>
            </w:r>
          </w:p>
        </w:tc>
      </w:tr>
      <w:tr w:rsidR="00B0025E" w:rsidRPr="009F56C1" w14:paraId="54910276" w14:textId="77777777" w:rsidTr="00B0025E">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0D0F16E" w14:textId="77777777" w:rsidR="00B0025E" w:rsidRPr="00B0025E" w:rsidRDefault="00B0025E" w:rsidP="00B0025E">
            <w:pPr>
              <w:pStyle w:val="TableText"/>
            </w:pPr>
            <w:r w:rsidRPr="00B0025E">
              <w:t xml:space="preserve">Not increased </w:t>
            </w:r>
          </w:p>
        </w:tc>
        <w:tc>
          <w:tcPr>
            <w:tcW w:w="3686" w:type="dxa"/>
            <w:tcBorders>
              <w:top w:val="nil"/>
              <w:left w:val="nil"/>
              <w:bottom w:val="single" w:sz="4" w:space="0" w:color="auto"/>
              <w:right w:val="single" w:sz="4" w:space="0" w:color="auto"/>
            </w:tcBorders>
            <w:shd w:val="clear" w:color="000000" w:fill="auto"/>
            <w:noWrap/>
            <w:vAlign w:val="center"/>
            <w:hideMark/>
          </w:tcPr>
          <w:p w14:paraId="7ACAE3C5" w14:textId="77777777" w:rsidR="00B0025E" w:rsidRPr="009F56C1" w:rsidRDefault="00B0025E" w:rsidP="00B0025E">
            <w:pPr>
              <w:pStyle w:val="dataannextabletext"/>
            </w:pPr>
            <w:r w:rsidRPr="009F56C1">
              <w:t>7%</w:t>
            </w:r>
          </w:p>
        </w:tc>
      </w:tr>
      <w:tr w:rsidR="00B0025E" w:rsidRPr="009F56C1" w14:paraId="3DC94CC0" w14:textId="77777777" w:rsidTr="00B0025E">
        <w:trPr>
          <w:trHeight w:val="300"/>
        </w:trPr>
        <w:tc>
          <w:tcPr>
            <w:tcW w:w="2283" w:type="dxa"/>
            <w:tcBorders>
              <w:top w:val="nil"/>
              <w:left w:val="single" w:sz="4" w:space="0" w:color="auto"/>
              <w:bottom w:val="single" w:sz="4" w:space="0" w:color="auto"/>
              <w:right w:val="single" w:sz="4" w:space="0" w:color="auto"/>
            </w:tcBorders>
            <w:shd w:val="clear" w:color="000000" w:fill="auto"/>
            <w:noWrap/>
            <w:vAlign w:val="bottom"/>
            <w:hideMark/>
          </w:tcPr>
          <w:p w14:paraId="5A18597C" w14:textId="77777777" w:rsidR="00B0025E" w:rsidRPr="00B0025E" w:rsidRDefault="00B0025E" w:rsidP="00B0025E">
            <w:pPr>
              <w:pStyle w:val="TableText"/>
            </w:pPr>
            <w:r w:rsidRPr="00B0025E">
              <w:t>Increased</w:t>
            </w:r>
          </w:p>
        </w:tc>
        <w:tc>
          <w:tcPr>
            <w:tcW w:w="3686" w:type="dxa"/>
            <w:tcBorders>
              <w:top w:val="nil"/>
              <w:left w:val="nil"/>
              <w:bottom w:val="single" w:sz="4" w:space="0" w:color="auto"/>
              <w:right w:val="single" w:sz="4" w:space="0" w:color="auto"/>
            </w:tcBorders>
            <w:shd w:val="clear" w:color="000000" w:fill="auto"/>
            <w:noWrap/>
            <w:vAlign w:val="center"/>
            <w:hideMark/>
          </w:tcPr>
          <w:p w14:paraId="732DC41C" w14:textId="77777777" w:rsidR="00B0025E" w:rsidRPr="009F56C1" w:rsidRDefault="00B0025E" w:rsidP="00B0025E">
            <w:pPr>
              <w:pStyle w:val="dataannextabletext"/>
            </w:pPr>
            <w:r w:rsidRPr="009F56C1">
              <w:t>93%</w:t>
            </w:r>
          </w:p>
        </w:tc>
      </w:tr>
    </w:tbl>
    <w:p w14:paraId="6E922ED9" w14:textId="77777777" w:rsidR="00B0025E" w:rsidRDefault="00B0025E" w:rsidP="00B0025E">
      <w:r>
        <w:t>(Table 108, Q24, freq_allcases_wt)</w:t>
      </w:r>
    </w:p>
    <w:p w14:paraId="791C3782" w14:textId="77777777" w:rsidR="00B0025E" w:rsidRDefault="00B0025E" w:rsidP="00B0025E">
      <w:r>
        <w:t xml:space="preserve">By comparison to employed participants, many more self-employed participants experienced increases in their income – an estimated 93% </w:t>
      </w:r>
    </w:p>
    <w:tbl>
      <w:tblPr>
        <w:tblW w:w="5969" w:type="dxa"/>
        <w:tblInd w:w="93" w:type="dxa"/>
        <w:tblLayout w:type="fixed"/>
        <w:tblLook w:val="04A0" w:firstRow="1" w:lastRow="0" w:firstColumn="1" w:lastColumn="0" w:noHBand="0" w:noVBand="1"/>
      </w:tblPr>
      <w:tblGrid>
        <w:gridCol w:w="2283"/>
        <w:gridCol w:w="3686"/>
      </w:tblGrid>
      <w:tr w:rsidR="00B0025E" w:rsidRPr="003D69E1" w14:paraId="3E5E1B28" w14:textId="77777777" w:rsidTr="00B0025E">
        <w:trPr>
          <w:trHeight w:val="300"/>
        </w:trPr>
        <w:tc>
          <w:tcPr>
            <w:tcW w:w="5969" w:type="dxa"/>
            <w:gridSpan w:val="2"/>
            <w:tcBorders>
              <w:top w:val="nil"/>
              <w:left w:val="nil"/>
              <w:bottom w:val="nil"/>
              <w:right w:val="nil"/>
            </w:tcBorders>
            <w:shd w:val="clear" w:color="000000" w:fill="auto"/>
            <w:noWrap/>
            <w:vAlign w:val="bottom"/>
            <w:hideMark/>
          </w:tcPr>
          <w:p w14:paraId="4A8A8005" w14:textId="1962DC6E" w:rsidR="00B0025E" w:rsidRPr="003D69E1" w:rsidRDefault="0061380D" w:rsidP="00B0025E">
            <w:pPr>
              <w:pStyle w:val="TableHeading"/>
              <w:rPr>
                <w:rFonts w:eastAsia="Times New Roman"/>
                <w:b w:val="0"/>
                <w:bCs/>
                <w:color w:val="000000"/>
              </w:rPr>
            </w:pPr>
            <w:r>
              <w:t xml:space="preserve">Data Table 4: </w:t>
            </w:r>
            <w:r w:rsidR="00B0025E" w:rsidRPr="00B0025E">
              <w:t>Income/ Livelihood - Subsistence, Student and Other Participants</w:t>
            </w:r>
            <w:r w:rsidR="00B0025E" w:rsidRPr="003D69E1">
              <w:rPr>
                <w:rFonts w:eastAsia="Times New Roman"/>
                <w:b w:val="0"/>
                <w:bCs/>
                <w:color w:val="000000"/>
              </w:rPr>
              <w:t xml:space="preserve"> </w:t>
            </w:r>
          </w:p>
        </w:tc>
      </w:tr>
      <w:tr w:rsidR="00B0025E" w:rsidRPr="003D69E1" w14:paraId="597D3FEF" w14:textId="77777777" w:rsidTr="00B0025E">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3B44911E" w14:textId="77777777" w:rsidR="00B0025E" w:rsidRPr="003D69E1" w:rsidRDefault="00B0025E" w:rsidP="00B0025E">
            <w:pPr>
              <w:suppressAutoHyphens w:val="0"/>
              <w:spacing w:before="0" w:after="0"/>
              <w:rPr>
                <w:rFonts w:ascii="Calibri" w:eastAsia="Times New Roman" w:hAnsi="Calibri"/>
                <w:color w:val="000000"/>
              </w:rPr>
            </w:pPr>
            <w:r w:rsidRPr="003D69E1">
              <w:rPr>
                <w:rFonts w:ascii="Calibri" w:eastAsia="Times New Roman" w:hAnsi="Calibri"/>
                <w:color w:val="000000"/>
              </w:rPr>
              <w:t> </w:t>
            </w:r>
          </w:p>
        </w:tc>
        <w:tc>
          <w:tcPr>
            <w:tcW w:w="3686" w:type="dxa"/>
            <w:tcBorders>
              <w:top w:val="single" w:sz="4" w:space="0" w:color="auto"/>
              <w:left w:val="nil"/>
              <w:bottom w:val="single" w:sz="4" w:space="0" w:color="auto"/>
              <w:right w:val="single" w:sz="4" w:space="0" w:color="auto"/>
            </w:tcBorders>
            <w:shd w:val="clear" w:color="000000" w:fill="auto"/>
            <w:noWrap/>
            <w:vAlign w:val="bottom"/>
            <w:hideMark/>
          </w:tcPr>
          <w:p w14:paraId="507FFF98" w14:textId="77777777" w:rsidR="00B0025E" w:rsidRPr="003D69E1" w:rsidRDefault="00B0025E" w:rsidP="00B0025E">
            <w:pPr>
              <w:pStyle w:val="TableHeading"/>
              <w:rPr>
                <w:rFonts w:eastAsia="Times New Roman"/>
                <w:color w:val="000000"/>
              </w:rPr>
            </w:pPr>
            <w:r w:rsidRPr="00B0025E">
              <w:t>Participants’ Income (weighted %) (n=65)</w:t>
            </w:r>
          </w:p>
        </w:tc>
      </w:tr>
      <w:tr w:rsidR="00B0025E" w:rsidRPr="003D69E1" w14:paraId="09C30CBF" w14:textId="77777777" w:rsidTr="00B0025E">
        <w:trPr>
          <w:trHeight w:val="300"/>
        </w:trPr>
        <w:tc>
          <w:tcPr>
            <w:tcW w:w="2283" w:type="dxa"/>
            <w:tcBorders>
              <w:top w:val="nil"/>
              <w:left w:val="single" w:sz="4" w:space="0" w:color="auto"/>
              <w:bottom w:val="single" w:sz="4" w:space="0" w:color="auto"/>
              <w:right w:val="single" w:sz="4" w:space="0" w:color="auto"/>
            </w:tcBorders>
            <w:shd w:val="clear" w:color="000000" w:fill="auto"/>
            <w:noWrap/>
            <w:vAlign w:val="bottom"/>
            <w:hideMark/>
          </w:tcPr>
          <w:p w14:paraId="350AAC3C" w14:textId="77777777" w:rsidR="00B0025E" w:rsidRPr="00B0025E" w:rsidRDefault="00B0025E" w:rsidP="00B0025E">
            <w:pPr>
              <w:pStyle w:val="TableText"/>
            </w:pPr>
            <w:r w:rsidRPr="00B0025E">
              <w:t>No increase</w:t>
            </w:r>
          </w:p>
        </w:tc>
        <w:tc>
          <w:tcPr>
            <w:tcW w:w="3686" w:type="dxa"/>
            <w:tcBorders>
              <w:top w:val="nil"/>
              <w:left w:val="nil"/>
              <w:bottom w:val="single" w:sz="4" w:space="0" w:color="auto"/>
              <w:right w:val="single" w:sz="4" w:space="0" w:color="auto"/>
            </w:tcBorders>
            <w:shd w:val="clear" w:color="000000" w:fill="auto"/>
            <w:noWrap/>
            <w:vAlign w:val="bottom"/>
            <w:hideMark/>
          </w:tcPr>
          <w:p w14:paraId="757E4FA9" w14:textId="77777777" w:rsidR="00B0025E" w:rsidRPr="003D69E1" w:rsidRDefault="00B0025E" w:rsidP="00B0025E">
            <w:pPr>
              <w:pStyle w:val="dataannextabletext"/>
            </w:pPr>
            <w:r w:rsidRPr="003D69E1">
              <w:t>26%</w:t>
            </w:r>
          </w:p>
        </w:tc>
      </w:tr>
      <w:tr w:rsidR="00B0025E" w:rsidRPr="003D69E1" w14:paraId="7CF6FF1A" w14:textId="77777777" w:rsidTr="00B0025E">
        <w:trPr>
          <w:trHeight w:val="300"/>
        </w:trPr>
        <w:tc>
          <w:tcPr>
            <w:tcW w:w="2283" w:type="dxa"/>
            <w:tcBorders>
              <w:top w:val="nil"/>
              <w:left w:val="single" w:sz="4" w:space="0" w:color="auto"/>
              <w:bottom w:val="single" w:sz="4" w:space="0" w:color="auto"/>
              <w:right w:val="single" w:sz="4" w:space="0" w:color="auto"/>
            </w:tcBorders>
            <w:shd w:val="clear" w:color="000000" w:fill="auto"/>
            <w:noWrap/>
            <w:vAlign w:val="bottom"/>
            <w:hideMark/>
          </w:tcPr>
          <w:p w14:paraId="1ACCA2BA" w14:textId="77777777" w:rsidR="00B0025E" w:rsidRPr="00B0025E" w:rsidRDefault="00B0025E" w:rsidP="00B0025E">
            <w:pPr>
              <w:pStyle w:val="TableText"/>
            </w:pPr>
            <w:r w:rsidRPr="00B0025E">
              <w:t>Increase</w:t>
            </w:r>
          </w:p>
        </w:tc>
        <w:tc>
          <w:tcPr>
            <w:tcW w:w="3686" w:type="dxa"/>
            <w:tcBorders>
              <w:top w:val="nil"/>
              <w:left w:val="nil"/>
              <w:bottom w:val="single" w:sz="4" w:space="0" w:color="auto"/>
              <w:right w:val="single" w:sz="4" w:space="0" w:color="auto"/>
            </w:tcBorders>
            <w:shd w:val="clear" w:color="000000" w:fill="auto"/>
            <w:noWrap/>
            <w:vAlign w:val="bottom"/>
            <w:hideMark/>
          </w:tcPr>
          <w:p w14:paraId="378B7AE9" w14:textId="77777777" w:rsidR="00B0025E" w:rsidRPr="003D69E1" w:rsidRDefault="00B0025E" w:rsidP="00B0025E">
            <w:pPr>
              <w:pStyle w:val="dataannextabletext"/>
            </w:pPr>
            <w:r w:rsidRPr="003D69E1">
              <w:t>74%</w:t>
            </w:r>
          </w:p>
        </w:tc>
      </w:tr>
    </w:tbl>
    <w:p w14:paraId="2AA58D12" w14:textId="77777777" w:rsidR="00B0025E" w:rsidRDefault="00B0025E" w:rsidP="00B0025E">
      <w:r>
        <w:t>(Table 110, Q27, freq_allcases_wt)</w:t>
      </w:r>
    </w:p>
    <w:p w14:paraId="2C21B27F" w14:textId="77777777" w:rsidR="00B0025E" w:rsidRDefault="00B0025E" w:rsidP="00B0025E">
      <w:r>
        <w:lastRenderedPageBreak/>
        <w:t xml:space="preserve">For participants who are subsistence farmers, students, or otherwise engaged (e.g. unemployed), increases in incomes/livelihoods are experienced by an estimated 74% of participants. </w:t>
      </w:r>
    </w:p>
    <w:p w14:paraId="061FE697" w14:textId="77777777" w:rsidR="00B0025E" w:rsidRDefault="00B0025E" w:rsidP="00B0025E">
      <w:r>
        <w:t xml:space="preserve">Overall, this suggests that perhaps it is most difficult for those in formal employment to increase their incomes after their skills development; by comparison, participants who are self-employed and subsistence workers seem to largely be able to improve their incomes. </w:t>
      </w:r>
    </w:p>
    <w:tbl>
      <w:tblPr>
        <w:tblW w:w="7528" w:type="dxa"/>
        <w:tblInd w:w="93" w:type="dxa"/>
        <w:tblLayout w:type="fixed"/>
        <w:tblLook w:val="04A0" w:firstRow="1" w:lastRow="0" w:firstColumn="1" w:lastColumn="0" w:noHBand="0" w:noVBand="1"/>
      </w:tblPr>
      <w:tblGrid>
        <w:gridCol w:w="3701"/>
        <w:gridCol w:w="3827"/>
      </w:tblGrid>
      <w:tr w:rsidR="00B0025E" w:rsidRPr="00E46882" w14:paraId="2C9C78E7" w14:textId="77777777" w:rsidTr="00B0025E">
        <w:trPr>
          <w:trHeight w:val="260"/>
        </w:trPr>
        <w:tc>
          <w:tcPr>
            <w:tcW w:w="7528" w:type="dxa"/>
            <w:gridSpan w:val="2"/>
            <w:tcBorders>
              <w:top w:val="nil"/>
              <w:left w:val="nil"/>
              <w:bottom w:val="nil"/>
              <w:right w:val="nil"/>
            </w:tcBorders>
            <w:shd w:val="clear" w:color="auto" w:fill="auto"/>
            <w:noWrap/>
            <w:vAlign w:val="bottom"/>
            <w:hideMark/>
          </w:tcPr>
          <w:p w14:paraId="10DDEB67" w14:textId="00AF16DF" w:rsidR="00B0025E" w:rsidRPr="00E46882" w:rsidRDefault="0061380D" w:rsidP="00B0025E">
            <w:pPr>
              <w:pStyle w:val="TableHeading"/>
              <w:rPr>
                <w:rFonts w:ascii="MS Sans Serif" w:eastAsia="Times New Roman" w:hAnsi="MS Sans Serif"/>
              </w:rPr>
            </w:pPr>
            <w:r>
              <w:t xml:space="preserve">Data Table 5: </w:t>
            </w:r>
            <w:r w:rsidR="00B0025E" w:rsidRPr="00B0025E">
              <w:t>Increased Income/ Livelihood – all Participants</w:t>
            </w:r>
            <w:r w:rsidR="00B0025E" w:rsidRPr="00E46882">
              <w:rPr>
                <w:rFonts w:ascii="MS Sans Serif" w:eastAsia="Times New Roman" w:hAnsi="MS Sans Serif"/>
                <w:b w:val="0"/>
              </w:rPr>
              <w:t xml:space="preserve"> </w:t>
            </w:r>
          </w:p>
        </w:tc>
      </w:tr>
      <w:tr w:rsidR="00B0025E" w:rsidRPr="00E46882" w14:paraId="3AB014BE" w14:textId="77777777" w:rsidTr="00B0025E">
        <w:trPr>
          <w:trHeight w:val="780"/>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70F63" w14:textId="77777777" w:rsidR="00B0025E" w:rsidRPr="00E46882" w:rsidRDefault="00B0025E" w:rsidP="00B0025E">
            <w:pPr>
              <w:suppressAutoHyphens w:val="0"/>
              <w:spacing w:before="0" w:after="0"/>
              <w:rPr>
                <w:rFonts w:ascii="Calibri" w:eastAsia="Times New Roman" w:hAnsi="Calibri"/>
                <w:color w:val="000000"/>
              </w:rPr>
            </w:pPr>
            <w:r w:rsidRPr="00E46882">
              <w:rPr>
                <w:rFonts w:ascii="Calibri" w:eastAsia="Times New Roman" w:hAnsi="Calibri"/>
                <w:color w:val="000000"/>
              </w:rPr>
              <w:t> </w:t>
            </w:r>
          </w:p>
        </w:tc>
        <w:tc>
          <w:tcPr>
            <w:tcW w:w="3827" w:type="dxa"/>
            <w:tcBorders>
              <w:top w:val="single" w:sz="4" w:space="0" w:color="auto"/>
              <w:left w:val="nil"/>
              <w:bottom w:val="single" w:sz="4" w:space="0" w:color="auto"/>
              <w:right w:val="single" w:sz="4" w:space="0" w:color="auto"/>
            </w:tcBorders>
            <w:shd w:val="clear" w:color="auto" w:fill="auto"/>
            <w:vAlign w:val="bottom"/>
            <w:hideMark/>
          </w:tcPr>
          <w:p w14:paraId="1A75F7CC" w14:textId="77777777" w:rsidR="00B0025E" w:rsidRPr="00E46882" w:rsidRDefault="00B0025E" w:rsidP="00B0025E">
            <w:pPr>
              <w:suppressAutoHyphens w:val="0"/>
              <w:spacing w:before="0" w:after="0"/>
              <w:jc w:val="center"/>
              <w:rPr>
                <w:rFonts w:ascii="Calibri" w:eastAsia="Times New Roman" w:hAnsi="Calibri"/>
                <w:color w:val="000000"/>
              </w:rPr>
            </w:pPr>
            <w:r w:rsidRPr="00B0025E">
              <w:rPr>
                <w:rFonts w:ascii="Calibri" w:hAnsi="Calibri"/>
                <w:b/>
                <w:sz w:val="20"/>
                <w:szCs w:val="20"/>
              </w:rPr>
              <w:t>Participants with Increased Income/ Livelihood (Weighted %) (n=185</w:t>
            </w:r>
            <w:r>
              <w:rPr>
                <w:rFonts w:ascii="Calibri" w:eastAsia="Times New Roman" w:hAnsi="Calibri"/>
                <w:color w:val="000000"/>
              </w:rPr>
              <w:t>)</w:t>
            </w:r>
          </w:p>
        </w:tc>
      </w:tr>
      <w:tr w:rsidR="00B0025E" w:rsidRPr="00E46882" w14:paraId="76E4B512" w14:textId="77777777" w:rsidTr="00B0025E">
        <w:trPr>
          <w:trHeight w:val="26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14:paraId="10188961" w14:textId="77777777" w:rsidR="00B0025E" w:rsidRPr="00B0025E" w:rsidRDefault="00B0025E" w:rsidP="00B0025E">
            <w:pPr>
              <w:pStyle w:val="TableText"/>
            </w:pPr>
            <w:r w:rsidRPr="00B0025E">
              <w:t xml:space="preserve">Accredited Training Participants </w:t>
            </w:r>
          </w:p>
        </w:tc>
        <w:tc>
          <w:tcPr>
            <w:tcW w:w="3827" w:type="dxa"/>
            <w:tcBorders>
              <w:top w:val="nil"/>
              <w:left w:val="nil"/>
              <w:bottom w:val="single" w:sz="4" w:space="0" w:color="auto"/>
              <w:right w:val="single" w:sz="4" w:space="0" w:color="auto"/>
            </w:tcBorders>
            <w:shd w:val="clear" w:color="auto" w:fill="auto"/>
            <w:noWrap/>
            <w:vAlign w:val="bottom"/>
            <w:hideMark/>
          </w:tcPr>
          <w:p w14:paraId="185B053D" w14:textId="77777777" w:rsidR="00B0025E" w:rsidRPr="00E46882" w:rsidRDefault="00B0025E" w:rsidP="00B0025E">
            <w:pPr>
              <w:pStyle w:val="dataannextabletext"/>
            </w:pPr>
            <w:r w:rsidRPr="00E46882">
              <w:t>44%</w:t>
            </w:r>
          </w:p>
        </w:tc>
      </w:tr>
      <w:tr w:rsidR="00B0025E" w:rsidRPr="00E46882" w14:paraId="1238E072" w14:textId="77777777" w:rsidTr="00B0025E">
        <w:trPr>
          <w:trHeight w:val="26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14:paraId="3F03716B" w14:textId="77777777" w:rsidR="00B0025E" w:rsidRPr="00B0025E" w:rsidRDefault="00B0025E" w:rsidP="00B0025E">
            <w:pPr>
              <w:pStyle w:val="TableText"/>
            </w:pPr>
            <w:r w:rsidRPr="00B0025E">
              <w:t>Business Development Participants</w:t>
            </w:r>
          </w:p>
        </w:tc>
        <w:tc>
          <w:tcPr>
            <w:tcW w:w="3827" w:type="dxa"/>
            <w:tcBorders>
              <w:top w:val="nil"/>
              <w:left w:val="nil"/>
              <w:bottom w:val="single" w:sz="4" w:space="0" w:color="auto"/>
              <w:right w:val="single" w:sz="4" w:space="0" w:color="auto"/>
            </w:tcBorders>
            <w:shd w:val="clear" w:color="auto" w:fill="auto"/>
            <w:noWrap/>
            <w:vAlign w:val="bottom"/>
            <w:hideMark/>
          </w:tcPr>
          <w:p w14:paraId="0222F5B5" w14:textId="77777777" w:rsidR="00B0025E" w:rsidRPr="00E46882" w:rsidRDefault="00B0025E" w:rsidP="00B0025E">
            <w:pPr>
              <w:pStyle w:val="dataannextabletext"/>
            </w:pPr>
            <w:r w:rsidRPr="00E46882">
              <w:t>74%</w:t>
            </w:r>
          </w:p>
        </w:tc>
      </w:tr>
    </w:tbl>
    <w:p w14:paraId="2B073807" w14:textId="77777777" w:rsidR="00B0025E" w:rsidRDefault="00B0025E" w:rsidP="00B0025E">
      <w:r>
        <w:t>(</w:t>
      </w:r>
      <w:r w:rsidRPr="00E46882">
        <w:t>incomeupbyactivitytype_wt</w:t>
      </w:r>
      <w:r>
        <w:t>, 141126crosstabs_SW)</w:t>
      </w:r>
    </w:p>
    <w:p w14:paraId="64C20219" w14:textId="254862A6" w:rsidR="00B0025E" w:rsidRDefault="00B0025E" w:rsidP="00B0025E">
      <w:r w:rsidRPr="00E46882">
        <w:t xml:space="preserve">This data </w:t>
      </w:r>
      <w:r w:rsidR="00164CE5">
        <w:t>suggests</w:t>
      </w:r>
      <w:r w:rsidRPr="00E46882">
        <w:t xml:space="preserve"> that an estimated 44% of participants in accredited training have increased their income / livelihood. By comparison, an estimated 74% of BDS participants have increased their income/livelihood. </w:t>
      </w:r>
      <w:r w:rsidR="0061380D">
        <w:t xml:space="preserve">However the data set remains to small to reach firm conclusions on this question, particularly in light of the very small number of accredited training participants in the second sample. </w:t>
      </w:r>
      <w:r w:rsidRPr="00E46882">
        <w:t>As we continue to expand our data set we will increasingly be able to examine this to assist us to consider whether BDS is more effective than accredited training - although we note it will be difficult to isolate this as the determining variable - because other factors such as the sector in which participants work may be equally or more influential of their income outcomes.</w:t>
      </w:r>
    </w:p>
    <w:tbl>
      <w:tblPr>
        <w:tblW w:w="7528" w:type="dxa"/>
        <w:tblInd w:w="93" w:type="dxa"/>
        <w:tblLayout w:type="fixed"/>
        <w:tblLook w:val="04A0" w:firstRow="1" w:lastRow="0" w:firstColumn="1" w:lastColumn="0" w:noHBand="0" w:noVBand="1"/>
      </w:tblPr>
      <w:tblGrid>
        <w:gridCol w:w="3701"/>
        <w:gridCol w:w="3827"/>
      </w:tblGrid>
      <w:tr w:rsidR="00B0025E" w:rsidRPr="00080A23" w14:paraId="408E8BA0" w14:textId="77777777" w:rsidTr="00B0025E">
        <w:trPr>
          <w:trHeight w:val="333"/>
        </w:trPr>
        <w:tc>
          <w:tcPr>
            <w:tcW w:w="7528" w:type="dxa"/>
            <w:gridSpan w:val="2"/>
            <w:tcBorders>
              <w:top w:val="nil"/>
              <w:left w:val="nil"/>
              <w:bottom w:val="nil"/>
            </w:tcBorders>
            <w:shd w:val="clear" w:color="auto" w:fill="auto"/>
            <w:noWrap/>
            <w:vAlign w:val="bottom"/>
          </w:tcPr>
          <w:p w14:paraId="01D76D73" w14:textId="580D113F" w:rsidR="00B0025E" w:rsidRPr="00B0025E" w:rsidRDefault="0061380D" w:rsidP="00B0025E">
            <w:pPr>
              <w:pStyle w:val="TableHeading"/>
            </w:pPr>
            <w:r>
              <w:t xml:space="preserve">Data Table 6: </w:t>
            </w:r>
            <w:r w:rsidR="00B0025E" w:rsidRPr="00B0025E">
              <w:t xml:space="preserve">Increased Income/ Livelihood – All Participants </w:t>
            </w:r>
          </w:p>
        </w:tc>
      </w:tr>
      <w:tr w:rsidR="00B0025E" w:rsidRPr="00080A23" w14:paraId="64D83E4A" w14:textId="77777777" w:rsidTr="00B0025E">
        <w:trPr>
          <w:trHeight w:val="780"/>
        </w:trPr>
        <w:tc>
          <w:tcPr>
            <w:tcW w:w="3701" w:type="dxa"/>
            <w:tcBorders>
              <w:top w:val="single" w:sz="4" w:space="0" w:color="auto"/>
              <w:left w:val="single" w:sz="4" w:space="0" w:color="auto"/>
              <w:bottom w:val="single" w:sz="4" w:space="0" w:color="auto"/>
              <w:right w:val="nil"/>
            </w:tcBorders>
            <w:shd w:val="clear" w:color="auto" w:fill="auto"/>
            <w:noWrap/>
            <w:vAlign w:val="center"/>
            <w:hideMark/>
          </w:tcPr>
          <w:p w14:paraId="378F5178" w14:textId="77777777" w:rsidR="00B0025E" w:rsidRPr="00B0025E" w:rsidRDefault="00B0025E" w:rsidP="00B0025E">
            <w:pPr>
              <w:pStyle w:val="TableHeading"/>
            </w:pPr>
            <w:r w:rsidRPr="00B0025E">
              <w:t>Sector of TVET Centre Activity</w:t>
            </w:r>
          </w:p>
        </w:tc>
        <w:tc>
          <w:tcPr>
            <w:tcW w:w="3827" w:type="dxa"/>
            <w:tcBorders>
              <w:top w:val="single" w:sz="4" w:space="0" w:color="auto"/>
              <w:left w:val="single" w:sz="4" w:space="0" w:color="auto"/>
              <w:bottom w:val="nil"/>
              <w:right w:val="single" w:sz="4" w:space="0" w:color="auto"/>
            </w:tcBorders>
            <w:shd w:val="clear" w:color="auto" w:fill="auto"/>
            <w:vAlign w:val="center"/>
            <w:hideMark/>
          </w:tcPr>
          <w:p w14:paraId="103538FF" w14:textId="77777777" w:rsidR="00B0025E" w:rsidRPr="00B0025E" w:rsidRDefault="00B0025E" w:rsidP="00B0025E">
            <w:pPr>
              <w:pStyle w:val="TableHeading"/>
            </w:pPr>
            <w:r w:rsidRPr="00B0025E">
              <w:t>Increased Income/ Livelihood (Weighted %) (n=185)</w:t>
            </w:r>
          </w:p>
        </w:tc>
      </w:tr>
      <w:tr w:rsidR="00B0025E" w:rsidRPr="00080A23" w14:paraId="73C033D3" w14:textId="77777777" w:rsidTr="00B0025E">
        <w:trPr>
          <w:trHeight w:val="260"/>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A8ACD" w14:textId="77777777" w:rsidR="00B0025E" w:rsidRPr="00B0025E" w:rsidRDefault="00B0025E" w:rsidP="00B0025E">
            <w:pPr>
              <w:pStyle w:val="TableText"/>
            </w:pPr>
            <w:r w:rsidRPr="00B0025E">
              <w:t xml:space="preserve">Business </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90BC639" w14:textId="77777777" w:rsidR="00B0025E" w:rsidRPr="00080A23" w:rsidRDefault="00B0025E" w:rsidP="00B0025E">
            <w:pPr>
              <w:pStyle w:val="dataannextabletext"/>
            </w:pPr>
            <w:r w:rsidRPr="00080A23">
              <w:t>90%</w:t>
            </w:r>
          </w:p>
        </w:tc>
      </w:tr>
      <w:tr w:rsidR="00B0025E" w:rsidRPr="00080A23" w14:paraId="2A97C534" w14:textId="77777777" w:rsidTr="00B0025E">
        <w:trPr>
          <w:trHeight w:val="26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14:paraId="2F910B8E" w14:textId="77777777" w:rsidR="00B0025E" w:rsidRPr="00B0025E" w:rsidRDefault="00B0025E" w:rsidP="00B0025E">
            <w:pPr>
              <w:pStyle w:val="TableText"/>
            </w:pPr>
            <w:r w:rsidRPr="00B0025E">
              <w:t>Fisheries</w:t>
            </w:r>
          </w:p>
        </w:tc>
        <w:tc>
          <w:tcPr>
            <w:tcW w:w="3827" w:type="dxa"/>
            <w:tcBorders>
              <w:top w:val="nil"/>
              <w:left w:val="nil"/>
              <w:bottom w:val="single" w:sz="4" w:space="0" w:color="auto"/>
              <w:right w:val="single" w:sz="4" w:space="0" w:color="auto"/>
            </w:tcBorders>
            <w:shd w:val="clear" w:color="auto" w:fill="auto"/>
            <w:noWrap/>
            <w:vAlign w:val="bottom"/>
            <w:hideMark/>
          </w:tcPr>
          <w:p w14:paraId="6A75219F" w14:textId="77777777" w:rsidR="00B0025E" w:rsidRPr="00080A23" w:rsidRDefault="00B0025E" w:rsidP="00B0025E">
            <w:pPr>
              <w:pStyle w:val="dataannextabletext"/>
            </w:pPr>
            <w:r w:rsidRPr="00080A23">
              <w:t>33%</w:t>
            </w:r>
          </w:p>
        </w:tc>
      </w:tr>
      <w:tr w:rsidR="00B0025E" w:rsidRPr="00080A23" w14:paraId="102D1898" w14:textId="77777777" w:rsidTr="00B0025E">
        <w:trPr>
          <w:trHeight w:val="26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14:paraId="1B7519B6" w14:textId="77777777" w:rsidR="00B0025E" w:rsidRPr="00B0025E" w:rsidRDefault="00B0025E" w:rsidP="00B0025E">
            <w:pPr>
              <w:pStyle w:val="TableText"/>
            </w:pPr>
            <w:r w:rsidRPr="00B0025E">
              <w:t>IT</w:t>
            </w:r>
          </w:p>
        </w:tc>
        <w:tc>
          <w:tcPr>
            <w:tcW w:w="3827" w:type="dxa"/>
            <w:tcBorders>
              <w:top w:val="nil"/>
              <w:left w:val="nil"/>
              <w:bottom w:val="single" w:sz="4" w:space="0" w:color="auto"/>
              <w:right w:val="single" w:sz="4" w:space="0" w:color="auto"/>
            </w:tcBorders>
            <w:shd w:val="clear" w:color="auto" w:fill="auto"/>
            <w:noWrap/>
            <w:vAlign w:val="bottom"/>
            <w:hideMark/>
          </w:tcPr>
          <w:p w14:paraId="766808F8" w14:textId="77777777" w:rsidR="00B0025E" w:rsidRPr="00080A23" w:rsidRDefault="00B0025E" w:rsidP="00B0025E">
            <w:pPr>
              <w:pStyle w:val="dataannextabletext"/>
            </w:pPr>
            <w:r w:rsidRPr="00080A23">
              <w:t>32%</w:t>
            </w:r>
          </w:p>
        </w:tc>
      </w:tr>
      <w:tr w:rsidR="00B0025E" w:rsidRPr="00080A23" w14:paraId="054EB203" w14:textId="77777777" w:rsidTr="00B0025E">
        <w:trPr>
          <w:trHeight w:val="26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14:paraId="2D15347F" w14:textId="77777777" w:rsidR="00B0025E" w:rsidRPr="00B0025E" w:rsidRDefault="00B0025E" w:rsidP="00B0025E">
            <w:pPr>
              <w:pStyle w:val="TableText"/>
            </w:pPr>
            <w:r w:rsidRPr="00B0025E">
              <w:t>Manufacturing</w:t>
            </w:r>
          </w:p>
        </w:tc>
        <w:tc>
          <w:tcPr>
            <w:tcW w:w="3827" w:type="dxa"/>
            <w:tcBorders>
              <w:top w:val="nil"/>
              <w:left w:val="nil"/>
              <w:bottom w:val="single" w:sz="4" w:space="0" w:color="auto"/>
              <w:right w:val="single" w:sz="4" w:space="0" w:color="auto"/>
            </w:tcBorders>
            <w:shd w:val="clear" w:color="auto" w:fill="auto"/>
            <w:noWrap/>
            <w:vAlign w:val="bottom"/>
            <w:hideMark/>
          </w:tcPr>
          <w:p w14:paraId="218BA53C" w14:textId="77777777" w:rsidR="00B0025E" w:rsidRPr="00080A23" w:rsidRDefault="00B0025E" w:rsidP="00B0025E">
            <w:pPr>
              <w:pStyle w:val="dataannextabletext"/>
            </w:pPr>
            <w:r w:rsidRPr="00080A23">
              <w:t>54%</w:t>
            </w:r>
          </w:p>
        </w:tc>
      </w:tr>
      <w:tr w:rsidR="00B0025E" w:rsidRPr="00080A23" w14:paraId="1BC8E18D" w14:textId="77777777" w:rsidTr="00B0025E">
        <w:trPr>
          <w:trHeight w:val="26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14:paraId="370FCDF2" w14:textId="77777777" w:rsidR="00B0025E" w:rsidRPr="00B0025E" w:rsidRDefault="00B0025E" w:rsidP="00B0025E">
            <w:pPr>
              <w:pStyle w:val="TableText"/>
            </w:pPr>
            <w:r w:rsidRPr="00B0025E">
              <w:t>Tourism</w:t>
            </w:r>
          </w:p>
        </w:tc>
        <w:tc>
          <w:tcPr>
            <w:tcW w:w="3827" w:type="dxa"/>
            <w:tcBorders>
              <w:top w:val="nil"/>
              <w:left w:val="nil"/>
              <w:bottom w:val="single" w:sz="4" w:space="0" w:color="auto"/>
              <w:right w:val="single" w:sz="4" w:space="0" w:color="auto"/>
            </w:tcBorders>
            <w:shd w:val="clear" w:color="auto" w:fill="auto"/>
            <w:noWrap/>
            <w:vAlign w:val="bottom"/>
            <w:hideMark/>
          </w:tcPr>
          <w:p w14:paraId="745C80DF" w14:textId="77777777" w:rsidR="00B0025E" w:rsidRPr="00080A23" w:rsidRDefault="00B0025E" w:rsidP="00B0025E">
            <w:pPr>
              <w:pStyle w:val="dataannextabletext"/>
            </w:pPr>
            <w:r w:rsidRPr="00080A23">
              <w:t>85%</w:t>
            </w:r>
          </w:p>
        </w:tc>
      </w:tr>
      <w:tr w:rsidR="00B0025E" w:rsidRPr="00080A23" w14:paraId="7E4A354C" w14:textId="77777777" w:rsidTr="00B0025E">
        <w:trPr>
          <w:trHeight w:val="26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14:paraId="04819F7D" w14:textId="77777777" w:rsidR="00B0025E" w:rsidRPr="00B0025E" w:rsidRDefault="00B0025E" w:rsidP="00B0025E">
            <w:pPr>
              <w:pStyle w:val="TableText"/>
            </w:pPr>
            <w:r w:rsidRPr="00B0025E">
              <w:t xml:space="preserve">Trades &amp; Services </w:t>
            </w:r>
          </w:p>
        </w:tc>
        <w:tc>
          <w:tcPr>
            <w:tcW w:w="3827" w:type="dxa"/>
            <w:tcBorders>
              <w:top w:val="nil"/>
              <w:left w:val="nil"/>
              <w:bottom w:val="single" w:sz="4" w:space="0" w:color="auto"/>
              <w:right w:val="single" w:sz="4" w:space="0" w:color="auto"/>
            </w:tcBorders>
            <w:shd w:val="clear" w:color="auto" w:fill="auto"/>
            <w:noWrap/>
            <w:vAlign w:val="bottom"/>
            <w:hideMark/>
          </w:tcPr>
          <w:p w14:paraId="7BD039E6" w14:textId="77777777" w:rsidR="00B0025E" w:rsidRPr="00080A23" w:rsidRDefault="00B0025E" w:rsidP="00B0025E">
            <w:pPr>
              <w:pStyle w:val="dataannextabletext"/>
            </w:pPr>
            <w:r w:rsidRPr="00080A23">
              <w:t>50%</w:t>
            </w:r>
          </w:p>
        </w:tc>
      </w:tr>
      <w:tr w:rsidR="00B0025E" w:rsidRPr="00080A23" w14:paraId="22C2AC58" w14:textId="77777777" w:rsidTr="00B0025E">
        <w:trPr>
          <w:trHeight w:val="26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14:paraId="7FEB917A" w14:textId="77777777" w:rsidR="00B0025E" w:rsidRPr="00B0025E" w:rsidRDefault="00B0025E" w:rsidP="00B0025E">
            <w:pPr>
              <w:pStyle w:val="TableText"/>
            </w:pPr>
            <w:r w:rsidRPr="00B0025E">
              <w:t xml:space="preserve">Other </w:t>
            </w:r>
          </w:p>
        </w:tc>
        <w:tc>
          <w:tcPr>
            <w:tcW w:w="3827" w:type="dxa"/>
            <w:tcBorders>
              <w:top w:val="nil"/>
              <w:left w:val="nil"/>
              <w:bottom w:val="single" w:sz="4" w:space="0" w:color="auto"/>
              <w:right w:val="single" w:sz="4" w:space="0" w:color="auto"/>
            </w:tcBorders>
            <w:shd w:val="clear" w:color="auto" w:fill="auto"/>
            <w:noWrap/>
            <w:vAlign w:val="bottom"/>
            <w:hideMark/>
          </w:tcPr>
          <w:p w14:paraId="0B38F2AE" w14:textId="77777777" w:rsidR="00B0025E" w:rsidRPr="00080A23" w:rsidRDefault="00B0025E" w:rsidP="00B0025E">
            <w:pPr>
              <w:pStyle w:val="dataannextabletext"/>
            </w:pPr>
            <w:r w:rsidRPr="00080A23">
              <w:t>52%</w:t>
            </w:r>
          </w:p>
        </w:tc>
      </w:tr>
    </w:tbl>
    <w:p w14:paraId="215A691D" w14:textId="77777777" w:rsidR="00B0025E" w:rsidRDefault="00B0025E" w:rsidP="00B0025E">
      <w:r>
        <w:t>(</w:t>
      </w:r>
      <w:r w:rsidRPr="00080A23">
        <w:t>incomeupbysector_wt</w:t>
      </w:r>
      <w:r>
        <w:t>, 141126crosstabs_SW)</w:t>
      </w:r>
    </w:p>
    <w:p w14:paraId="3FCA0347" w14:textId="5CDAF146" w:rsidR="00B0025E" w:rsidRDefault="00B0025E" w:rsidP="00B0025E">
      <w:r>
        <w:t xml:space="preserve">Participants participating in TVET Centre activities in Business and Tourism </w:t>
      </w:r>
      <w:r w:rsidR="00FC6030">
        <w:t>appear to be</w:t>
      </w:r>
      <w:r>
        <w:t xml:space="preserve"> doing very well; those participating in Fisheries and IT, much less so. </w:t>
      </w:r>
      <w:r w:rsidR="00FC6030">
        <w:t xml:space="preserve">This </w:t>
      </w:r>
      <w:r w:rsidR="00FC6030" w:rsidRPr="00FC6030">
        <w:t>may s</w:t>
      </w:r>
      <w:r w:rsidR="00FC6030">
        <w:t xml:space="preserve">uggest that participants in some sectors are much more commonly able to increase their incomes/ livelihoods than others. </w:t>
      </w:r>
      <w:r>
        <w:t xml:space="preserve">The sector in which a participant receives training may therefore influence the extent to which they can then improve their incomes; however it is unlikely to be the single determining factor. </w:t>
      </w:r>
      <w:r w:rsidR="0061380D">
        <w:t xml:space="preserve">However the data set is much to small to draw these conclusions </w:t>
      </w:r>
      <w:r w:rsidR="0061380D">
        <w:lastRenderedPageBreak/>
        <w:t xml:space="preserve">yet; analysis at the end of 2015 will be a more solid basis to conclude whether there are sectoral differences in outcome. </w:t>
      </w:r>
    </w:p>
    <w:p w14:paraId="43EC92FC" w14:textId="77777777" w:rsidR="00B0025E" w:rsidRDefault="00B0025E" w:rsidP="002F1248">
      <w:pPr>
        <w:pStyle w:val="Heading3"/>
      </w:pPr>
      <w:r>
        <w:t xml:space="preserve">Experiences of Women </w:t>
      </w:r>
    </w:p>
    <w:tbl>
      <w:tblPr>
        <w:tblW w:w="4693" w:type="dxa"/>
        <w:tblInd w:w="93" w:type="dxa"/>
        <w:tblLayout w:type="fixed"/>
        <w:tblLook w:val="04A0" w:firstRow="1" w:lastRow="0" w:firstColumn="1" w:lastColumn="0" w:noHBand="0" w:noVBand="1"/>
      </w:tblPr>
      <w:tblGrid>
        <w:gridCol w:w="1575"/>
        <w:gridCol w:w="3118"/>
      </w:tblGrid>
      <w:tr w:rsidR="00B0025E" w:rsidRPr="00C1060F" w14:paraId="6921C079" w14:textId="77777777" w:rsidTr="00B0025E">
        <w:trPr>
          <w:trHeight w:val="260"/>
        </w:trPr>
        <w:tc>
          <w:tcPr>
            <w:tcW w:w="4693" w:type="dxa"/>
            <w:gridSpan w:val="2"/>
            <w:tcBorders>
              <w:top w:val="nil"/>
              <w:left w:val="nil"/>
              <w:bottom w:val="nil"/>
              <w:right w:val="nil"/>
            </w:tcBorders>
            <w:shd w:val="clear" w:color="auto" w:fill="auto"/>
            <w:noWrap/>
            <w:vAlign w:val="bottom"/>
            <w:hideMark/>
          </w:tcPr>
          <w:p w14:paraId="65CF9F5E" w14:textId="085B8C7C" w:rsidR="00B0025E" w:rsidRPr="00B0025E" w:rsidRDefault="0061380D" w:rsidP="00B0025E">
            <w:pPr>
              <w:pStyle w:val="TableHeading"/>
            </w:pPr>
            <w:r>
              <w:t xml:space="preserve">Data Table 7: </w:t>
            </w:r>
            <w:r w:rsidR="00B0025E" w:rsidRPr="00B0025E">
              <w:t xml:space="preserve">Income Increase - All Participants </w:t>
            </w:r>
          </w:p>
        </w:tc>
      </w:tr>
      <w:tr w:rsidR="00B0025E" w:rsidRPr="00C1060F" w14:paraId="6BDAC70A" w14:textId="77777777" w:rsidTr="00B0025E">
        <w:trPr>
          <w:trHeight w:val="26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1CE4E" w14:textId="77777777" w:rsidR="00B0025E" w:rsidRPr="00B0025E" w:rsidRDefault="00B0025E" w:rsidP="00B0025E">
            <w:pPr>
              <w:pStyle w:val="TableHeading"/>
            </w:pPr>
            <w:r w:rsidRPr="00B0025E">
              <w:t> </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47B452D6" w14:textId="77777777" w:rsidR="00B0025E" w:rsidRPr="00B0025E" w:rsidRDefault="00B0025E" w:rsidP="00B0025E">
            <w:pPr>
              <w:pStyle w:val="TableHeading"/>
            </w:pPr>
            <w:r w:rsidRPr="00B0025E">
              <w:t>Increased Income (weighted %) (n=185)</w:t>
            </w:r>
          </w:p>
        </w:tc>
      </w:tr>
      <w:tr w:rsidR="00B0025E" w:rsidRPr="00C1060F" w14:paraId="75960E9F" w14:textId="77777777" w:rsidTr="00B0025E">
        <w:trPr>
          <w:trHeight w:val="26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312A8AB" w14:textId="77777777" w:rsidR="00B0025E" w:rsidRPr="00B0025E" w:rsidRDefault="00B0025E" w:rsidP="00B0025E">
            <w:pPr>
              <w:pStyle w:val="TableText"/>
            </w:pPr>
            <w:r w:rsidRPr="00B0025E">
              <w:t>Female</w:t>
            </w:r>
          </w:p>
        </w:tc>
        <w:tc>
          <w:tcPr>
            <w:tcW w:w="3118" w:type="dxa"/>
            <w:tcBorders>
              <w:top w:val="nil"/>
              <w:left w:val="nil"/>
              <w:bottom w:val="single" w:sz="4" w:space="0" w:color="auto"/>
              <w:right w:val="single" w:sz="4" w:space="0" w:color="auto"/>
            </w:tcBorders>
            <w:shd w:val="clear" w:color="auto" w:fill="auto"/>
            <w:noWrap/>
            <w:vAlign w:val="bottom"/>
            <w:hideMark/>
          </w:tcPr>
          <w:p w14:paraId="3DDD8076" w14:textId="77777777" w:rsidR="00B0025E" w:rsidRPr="00B0025E" w:rsidRDefault="00B0025E" w:rsidP="00B0025E">
            <w:pPr>
              <w:pStyle w:val="dataannextabletext"/>
            </w:pPr>
            <w:r w:rsidRPr="00B0025E">
              <w:t>65%</w:t>
            </w:r>
          </w:p>
        </w:tc>
      </w:tr>
      <w:tr w:rsidR="00B0025E" w:rsidRPr="00C1060F" w14:paraId="06A76F07" w14:textId="77777777" w:rsidTr="00B0025E">
        <w:trPr>
          <w:trHeight w:val="26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8BBEF36" w14:textId="77777777" w:rsidR="00B0025E" w:rsidRPr="00B0025E" w:rsidRDefault="00B0025E" w:rsidP="00B0025E">
            <w:pPr>
              <w:pStyle w:val="TableText"/>
            </w:pPr>
            <w:r w:rsidRPr="00B0025E">
              <w:t xml:space="preserve">Male </w:t>
            </w:r>
          </w:p>
        </w:tc>
        <w:tc>
          <w:tcPr>
            <w:tcW w:w="3118" w:type="dxa"/>
            <w:tcBorders>
              <w:top w:val="nil"/>
              <w:left w:val="nil"/>
              <w:bottom w:val="single" w:sz="4" w:space="0" w:color="auto"/>
              <w:right w:val="single" w:sz="4" w:space="0" w:color="auto"/>
            </w:tcBorders>
            <w:shd w:val="clear" w:color="auto" w:fill="auto"/>
            <w:noWrap/>
            <w:vAlign w:val="bottom"/>
            <w:hideMark/>
          </w:tcPr>
          <w:p w14:paraId="7CD4B16C" w14:textId="77777777" w:rsidR="00B0025E" w:rsidRPr="00B0025E" w:rsidRDefault="00B0025E" w:rsidP="00B0025E">
            <w:pPr>
              <w:pStyle w:val="dataannextabletext"/>
            </w:pPr>
            <w:r w:rsidRPr="00B0025E">
              <w:t>59%</w:t>
            </w:r>
          </w:p>
        </w:tc>
      </w:tr>
    </w:tbl>
    <w:p w14:paraId="605B1D82" w14:textId="77777777" w:rsidR="00B0025E" w:rsidRDefault="00B0025E" w:rsidP="00B0025E">
      <w:r>
        <w:t>(</w:t>
      </w:r>
      <w:r w:rsidRPr="00C1060F">
        <w:t>incomeupbysex_wt</w:t>
      </w:r>
      <w:r>
        <w:t>, 141126crosstabs_SW)</w:t>
      </w:r>
    </w:p>
    <w:p w14:paraId="529E157E" w14:textId="3CF56466" w:rsidR="00B0025E" w:rsidRPr="0088092E" w:rsidRDefault="00B0025E" w:rsidP="00B0025E">
      <w:r>
        <w:t xml:space="preserve">Overall, it seems that women participants are increasing their income more often than men are; with an estimated 65% of women participants compared to 59% of men reporting increased income. </w:t>
      </w:r>
    </w:p>
    <w:tbl>
      <w:tblPr>
        <w:tblW w:w="4693" w:type="dxa"/>
        <w:tblInd w:w="93" w:type="dxa"/>
        <w:tblLayout w:type="fixed"/>
        <w:tblLook w:val="04A0" w:firstRow="1" w:lastRow="0" w:firstColumn="1" w:lastColumn="0" w:noHBand="0" w:noVBand="1"/>
      </w:tblPr>
      <w:tblGrid>
        <w:gridCol w:w="1575"/>
        <w:gridCol w:w="3118"/>
      </w:tblGrid>
      <w:tr w:rsidR="00B0025E" w:rsidRPr="00B91B1C" w14:paraId="6A6BA070" w14:textId="77777777" w:rsidTr="00B0025E">
        <w:trPr>
          <w:trHeight w:val="260"/>
        </w:trPr>
        <w:tc>
          <w:tcPr>
            <w:tcW w:w="4693" w:type="dxa"/>
            <w:gridSpan w:val="2"/>
            <w:tcBorders>
              <w:top w:val="nil"/>
              <w:left w:val="nil"/>
              <w:bottom w:val="nil"/>
              <w:right w:val="nil"/>
            </w:tcBorders>
            <w:shd w:val="clear" w:color="auto" w:fill="auto"/>
            <w:noWrap/>
            <w:vAlign w:val="bottom"/>
            <w:hideMark/>
          </w:tcPr>
          <w:p w14:paraId="15AB5F17" w14:textId="3B2933E2" w:rsidR="00B0025E" w:rsidRPr="00B0025E" w:rsidRDefault="0061380D" w:rsidP="00B0025E">
            <w:pPr>
              <w:pStyle w:val="TableHeading"/>
            </w:pPr>
            <w:r>
              <w:t xml:space="preserve">Data Table 8: </w:t>
            </w:r>
            <w:r w:rsidR="00B0025E" w:rsidRPr="00B0025E">
              <w:t xml:space="preserve">Income Improvements - Employed Participants </w:t>
            </w:r>
          </w:p>
        </w:tc>
      </w:tr>
      <w:tr w:rsidR="00B0025E" w:rsidRPr="00B91B1C" w14:paraId="3859D90D" w14:textId="77777777" w:rsidTr="00B0025E">
        <w:trPr>
          <w:trHeight w:val="26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6D389" w14:textId="77777777" w:rsidR="00B0025E" w:rsidRPr="00B91B1C" w:rsidRDefault="00B0025E" w:rsidP="00B0025E">
            <w:pPr>
              <w:suppressAutoHyphens w:val="0"/>
              <w:spacing w:before="0" w:after="0"/>
              <w:rPr>
                <w:rFonts w:ascii="MS Sans Serif" w:eastAsia="Times New Roman" w:hAnsi="MS Sans Serif"/>
                <w:sz w:val="20"/>
                <w:szCs w:val="20"/>
              </w:rPr>
            </w:pPr>
            <w:r w:rsidRPr="00B91B1C">
              <w:rPr>
                <w:rFonts w:ascii="MS Sans Serif" w:eastAsia="Times New Roman" w:hAnsi="MS Sans Serif"/>
                <w:sz w:val="20"/>
                <w:szCs w:val="20"/>
              </w:rPr>
              <w:t> </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411E095C" w14:textId="77777777" w:rsidR="00B0025E" w:rsidRPr="00B0025E" w:rsidRDefault="00B0025E" w:rsidP="00B0025E">
            <w:pPr>
              <w:pStyle w:val="TableHeading"/>
            </w:pPr>
            <w:r w:rsidRPr="00B0025E">
              <w:t>Increased Income (weighted %) (n=39)</w:t>
            </w:r>
          </w:p>
        </w:tc>
      </w:tr>
      <w:tr w:rsidR="00B0025E" w:rsidRPr="00B91B1C" w14:paraId="231883C0" w14:textId="77777777" w:rsidTr="00B0025E">
        <w:trPr>
          <w:trHeight w:val="26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9E89E43" w14:textId="77777777" w:rsidR="00B0025E" w:rsidRPr="00B0025E" w:rsidRDefault="00B0025E" w:rsidP="00B0025E">
            <w:pPr>
              <w:pStyle w:val="TableText"/>
            </w:pPr>
            <w:r w:rsidRPr="00B0025E">
              <w:t xml:space="preserve">Female </w:t>
            </w:r>
          </w:p>
        </w:tc>
        <w:tc>
          <w:tcPr>
            <w:tcW w:w="3118" w:type="dxa"/>
            <w:tcBorders>
              <w:top w:val="nil"/>
              <w:left w:val="nil"/>
              <w:bottom w:val="single" w:sz="4" w:space="0" w:color="auto"/>
              <w:right w:val="single" w:sz="4" w:space="0" w:color="auto"/>
            </w:tcBorders>
            <w:shd w:val="clear" w:color="auto" w:fill="auto"/>
            <w:noWrap/>
            <w:vAlign w:val="bottom"/>
            <w:hideMark/>
          </w:tcPr>
          <w:p w14:paraId="1C0C68AD" w14:textId="77777777" w:rsidR="00B0025E" w:rsidRPr="00B0025E" w:rsidRDefault="00B0025E" w:rsidP="00B0025E">
            <w:pPr>
              <w:pStyle w:val="dataannextabletext"/>
            </w:pPr>
            <w:r w:rsidRPr="00B0025E">
              <w:t>11%</w:t>
            </w:r>
          </w:p>
        </w:tc>
      </w:tr>
      <w:tr w:rsidR="00B0025E" w:rsidRPr="00B91B1C" w14:paraId="2EABC783" w14:textId="77777777" w:rsidTr="00B0025E">
        <w:trPr>
          <w:trHeight w:val="26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E831A7D" w14:textId="77777777" w:rsidR="00B0025E" w:rsidRPr="00B0025E" w:rsidRDefault="00B0025E" w:rsidP="00B0025E">
            <w:pPr>
              <w:pStyle w:val="TableText"/>
            </w:pPr>
            <w:r w:rsidRPr="00B0025E">
              <w:t xml:space="preserve">Male </w:t>
            </w:r>
          </w:p>
        </w:tc>
        <w:tc>
          <w:tcPr>
            <w:tcW w:w="3118" w:type="dxa"/>
            <w:tcBorders>
              <w:top w:val="nil"/>
              <w:left w:val="nil"/>
              <w:bottom w:val="single" w:sz="4" w:space="0" w:color="auto"/>
              <w:right w:val="single" w:sz="4" w:space="0" w:color="auto"/>
            </w:tcBorders>
            <w:shd w:val="clear" w:color="auto" w:fill="auto"/>
            <w:noWrap/>
            <w:vAlign w:val="bottom"/>
            <w:hideMark/>
          </w:tcPr>
          <w:p w14:paraId="069C2107" w14:textId="77777777" w:rsidR="00B0025E" w:rsidRPr="00B0025E" w:rsidRDefault="00B0025E" w:rsidP="00B0025E">
            <w:pPr>
              <w:pStyle w:val="dataannextabletext"/>
            </w:pPr>
            <w:r w:rsidRPr="00B0025E">
              <w:t>22%</w:t>
            </w:r>
          </w:p>
        </w:tc>
      </w:tr>
    </w:tbl>
    <w:p w14:paraId="0F11A863" w14:textId="77777777" w:rsidR="00B0025E" w:rsidRDefault="00B0025E" w:rsidP="00B0025E">
      <w:r>
        <w:t>(</w:t>
      </w:r>
      <w:r w:rsidRPr="00B91B1C">
        <w:t>q14bysex_wt</w:t>
      </w:r>
      <w:r>
        <w:t>, 141126crosstabs_SW)</w:t>
      </w:r>
    </w:p>
    <w:tbl>
      <w:tblPr>
        <w:tblW w:w="4693" w:type="dxa"/>
        <w:tblInd w:w="93" w:type="dxa"/>
        <w:tblLayout w:type="fixed"/>
        <w:tblLook w:val="04A0" w:firstRow="1" w:lastRow="0" w:firstColumn="1" w:lastColumn="0" w:noHBand="0" w:noVBand="1"/>
      </w:tblPr>
      <w:tblGrid>
        <w:gridCol w:w="1575"/>
        <w:gridCol w:w="3118"/>
      </w:tblGrid>
      <w:tr w:rsidR="00B0025E" w:rsidRPr="00997CD8" w14:paraId="400EB116" w14:textId="77777777" w:rsidTr="00B0025E">
        <w:trPr>
          <w:trHeight w:val="260"/>
        </w:trPr>
        <w:tc>
          <w:tcPr>
            <w:tcW w:w="4693" w:type="dxa"/>
            <w:gridSpan w:val="2"/>
            <w:tcBorders>
              <w:top w:val="nil"/>
              <w:left w:val="nil"/>
              <w:bottom w:val="nil"/>
              <w:right w:val="nil"/>
            </w:tcBorders>
            <w:shd w:val="clear" w:color="auto" w:fill="auto"/>
            <w:noWrap/>
            <w:vAlign w:val="bottom"/>
            <w:hideMark/>
          </w:tcPr>
          <w:p w14:paraId="33758F7E" w14:textId="36B83FD7" w:rsidR="00B0025E" w:rsidRPr="00B0025E" w:rsidRDefault="0061380D" w:rsidP="00B0025E">
            <w:pPr>
              <w:pStyle w:val="TableHeading"/>
            </w:pPr>
            <w:r>
              <w:t xml:space="preserve">Data Table 9: </w:t>
            </w:r>
            <w:r w:rsidR="00B0025E" w:rsidRPr="00B0025E">
              <w:t xml:space="preserve">Income Improvements – Self-Employed Participants </w:t>
            </w:r>
          </w:p>
        </w:tc>
      </w:tr>
      <w:tr w:rsidR="00B0025E" w:rsidRPr="00997CD8" w14:paraId="431EA35C" w14:textId="77777777" w:rsidTr="00B0025E">
        <w:trPr>
          <w:trHeight w:val="26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C6A71" w14:textId="77777777" w:rsidR="00B0025E" w:rsidRPr="00997CD8" w:rsidRDefault="00B0025E" w:rsidP="00B0025E">
            <w:pPr>
              <w:suppressAutoHyphens w:val="0"/>
              <w:spacing w:before="0" w:after="0"/>
              <w:rPr>
                <w:rFonts w:ascii="MS Sans Serif" w:eastAsia="Times New Roman" w:hAnsi="MS Sans Serif"/>
                <w:sz w:val="20"/>
                <w:szCs w:val="20"/>
              </w:rPr>
            </w:pPr>
            <w:r w:rsidRPr="00997CD8">
              <w:rPr>
                <w:rFonts w:ascii="MS Sans Serif" w:eastAsia="Times New Roman" w:hAnsi="MS Sans Serif"/>
                <w:sz w:val="20"/>
                <w:szCs w:val="20"/>
              </w:rPr>
              <w:t> </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077C358A" w14:textId="77777777" w:rsidR="00B0025E" w:rsidRPr="00B0025E" w:rsidRDefault="00B0025E" w:rsidP="00B0025E">
            <w:pPr>
              <w:pStyle w:val="TableHeading"/>
            </w:pPr>
            <w:r w:rsidRPr="00B0025E">
              <w:t>Increased Income (weighted %) (n=46)</w:t>
            </w:r>
          </w:p>
        </w:tc>
      </w:tr>
      <w:tr w:rsidR="00B0025E" w:rsidRPr="00997CD8" w14:paraId="0C5F6AAE" w14:textId="77777777" w:rsidTr="00B0025E">
        <w:trPr>
          <w:trHeight w:val="26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96DCB0E" w14:textId="77777777" w:rsidR="00B0025E" w:rsidRPr="00B0025E" w:rsidRDefault="00B0025E" w:rsidP="00B0025E">
            <w:pPr>
              <w:pStyle w:val="TableText"/>
            </w:pPr>
            <w:r w:rsidRPr="00B0025E">
              <w:t xml:space="preserve">Female </w:t>
            </w:r>
          </w:p>
        </w:tc>
        <w:tc>
          <w:tcPr>
            <w:tcW w:w="3118" w:type="dxa"/>
            <w:tcBorders>
              <w:top w:val="nil"/>
              <w:left w:val="nil"/>
              <w:bottom w:val="single" w:sz="4" w:space="0" w:color="auto"/>
              <w:right w:val="single" w:sz="4" w:space="0" w:color="auto"/>
            </w:tcBorders>
            <w:shd w:val="clear" w:color="auto" w:fill="auto"/>
            <w:noWrap/>
            <w:vAlign w:val="bottom"/>
            <w:hideMark/>
          </w:tcPr>
          <w:p w14:paraId="54138844" w14:textId="77777777" w:rsidR="00B0025E" w:rsidRPr="00B0025E" w:rsidRDefault="00B0025E" w:rsidP="00B0025E">
            <w:pPr>
              <w:pStyle w:val="dataannextabletext"/>
            </w:pPr>
            <w:r w:rsidRPr="00B0025E">
              <w:t>88%</w:t>
            </w:r>
          </w:p>
        </w:tc>
      </w:tr>
      <w:tr w:rsidR="00B0025E" w:rsidRPr="00997CD8" w14:paraId="37CB2B06" w14:textId="77777777" w:rsidTr="00B0025E">
        <w:trPr>
          <w:trHeight w:val="26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38C3DBF" w14:textId="77777777" w:rsidR="00B0025E" w:rsidRPr="00B0025E" w:rsidRDefault="00B0025E" w:rsidP="00B0025E">
            <w:pPr>
              <w:pStyle w:val="TableText"/>
            </w:pPr>
            <w:r w:rsidRPr="00B0025E">
              <w:t xml:space="preserve">Male </w:t>
            </w:r>
          </w:p>
        </w:tc>
        <w:tc>
          <w:tcPr>
            <w:tcW w:w="3118" w:type="dxa"/>
            <w:tcBorders>
              <w:top w:val="nil"/>
              <w:left w:val="nil"/>
              <w:bottom w:val="single" w:sz="4" w:space="0" w:color="auto"/>
              <w:right w:val="single" w:sz="4" w:space="0" w:color="auto"/>
            </w:tcBorders>
            <w:shd w:val="clear" w:color="auto" w:fill="auto"/>
            <w:noWrap/>
            <w:vAlign w:val="bottom"/>
            <w:hideMark/>
          </w:tcPr>
          <w:p w14:paraId="7629AC7D" w14:textId="77777777" w:rsidR="00B0025E" w:rsidRPr="00B0025E" w:rsidRDefault="00B0025E" w:rsidP="00B0025E">
            <w:pPr>
              <w:pStyle w:val="dataannextabletext"/>
            </w:pPr>
            <w:r w:rsidRPr="00B0025E">
              <w:t>98%</w:t>
            </w:r>
          </w:p>
        </w:tc>
      </w:tr>
    </w:tbl>
    <w:p w14:paraId="083E6983" w14:textId="77777777" w:rsidR="00B0025E" w:rsidRDefault="00B0025E" w:rsidP="00B0025E">
      <w:r>
        <w:t>(q24</w:t>
      </w:r>
      <w:r w:rsidRPr="00B91B1C">
        <w:t>bysex_wt</w:t>
      </w:r>
      <w:r>
        <w:t>, 141126crosstabs_SW)</w:t>
      </w:r>
    </w:p>
    <w:tbl>
      <w:tblPr>
        <w:tblW w:w="4693" w:type="dxa"/>
        <w:tblInd w:w="93" w:type="dxa"/>
        <w:tblLayout w:type="fixed"/>
        <w:tblLook w:val="04A0" w:firstRow="1" w:lastRow="0" w:firstColumn="1" w:lastColumn="0" w:noHBand="0" w:noVBand="1"/>
      </w:tblPr>
      <w:tblGrid>
        <w:gridCol w:w="1575"/>
        <w:gridCol w:w="3118"/>
      </w:tblGrid>
      <w:tr w:rsidR="00B0025E" w:rsidRPr="00997CD8" w14:paraId="2730C17F" w14:textId="77777777" w:rsidTr="00B0025E">
        <w:trPr>
          <w:trHeight w:val="260"/>
        </w:trPr>
        <w:tc>
          <w:tcPr>
            <w:tcW w:w="4693" w:type="dxa"/>
            <w:gridSpan w:val="2"/>
            <w:tcBorders>
              <w:top w:val="nil"/>
              <w:left w:val="nil"/>
              <w:bottom w:val="nil"/>
              <w:right w:val="nil"/>
            </w:tcBorders>
            <w:shd w:val="clear" w:color="auto" w:fill="auto"/>
            <w:noWrap/>
            <w:vAlign w:val="bottom"/>
            <w:hideMark/>
          </w:tcPr>
          <w:p w14:paraId="5D628262" w14:textId="5575F3AB" w:rsidR="00B0025E" w:rsidRPr="00B0025E" w:rsidRDefault="0061380D" w:rsidP="00B0025E">
            <w:pPr>
              <w:pStyle w:val="TableHeading"/>
            </w:pPr>
            <w:r>
              <w:t xml:space="preserve">Data Table 10: </w:t>
            </w:r>
            <w:r w:rsidR="00B0025E" w:rsidRPr="00B0025E">
              <w:t xml:space="preserve">Income Improvements - Subsistence/ Student/ Other Participants </w:t>
            </w:r>
          </w:p>
        </w:tc>
      </w:tr>
      <w:tr w:rsidR="00B0025E" w:rsidRPr="00997CD8" w14:paraId="3F342F89" w14:textId="77777777" w:rsidTr="00B0025E">
        <w:trPr>
          <w:trHeight w:val="26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BDB17" w14:textId="77777777" w:rsidR="00B0025E" w:rsidRPr="00997CD8" w:rsidRDefault="00B0025E" w:rsidP="00B0025E">
            <w:pPr>
              <w:suppressAutoHyphens w:val="0"/>
              <w:spacing w:before="0" w:after="0"/>
              <w:rPr>
                <w:rFonts w:ascii="MS Sans Serif" w:eastAsia="Times New Roman" w:hAnsi="MS Sans Serif"/>
                <w:sz w:val="20"/>
                <w:szCs w:val="20"/>
              </w:rPr>
            </w:pPr>
            <w:r w:rsidRPr="00997CD8">
              <w:rPr>
                <w:rFonts w:ascii="MS Sans Serif" w:eastAsia="Times New Roman" w:hAnsi="MS Sans Serif"/>
                <w:sz w:val="20"/>
                <w:szCs w:val="20"/>
              </w:rPr>
              <w:t>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6E90AC70" w14:textId="77777777" w:rsidR="00B0025E" w:rsidRPr="00B0025E" w:rsidRDefault="00B0025E" w:rsidP="00B0025E">
            <w:pPr>
              <w:pStyle w:val="TableHeading"/>
            </w:pPr>
            <w:r w:rsidRPr="00B0025E">
              <w:t>Increased Income (weighted %) (n=65)</w:t>
            </w:r>
          </w:p>
        </w:tc>
      </w:tr>
      <w:tr w:rsidR="00B0025E" w:rsidRPr="00997CD8" w14:paraId="10883E0D" w14:textId="77777777" w:rsidTr="00B0025E">
        <w:trPr>
          <w:trHeight w:val="26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50107582" w14:textId="77777777" w:rsidR="00B0025E" w:rsidRPr="00997CD8" w:rsidRDefault="00B0025E" w:rsidP="00B0025E">
            <w:pPr>
              <w:pStyle w:val="TableText"/>
            </w:pPr>
            <w:r w:rsidRPr="00997CD8">
              <w:t xml:space="preserve">Female </w:t>
            </w:r>
          </w:p>
        </w:tc>
        <w:tc>
          <w:tcPr>
            <w:tcW w:w="3118" w:type="dxa"/>
            <w:tcBorders>
              <w:top w:val="nil"/>
              <w:left w:val="nil"/>
              <w:bottom w:val="single" w:sz="4" w:space="0" w:color="auto"/>
              <w:right w:val="single" w:sz="4" w:space="0" w:color="auto"/>
            </w:tcBorders>
            <w:shd w:val="clear" w:color="auto" w:fill="auto"/>
            <w:noWrap/>
            <w:vAlign w:val="center"/>
            <w:hideMark/>
          </w:tcPr>
          <w:p w14:paraId="2278D4CB" w14:textId="77777777" w:rsidR="00B0025E" w:rsidRPr="00B0025E" w:rsidRDefault="00B0025E" w:rsidP="00B0025E">
            <w:pPr>
              <w:pStyle w:val="dataannextabletext"/>
            </w:pPr>
            <w:r w:rsidRPr="00B0025E">
              <w:t>91%</w:t>
            </w:r>
          </w:p>
        </w:tc>
      </w:tr>
      <w:tr w:rsidR="00B0025E" w:rsidRPr="00997CD8" w14:paraId="550D9C4E" w14:textId="77777777" w:rsidTr="00B0025E">
        <w:trPr>
          <w:trHeight w:val="26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55C12514" w14:textId="77777777" w:rsidR="00B0025E" w:rsidRPr="00997CD8" w:rsidRDefault="00B0025E" w:rsidP="00B0025E">
            <w:pPr>
              <w:pStyle w:val="TableText"/>
            </w:pPr>
            <w:r w:rsidRPr="00997CD8">
              <w:t xml:space="preserve">Male </w:t>
            </w:r>
          </w:p>
        </w:tc>
        <w:tc>
          <w:tcPr>
            <w:tcW w:w="3118" w:type="dxa"/>
            <w:tcBorders>
              <w:top w:val="nil"/>
              <w:left w:val="nil"/>
              <w:bottom w:val="single" w:sz="4" w:space="0" w:color="auto"/>
              <w:right w:val="single" w:sz="4" w:space="0" w:color="auto"/>
            </w:tcBorders>
            <w:shd w:val="clear" w:color="auto" w:fill="auto"/>
            <w:noWrap/>
            <w:vAlign w:val="center"/>
            <w:hideMark/>
          </w:tcPr>
          <w:p w14:paraId="6DB85E7C" w14:textId="77777777" w:rsidR="00B0025E" w:rsidRPr="00B0025E" w:rsidRDefault="00B0025E" w:rsidP="00B0025E">
            <w:pPr>
              <w:pStyle w:val="dataannextabletext"/>
            </w:pPr>
            <w:r w:rsidRPr="00B0025E">
              <w:t>66%</w:t>
            </w:r>
          </w:p>
        </w:tc>
      </w:tr>
    </w:tbl>
    <w:p w14:paraId="06322D7D" w14:textId="77777777" w:rsidR="00B0025E" w:rsidRDefault="00B0025E" w:rsidP="00B0025E">
      <w:r>
        <w:t>(q27</w:t>
      </w:r>
      <w:r w:rsidRPr="00B91B1C">
        <w:t>bysex_wt</w:t>
      </w:r>
      <w:r>
        <w:t>, 141126crosstabs_SW)</w:t>
      </w:r>
    </w:p>
    <w:p w14:paraId="4E07BD05" w14:textId="77777777" w:rsidR="00B0025E" w:rsidRDefault="00B0025E" w:rsidP="00B0025E">
      <w:r>
        <w:lastRenderedPageBreak/>
        <w:t xml:space="preserve">This set of tables is interesting. It seems to indicate that women in employment and self-employment increase their incomes slightly less often than men; but women who are subsistence workers or students are much more successful than men at increasing their income after their TVET Centre participation. </w:t>
      </w:r>
    </w:p>
    <w:p w14:paraId="19EB53E4" w14:textId="77777777" w:rsidR="00B0025E" w:rsidRDefault="00B0025E" w:rsidP="002F1248">
      <w:pPr>
        <w:pStyle w:val="Heading3"/>
      </w:pPr>
      <w:r>
        <w:t xml:space="preserve">Business Outcomes </w:t>
      </w:r>
    </w:p>
    <w:p w14:paraId="73FE1AF5" w14:textId="77777777" w:rsidR="00B0025E" w:rsidRDefault="00B0025E" w:rsidP="00B0025E">
      <w:r>
        <w:t xml:space="preserve">If we just look at the experiences of those participants who are self-employed: </w:t>
      </w:r>
    </w:p>
    <w:tbl>
      <w:tblPr>
        <w:tblW w:w="4693" w:type="dxa"/>
        <w:tblInd w:w="93" w:type="dxa"/>
        <w:tblLayout w:type="fixed"/>
        <w:tblLook w:val="04A0" w:firstRow="1" w:lastRow="0" w:firstColumn="1" w:lastColumn="0" w:noHBand="0" w:noVBand="1"/>
      </w:tblPr>
      <w:tblGrid>
        <w:gridCol w:w="1575"/>
        <w:gridCol w:w="3118"/>
      </w:tblGrid>
      <w:tr w:rsidR="00B0025E" w:rsidRPr="002F662C" w14:paraId="6AE0D797" w14:textId="77777777" w:rsidTr="00B0025E">
        <w:trPr>
          <w:trHeight w:val="300"/>
        </w:trPr>
        <w:tc>
          <w:tcPr>
            <w:tcW w:w="4693" w:type="dxa"/>
            <w:gridSpan w:val="2"/>
            <w:tcBorders>
              <w:top w:val="nil"/>
              <w:left w:val="nil"/>
              <w:bottom w:val="nil"/>
              <w:right w:val="nil"/>
            </w:tcBorders>
            <w:shd w:val="clear" w:color="000000" w:fill="auto"/>
            <w:noWrap/>
            <w:vAlign w:val="bottom"/>
            <w:hideMark/>
          </w:tcPr>
          <w:p w14:paraId="765D0DA1" w14:textId="2911DBC9" w:rsidR="00B0025E" w:rsidRPr="00B0025E" w:rsidRDefault="0061380D" w:rsidP="00B0025E">
            <w:pPr>
              <w:pStyle w:val="TableHeading"/>
            </w:pPr>
            <w:r>
              <w:t xml:space="preserve">Data Table 11: </w:t>
            </w:r>
            <w:r w:rsidR="00B0025E" w:rsidRPr="00B0025E">
              <w:t xml:space="preserve">Business Income - Self-Employed Participants </w:t>
            </w:r>
          </w:p>
        </w:tc>
      </w:tr>
      <w:tr w:rsidR="00B0025E" w:rsidRPr="002F662C" w14:paraId="61774824" w14:textId="77777777" w:rsidTr="00B0025E">
        <w:trPr>
          <w:trHeight w:val="300"/>
        </w:trPr>
        <w:tc>
          <w:tcPr>
            <w:tcW w:w="157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EBBB0AB" w14:textId="77777777" w:rsidR="00B0025E" w:rsidRPr="002F662C" w:rsidRDefault="00B0025E" w:rsidP="00B0025E">
            <w:pPr>
              <w:suppressAutoHyphens w:val="0"/>
              <w:spacing w:before="0" w:after="0"/>
              <w:rPr>
                <w:rFonts w:ascii="Calibri" w:eastAsia="Times New Roman" w:hAnsi="Calibri"/>
                <w:color w:val="000000"/>
              </w:rPr>
            </w:pPr>
            <w:r w:rsidRPr="002F662C">
              <w:rPr>
                <w:rFonts w:ascii="Calibri" w:eastAsia="Times New Roman" w:hAnsi="Calibri"/>
                <w:color w:val="000000"/>
              </w:rPr>
              <w:t> </w:t>
            </w:r>
          </w:p>
        </w:tc>
        <w:tc>
          <w:tcPr>
            <w:tcW w:w="3118" w:type="dxa"/>
            <w:tcBorders>
              <w:top w:val="single" w:sz="4" w:space="0" w:color="auto"/>
              <w:left w:val="nil"/>
              <w:bottom w:val="single" w:sz="4" w:space="0" w:color="auto"/>
              <w:right w:val="single" w:sz="4" w:space="0" w:color="auto"/>
            </w:tcBorders>
            <w:shd w:val="clear" w:color="000000" w:fill="auto"/>
            <w:noWrap/>
            <w:vAlign w:val="center"/>
            <w:hideMark/>
          </w:tcPr>
          <w:p w14:paraId="117570DB" w14:textId="77777777" w:rsidR="00B0025E" w:rsidRPr="00B0025E" w:rsidRDefault="00B0025E" w:rsidP="00B0025E">
            <w:pPr>
              <w:pStyle w:val="TableHeading"/>
            </w:pPr>
            <w:r w:rsidRPr="00B0025E">
              <w:t>Participants’ Business Income  (weighted %) (n=47)</w:t>
            </w:r>
          </w:p>
        </w:tc>
      </w:tr>
      <w:tr w:rsidR="00B0025E" w:rsidRPr="002F662C" w14:paraId="4A5F307B" w14:textId="77777777" w:rsidTr="00B0025E">
        <w:trPr>
          <w:trHeight w:val="300"/>
        </w:trPr>
        <w:tc>
          <w:tcPr>
            <w:tcW w:w="1575" w:type="dxa"/>
            <w:tcBorders>
              <w:top w:val="nil"/>
              <w:left w:val="single" w:sz="4" w:space="0" w:color="auto"/>
              <w:bottom w:val="single" w:sz="4" w:space="0" w:color="auto"/>
              <w:right w:val="single" w:sz="4" w:space="0" w:color="auto"/>
            </w:tcBorders>
            <w:shd w:val="clear" w:color="000000" w:fill="auto"/>
            <w:noWrap/>
            <w:vAlign w:val="bottom"/>
            <w:hideMark/>
          </w:tcPr>
          <w:p w14:paraId="38176AF7" w14:textId="77777777" w:rsidR="00B0025E" w:rsidRPr="002F662C" w:rsidRDefault="00B0025E" w:rsidP="00B0025E">
            <w:pPr>
              <w:pStyle w:val="TableText"/>
            </w:pPr>
            <w:r w:rsidRPr="002F662C">
              <w:t>No Increase</w:t>
            </w:r>
          </w:p>
        </w:tc>
        <w:tc>
          <w:tcPr>
            <w:tcW w:w="3118" w:type="dxa"/>
            <w:tcBorders>
              <w:top w:val="nil"/>
              <w:left w:val="nil"/>
              <w:bottom w:val="single" w:sz="4" w:space="0" w:color="auto"/>
              <w:right w:val="single" w:sz="4" w:space="0" w:color="auto"/>
            </w:tcBorders>
            <w:shd w:val="clear" w:color="000000" w:fill="auto"/>
            <w:noWrap/>
            <w:vAlign w:val="center"/>
            <w:hideMark/>
          </w:tcPr>
          <w:p w14:paraId="756F500E" w14:textId="77777777" w:rsidR="00B0025E" w:rsidRPr="00B0025E" w:rsidRDefault="00B0025E" w:rsidP="00B0025E">
            <w:pPr>
              <w:pStyle w:val="dataannextabletext"/>
            </w:pPr>
            <w:r w:rsidRPr="00B0025E">
              <w:t>8%</w:t>
            </w:r>
          </w:p>
        </w:tc>
      </w:tr>
      <w:tr w:rsidR="00B0025E" w:rsidRPr="002F662C" w14:paraId="4D2D5767" w14:textId="77777777" w:rsidTr="00B0025E">
        <w:trPr>
          <w:trHeight w:val="300"/>
        </w:trPr>
        <w:tc>
          <w:tcPr>
            <w:tcW w:w="1575" w:type="dxa"/>
            <w:tcBorders>
              <w:top w:val="nil"/>
              <w:left w:val="single" w:sz="4" w:space="0" w:color="auto"/>
              <w:bottom w:val="single" w:sz="4" w:space="0" w:color="auto"/>
              <w:right w:val="single" w:sz="4" w:space="0" w:color="auto"/>
            </w:tcBorders>
            <w:shd w:val="clear" w:color="000000" w:fill="auto"/>
            <w:noWrap/>
            <w:vAlign w:val="bottom"/>
            <w:hideMark/>
          </w:tcPr>
          <w:p w14:paraId="40D3C137" w14:textId="77777777" w:rsidR="00B0025E" w:rsidRPr="002F662C" w:rsidRDefault="00B0025E" w:rsidP="00B0025E">
            <w:pPr>
              <w:pStyle w:val="TableText"/>
            </w:pPr>
            <w:r w:rsidRPr="002F662C">
              <w:t>Increase</w:t>
            </w:r>
          </w:p>
        </w:tc>
        <w:tc>
          <w:tcPr>
            <w:tcW w:w="3118" w:type="dxa"/>
            <w:tcBorders>
              <w:top w:val="nil"/>
              <w:left w:val="nil"/>
              <w:bottom w:val="single" w:sz="4" w:space="0" w:color="auto"/>
              <w:right w:val="single" w:sz="4" w:space="0" w:color="auto"/>
            </w:tcBorders>
            <w:shd w:val="clear" w:color="000000" w:fill="auto"/>
            <w:noWrap/>
            <w:vAlign w:val="center"/>
            <w:hideMark/>
          </w:tcPr>
          <w:p w14:paraId="16A82F5A" w14:textId="77777777" w:rsidR="00B0025E" w:rsidRPr="002F662C" w:rsidRDefault="00B0025E" w:rsidP="00B0025E">
            <w:pPr>
              <w:pStyle w:val="dataannextabletext"/>
              <w:rPr>
                <w:rFonts w:eastAsia="Times New Roman"/>
                <w:color w:val="000000"/>
              </w:rPr>
            </w:pPr>
            <w:r>
              <w:rPr>
                <w:rFonts w:eastAsia="Times New Roman"/>
                <w:color w:val="000000"/>
              </w:rPr>
              <w:t>92</w:t>
            </w:r>
            <w:r w:rsidRPr="002F662C">
              <w:rPr>
                <w:rFonts w:eastAsia="Times New Roman"/>
                <w:color w:val="000000"/>
              </w:rPr>
              <w:t>%</w:t>
            </w:r>
          </w:p>
        </w:tc>
      </w:tr>
    </w:tbl>
    <w:p w14:paraId="5F7EDDBD" w14:textId="77777777" w:rsidR="00B0025E" w:rsidRDefault="00B0025E" w:rsidP="00B0025E">
      <w:r>
        <w:t>(</w:t>
      </w:r>
      <w:r w:rsidRPr="00FD5E4D">
        <w:t>Table 107 - Table Q23</w:t>
      </w:r>
      <w:r>
        <w:t>, freq_allcases_wt)</w:t>
      </w:r>
    </w:p>
    <w:p w14:paraId="210D74E7" w14:textId="77777777" w:rsidR="00B0025E" w:rsidRDefault="00B0025E" w:rsidP="00B0025E">
      <w:r>
        <w:t xml:space="preserve">This indicates that a very high proportion of self-employed participants – an estimated 92% - increased the income their business earns, after their TVET Centre participation. </w:t>
      </w:r>
    </w:p>
    <w:tbl>
      <w:tblPr>
        <w:tblW w:w="4693" w:type="dxa"/>
        <w:tblInd w:w="93" w:type="dxa"/>
        <w:tblLayout w:type="fixed"/>
        <w:tblLook w:val="04A0" w:firstRow="1" w:lastRow="0" w:firstColumn="1" w:lastColumn="0" w:noHBand="0" w:noVBand="1"/>
      </w:tblPr>
      <w:tblGrid>
        <w:gridCol w:w="1575"/>
        <w:gridCol w:w="3118"/>
      </w:tblGrid>
      <w:tr w:rsidR="00B0025E" w:rsidRPr="002F662C" w14:paraId="7171FF3F" w14:textId="77777777" w:rsidTr="00B0025E">
        <w:trPr>
          <w:trHeight w:val="260"/>
        </w:trPr>
        <w:tc>
          <w:tcPr>
            <w:tcW w:w="4693" w:type="dxa"/>
            <w:gridSpan w:val="2"/>
            <w:tcBorders>
              <w:top w:val="nil"/>
              <w:left w:val="nil"/>
              <w:bottom w:val="nil"/>
              <w:right w:val="nil"/>
            </w:tcBorders>
            <w:shd w:val="clear" w:color="auto" w:fill="auto"/>
            <w:noWrap/>
            <w:vAlign w:val="bottom"/>
            <w:hideMark/>
          </w:tcPr>
          <w:p w14:paraId="1C4A8235" w14:textId="2D2980BE" w:rsidR="00B0025E" w:rsidRPr="00B0025E" w:rsidRDefault="0061380D" w:rsidP="00B0025E">
            <w:pPr>
              <w:pStyle w:val="TableHeading"/>
            </w:pPr>
            <w:r>
              <w:t xml:space="preserve">Data Table 12: </w:t>
            </w:r>
            <w:r w:rsidR="00B0025E" w:rsidRPr="00B0025E">
              <w:t>Business income - Self-employed Participants</w:t>
            </w:r>
          </w:p>
        </w:tc>
      </w:tr>
      <w:tr w:rsidR="00B0025E" w:rsidRPr="002F662C" w14:paraId="72E9A540" w14:textId="77777777" w:rsidTr="00B0025E">
        <w:trPr>
          <w:trHeight w:val="26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A057A" w14:textId="77777777" w:rsidR="00B0025E" w:rsidRPr="002F662C" w:rsidRDefault="00B0025E" w:rsidP="00B0025E">
            <w:pPr>
              <w:suppressAutoHyphens w:val="0"/>
              <w:spacing w:before="0" w:after="0"/>
              <w:rPr>
                <w:rFonts w:ascii="MS Sans Serif" w:eastAsia="Times New Roman" w:hAnsi="MS Sans Serif"/>
                <w:sz w:val="20"/>
                <w:szCs w:val="20"/>
              </w:rPr>
            </w:pPr>
            <w:r w:rsidRPr="002F662C">
              <w:rPr>
                <w:rFonts w:ascii="MS Sans Serif" w:eastAsia="Times New Roman" w:hAnsi="MS Sans Serif"/>
                <w:sz w:val="20"/>
                <w:szCs w:val="20"/>
              </w:rPr>
              <w:t>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191013F" w14:textId="77777777" w:rsidR="00B0025E" w:rsidRPr="00B0025E" w:rsidRDefault="00B0025E" w:rsidP="00B0025E">
            <w:pPr>
              <w:pStyle w:val="TableHeading"/>
            </w:pPr>
            <w:r w:rsidRPr="00B0025E">
              <w:t>Increased Business Income (weighted %) (n=47)</w:t>
            </w:r>
          </w:p>
        </w:tc>
      </w:tr>
      <w:tr w:rsidR="00B0025E" w:rsidRPr="002F662C" w14:paraId="29415B6A" w14:textId="77777777" w:rsidTr="00B0025E">
        <w:trPr>
          <w:trHeight w:val="26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8758083" w14:textId="77777777" w:rsidR="00B0025E" w:rsidRPr="002F662C" w:rsidRDefault="00B0025E" w:rsidP="00B0025E">
            <w:pPr>
              <w:pStyle w:val="TableText"/>
            </w:pPr>
            <w:r w:rsidRPr="002F662C">
              <w:t>Female</w:t>
            </w:r>
          </w:p>
        </w:tc>
        <w:tc>
          <w:tcPr>
            <w:tcW w:w="3118" w:type="dxa"/>
            <w:tcBorders>
              <w:top w:val="nil"/>
              <w:left w:val="nil"/>
              <w:bottom w:val="single" w:sz="4" w:space="0" w:color="auto"/>
              <w:right w:val="single" w:sz="4" w:space="0" w:color="auto"/>
            </w:tcBorders>
            <w:shd w:val="clear" w:color="auto" w:fill="auto"/>
            <w:noWrap/>
            <w:vAlign w:val="center"/>
            <w:hideMark/>
          </w:tcPr>
          <w:p w14:paraId="1ECFE999" w14:textId="77777777" w:rsidR="00B0025E" w:rsidRPr="002F662C" w:rsidRDefault="00B0025E" w:rsidP="00B0025E">
            <w:pPr>
              <w:pStyle w:val="dataannextabletext"/>
            </w:pPr>
            <w:r w:rsidRPr="002F662C">
              <w:t>90%</w:t>
            </w:r>
          </w:p>
        </w:tc>
      </w:tr>
      <w:tr w:rsidR="00B0025E" w:rsidRPr="002F662C" w14:paraId="41819BAF" w14:textId="77777777" w:rsidTr="00B0025E">
        <w:trPr>
          <w:trHeight w:val="26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B5CBA43" w14:textId="77777777" w:rsidR="00B0025E" w:rsidRPr="002F662C" w:rsidRDefault="00B0025E" w:rsidP="00B0025E">
            <w:pPr>
              <w:pStyle w:val="TableText"/>
            </w:pPr>
            <w:r w:rsidRPr="002F662C">
              <w:t>Male</w:t>
            </w:r>
          </w:p>
        </w:tc>
        <w:tc>
          <w:tcPr>
            <w:tcW w:w="3118" w:type="dxa"/>
            <w:tcBorders>
              <w:top w:val="nil"/>
              <w:left w:val="nil"/>
              <w:bottom w:val="single" w:sz="4" w:space="0" w:color="auto"/>
              <w:right w:val="single" w:sz="4" w:space="0" w:color="auto"/>
            </w:tcBorders>
            <w:shd w:val="clear" w:color="auto" w:fill="auto"/>
            <w:noWrap/>
            <w:vAlign w:val="center"/>
            <w:hideMark/>
          </w:tcPr>
          <w:p w14:paraId="3F62847E" w14:textId="77777777" w:rsidR="00B0025E" w:rsidRPr="002F662C" w:rsidRDefault="00B0025E" w:rsidP="00B0025E">
            <w:pPr>
              <w:pStyle w:val="dataannextabletext"/>
            </w:pPr>
            <w:r w:rsidRPr="002F662C">
              <w:t>94%</w:t>
            </w:r>
          </w:p>
        </w:tc>
      </w:tr>
    </w:tbl>
    <w:p w14:paraId="243E4E1C" w14:textId="77777777" w:rsidR="00B0025E" w:rsidRDefault="00B0025E" w:rsidP="00B0025E">
      <w:r>
        <w:t>(</w:t>
      </w:r>
      <w:r w:rsidRPr="00FD5E4D">
        <w:t>q23bysex_wt</w:t>
      </w:r>
      <w:r>
        <w:t>, 141126crosstabs_SW)</w:t>
      </w:r>
    </w:p>
    <w:p w14:paraId="0547513B" w14:textId="77777777" w:rsidR="00B0025E" w:rsidRDefault="00B0025E" w:rsidP="00B0025E">
      <w:r>
        <w:t xml:space="preserve">This suggests there is no substantial difference in the experiences of self-employed women and self-employed men. Further analysis might shed light on whether this is a statistically significant difference. </w:t>
      </w:r>
    </w:p>
    <w:p w14:paraId="3ED7503D" w14:textId="77777777" w:rsidR="00B0025E" w:rsidRPr="00997CD8" w:rsidRDefault="00B0025E" w:rsidP="00B0025E"/>
    <w:p w14:paraId="689E856F" w14:textId="77777777" w:rsidR="00F83660" w:rsidRPr="00F65E9B" w:rsidRDefault="00F83660" w:rsidP="00F65E9B"/>
    <w:sectPr w:rsidR="00F83660" w:rsidRPr="00F65E9B" w:rsidSect="00B97687">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926970" w14:textId="77777777" w:rsidR="00DD0031" w:rsidRDefault="00DD0031" w:rsidP="00FF4106">
      <w:pPr>
        <w:spacing w:before="0" w:after="0"/>
      </w:pPr>
      <w:r>
        <w:separator/>
      </w:r>
    </w:p>
  </w:endnote>
  <w:endnote w:type="continuationSeparator" w:id="0">
    <w:p w14:paraId="478C7F25" w14:textId="77777777" w:rsidR="00DD0031" w:rsidRDefault="00DD0031" w:rsidP="00FF410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MS Gothic">
    <w:panose1 w:val="020B0609070205080204"/>
    <w:charset w:val="80"/>
    <w:family w:val="auto"/>
    <w:pitch w:val="variable"/>
    <w:sig w:usb0="E00002FF" w:usb1="6AC7FDFB" w:usb2="08000012" w:usb3="00000000" w:csb0="0002009F" w:csb1="00000000"/>
  </w:font>
  <w:font w:name="Perpetua">
    <w:panose1 w:val="02020502060401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MS Sans Serif">
    <w:altName w:val="Arial"/>
    <w:panose1 w:val="00000000000000000000"/>
    <w:charset w:val="4D"/>
    <w:family w:val="swiss"/>
    <w:notTrueType/>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CA38A" w14:textId="77777777" w:rsidR="00564169" w:rsidRDefault="00564169" w:rsidP="00140E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BAC5CB" w14:textId="77777777" w:rsidR="00564169" w:rsidRDefault="00564169" w:rsidP="00FF410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0F76E" w14:textId="77777777" w:rsidR="00564169" w:rsidRDefault="00564169" w:rsidP="00E654B6">
    <w:pPr>
      <w:pStyle w:val="Footer"/>
      <w:framePr w:wrap="around" w:vAnchor="text" w:hAnchor="margin" w:xAlign="right" w:y="1"/>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C1083" w14:textId="77777777" w:rsidR="00564169" w:rsidRPr="00E654B6" w:rsidRDefault="00564169" w:rsidP="00E654B6">
    <w:pPr>
      <w:pStyle w:val="Footer"/>
      <w:framePr w:wrap="around" w:vAnchor="text" w:hAnchor="page" w:x="10081" w:y="-75"/>
      <w:rPr>
        <w:rStyle w:val="PageNumber"/>
        <w:rFonts w:asciiTheme="majorHAnsi" w:hAnsiTheme="majorHAnsi"/>
        <w:sz w:val="20"/>
        <w:szCs w:val="20"/>
      </w:rPr>
    </w:pPr>
    <w:r w:rsidRPr="00E654B6">
      <w:rPr>
        <w:rStyle w:val="PageNumber"/>
        <w:rFonts w:asciiTheme="majorHAnsi" w:hAnsiTheme="majorHAnsi"/>
        <w:sz w:val="20"/>
        <w:szCs w:val="20"/>
      </w:rPr>
      <w:fldChar w:fldCharType="begin"/>
    </w:r>
    <w:r w:rsidRPr="00E654B6">
      <w:rPr>
        <w:rStyle w:val="PageNumber"/>
        <w:rFonts w:asciiTheme="majorHAnsi" w:hAnsiTheme="majorHAnsi"/>
        <w:sz w:val="20"/>
        <w:szCs w:val="20"/>
      </w:rPr>
      <w:instrText xml:space="preserve">PAGE  </w:instrText>
    </w:r>
    <w:r w:rsidRPr="00E654B6">
      <w:rPr>
        <w:rStyle w:val="PageNumber"/>
        <w:rFonts w:asciiTheme="majorHAnsi" w:hAnsiTheme="majorHAnsi"/>
        <w:sz w:val="20"/>
        <w:szCs w:val="20"/>
      </w:rPr>
      <w:fldChar w:fldCharType="separate"/>
    </w:r>
    <w:r w:rsidR="003603B0">
      <w:rPr>
        <w:rStyle w:val="PageNumber"/>
        <w:rFonts w:asciiTheme="majorHAnsi" w:hAnsiTheme="majorHAnsi"/>
        <w:noProof/>
        <w:sz w:val="20"/>
        <w:szCs w:val="20"/>
      </w:rPr>
      <w:t>39</w:t>
    </w:r>
    <w:r w:rsidRPr="00E654B6">
      <w:rPr>
        <w:rStyle w:val="PageNumber"/>
        <w:rFonts w:asciiTheme="majorHAnsi" w:hAnsiTheme="majorHAnsi"/>
        <w:sz w:val="20"/>
        <w:szCs w:val="20"/>
      </w:rPr>
      <w:fldChar w:fldCharType="end"/>
    </w:r>
  </w:p>
  <w:p w14:paraId="1B926BBA" w14:textId="50312D25" w:rsidR="00564169" w:rsidRPr="00D857A2" w:rsidRDefault="00564169" w:rsidP="00D857A2">
    <w:pPr>
      <w:pStyle w:val="Footer"/>
      <w:pBdr>
        <w:top w:val="single" w:sz="8" w:space="3" w:color="FF6600"/>
        <w:bottom w:val="single" w:sz="8" w:space="3" w:color="FF6600"/>
      </w:pBdr>
      <w:ind w:right="360"/>
      <w:jc w:val="right"/>
      <w:rPr>
        <w:rFonts w:asciiTheme="majorHAnsi" w:hAnsiTheme="majorHAnsi"/>
        <w:sz w:val="20"/>
        <w:szCs w:val="20"/>
      </w:rPr>
    </w:pPr>
    <w:r>
      <w:rPr>
        <w:rFonts w:asciiTheme="majorHAnsi" w:hAnsiTheme="majorHAnsi"/>
        <w:sz w:val="20"/>
        <w:szCs w:val="20"/>
      </w:rPr>
      <w:tab/>
      <w:t xml:space="preserve">                                                                  </w:t>
    </w:r>
    <w:r w:rsidRPr="00D857A2">
      <w:rPr>
        <w:rFonts w:asciiTheme="majorHAnsi" w:hAnsiTheme="majorHAnsi"/>
        <w:sz w:val="20"/>
        <w:szCs w:val="20"/>
      </w:rPr>
      <w:t>Annual Program Monitoring and Evaluation Report 2014</w:t>
    </w:r>
    <w:r>
      <w:rPr>
        <w:rFonts w:asciiTheme="majorHAnsi" w:hAnsiTheme="majorHAnsi"/>
        <w:sz w:val="20"/>
        <w:szCs w:val="20"/>
      </w:rPr>
      <w:tab/>
      <w:t xml:space="preserve">     </w:t>
    </w:r>
    <w:r w:rsidRPr="00D857A2">
      <w:rPr>
        <w:rFonts w:asciiTheme="majorHAnsi" w:hAnsiTheme="majorHAnsi"/>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457532" w14:textId="77777777" w:rsidR="00DD0031" w:rsidRDefault="00DD0031" w:rsidP="00FF4106">
      <w:pPr>
        <w:spacing w:before="0" w:after="0"/>
      </w:pPr>
      <w:r>
        <w:separator/>
      </w:r>
    </w:p>
  </w:footnote>
  <w:footnote w:type="continuationSeparator" w:id="0">
    <w:p w14:paraId="28DBA468" w14:textId="77777777" w:rsidR="00DD0031" w:rsidRDefault="00DD0031" w:rsidP="00FF4106">
      <w:pPr>
        <w:spacing w:before="0" w:after="0"/>
      </w:pPr>
      <w:r>
        <w:continuationSeparator/>
      </w:r>
    </w:p>
  </w:footnote>
  <w:footnote w:id="1">
    <w:p w14:paraId="055B845B" w14:textId="77777777" w:rsidR="00564169" w:rsidRPr="003B463A" w:rsidRDefault="00564169" w:rsidP="00AD1BCF">
      <w:pPr>
        <w:pStyle w:val="FootnoteText"/>
        <w:rPr>
          <w:lang w:val="en-US"/>
        </w:rPr>
      </w:pPr>
      <w:r w:rsidRPr="003B463A">
        <w:rPr>
          <w:rStyle w:val="FootnoteReference"/>
          <w:i/>
        </w:rPr>
        <w:footnoteRef/>
      </w:r>
      <w:r w:rsidRPr="003B463A">
        <w:t xml:space="preserve"> Hopkins Dick, Chair, Torba Provincial Training Board. Interview 9 December 2014</w:t>
      </w:r>
    </w:p>
  </w:footnote>
  <w:footnote w:id="2">
    <w:p w14:paraId="76DD881D" w14:textId="0EC5B5CC" w:rsidR="00564169" w:rsidRPr="00E266DD" w:rsidRDefault="00564169" w:rsidP="003B463A">
      <w:pPr>
        <w:pStyle w:val="FootnoteText"/>
        <w:rPr>
          <w:lang w:val="en-US"/>
        </w:rPr>
      </w:pPr>
      <w:r>
        <w:rPr>
          <w:rStyle w:val="FootnoteReference"/>
        </w:rPr>
        <w:footnoteRef/>
      </w:r>
      <w:r>
        <w:t xml:space="preserve"> </w:t>
      </w:r>
      <w:r>
        <w:rPr>
          <w:lang w:val="en-US"/>
        </w:rPr>
        <w:t xml:space="preserve">The M&amp;E Specialist undertook twenty interviews with stakeholders from within the Program, in VQA, the Ministry of Education and Training, in selected training providers, from Provincial governments and </w:t>
      </w:r>
    </w:p>
  </w:footnote>
  <w:footnote w:id="3">
    <w:p w14:paraId="5170A7DD" w14:textId="77777777" w:rsidR="00564169" w:rsidRPr="00D6166B" w:rsidRDefault="00564169" w:rsidP="00D30C86">
      <w:pPr>
        <w:pStyle w:val="FootnoteText"/>
        <w:rPr>
          <w:lang w:val="en-US"/>
        </w:rPr>
      </w:pPr>
      <w:r>
        <w:rPr>
          <w:rStyle w:val="FootnoteReference"/>
        </w:rPr>
        <w:footnoteRef/>
      </w:r>
      <w:r>
        <w:t xml:space="preserve"> </w:t>
      </w:r>
      <w:r>
        <w:rPr>
          <w:lang w:val="en-US"/>
        </w:rPr>
        <w:t>Anna Gibert Interview, 22 December 2014</w:t>
      </w:r>
    </w:p>
  </w:footnote>
  <w:footnote w:id="4">
    <w:p w14:paraId="4000BAE6" w14:textId="571DA2D4" w:rsidR="00564169" w:rsidRPr="008B5408" w:rsidRDefault="00564169">
      <w:pPr>
        <w:pStyle w:val="FootnoteText"/>
        <w:rPr>
          <w:lang w:val="en-US"/>
        </w:rPr>
      </w:pPr>
      <w:r>
        <w:rPr>
          <w:rStyle w:val="FootnoteReference"/>
        </w:rPr>
        <w:footnoteRef/>
      </w:r>
      <w:r>
        <w:t xml:space="preserve"> </w:t>
      </w:r>
      <w:r>
        <w:rPr>
          <w:lang w:val="en-US"/>
        </w:rPr>
        <w:t>The original Program design, and program logic, refers to the Ministry of Youth Development Sport and Training as the key partner Ministry, however with the creation of MoET, that partnership has shifted and program logic references have been updated accordingly</w:t>
      </w:r>
    </w:p>
  </w:footnote>
  <w:footnote w:id="5">
    <w:p w14:paraId="7C1B0370" w14:textId="77777777" w:rsidR="00564169" w:rsidRPr="00C34F63" w:rsidRDefault="00564169" w:rsidP="00945CAF">
      <w:pPr>
        <w:pStyle w:val="FootnoteText"/>
        <w:rPr>
          <w:lang w:val="en-US"/>
        </w:rPr>
      </w:pPr>
      <w:r>
        <w:rPr>
          <w:rStyle w:val="FootnoteReference"/>
        </w:rPr>
        <w:footnoteRef/>
      </w:r>
      <w:r>
        <w:t xml:space="preserve"> </w:t>
      </w:r>
      <w:r>
        <w:rPr>
          <w:lang w:val="en-US"/>
        </w:rPr>
        <w:t>Peter Morris Interview, 10 February 2015</w:t>
      </w:r>
    </w:p>
  </w:footnote>
  <w:footnote w:id="6">
    <w:p w14:paraId="4B6342D9" w14:textId="1597978F" w:rsidR="00564169" w:rsidRPr="0072616E" w:rsidRDefault="00564169" w:rsidP="003B463A">
      <w:pPr>
        <w:pStyle w:val="FootnoteText"/>
        <w:rPr>
          <w:lang w:val="en-US"/>
        </w:rPr>
      </w:pPr>
      <w:r>
        <w:rPr>
          <w:rStyle w:val="FootnoteReference"/>
        </w:rPr>
        <w:footnoteRef/>
      </w:r>
      <w:r>
        <w:t xml:space="preserve"> </w:t>
      </w:r>
      <w:r>
        <w:rPr>
          <w:lang w:val="en-US"/>
        </w:rPr>
        <w:t>Email to Program staff from Technical Director Peter Morris, 5 December 2014</w:t>
      </w:r>
    </w:p>
  </w:footnote>
  <w:footnote w:id="7">
    <w:p w14:paraId="0B6368D7" w14:textId="6A4E90DF" w:rsidR="00564169" w:rsidRPr="00BE5F72" w:rsidRDefault="00564169" w:rsidP="003B463A">
      <w:pPr>
        <w:pStyle w:val="FootnoteText"/>
        <w:rPr>
          <w:lang w:val="en-US"/>
        </w:rPr>
      </w:pPr>
      <w:r>
        <w:rPr>
          <w:rStyle w:val="FootnoteReference"/>
        </w:rPr>
        <w:footnoteRef/>
      </w:r>
      <w:r>
        <w:t xml:space="preserve"> </w:t>
      </w:r>
      <w:r>
        <w:rPr>
          <w:lang w:val="en-US"/>
        </w:rPr>
        <w:t xml:space="preserve">This financial contribution was the condition on which the Program would expand further to Tafea, in response to the Government of Vanuatu request. </w:t>
      </w:r>
    </w:p>
  </w:footnote>
  <w:footnote w:id="8">
    <w:p w14:paraId="695BEFE4" w14:textId="0B4B3864" w:rsidR="00564169" w:rsidRPr="00716DCB" w:rsidRDefault="00564169">
      <w:pPr>
        <w:pStyle w:val="FootnoteText"/>
        <w:rPr>
          <w:lang w:val="en-US"/>
        </w:rPr>
      </w:pPr>
      <w:r>
        <w:rPr>
          <w:rStyle w:val="FootnoteReference"/>
        </w:rPr>
        <w:footnoteRef/>
      </w:r>
      <w:r>
        <w:t xml:space="preserve"> </w:t>
      </w:r>
      <w:r>
        <w:rPr>
          <w:lang w:val="en-US"/>
        </w:rPr>
        <w:t>Peter Morris Interview, 10 February 2015</w:t>
      </w:r>
    </w:p>
  </w:footnote>
  <w:footnote w:id="9">
    <w:p w14:paraId="43321404" w14:textId="38ED4693" w:rsidR="00564169" w:rsidRPr="00BE415A" w:rsidRDefault="00564169">
      <w:pPr>
        <w:pStyle w:val="FootnoteText"/>
        <w:rPr>
          <w:lang w:val="en-US"/>
        </w:rPr>
      </w:pPr>
      <w:r>
        <w:rPr>
          <w:rStyle w:val="FootnoteReference"/>
        </w:rPr>
        <w:footnoteRef/>
      </w:r>
      <w:r>
        <w:t xml:space="preserve"> </w:t>
      </w:r>
      <w:r>
        <w:rPr>
          <w:lang w:val="en-US"/>
        </w:rPr>
        <w:t>Peter Morris Interview, 10 February 2015</w:t>
      </w:r>
    </w:p>
  </w:footnote>
  <w:footnote w:id="10">
    <w:p w14:paraId="62F0FBC7" w14:textId="77777777" w:rsidR="00564169" w:rsidRPr="00DF7949" w:rsidRDefault="00564169" w:rsidP="00AD1BCF">
      <w:pPr>
        <w:pStyle w:val="FootnoteText"/>
        <w:rPr>
          <w:lang w:val="en-US"/>
        </w:rPr>
      </w:pPr>
      <w:r>
        <w:rPr>
          <w:rStyle w:val="FootnoteReference"/>
        </w:rPr>
        <w:footnoteRef/>
      </w:r>
      <w:r>
        <w:t xml:space="preserve"> </w:t>
      </w:r>
      <w:r w:rsidRPr="000A46D3">
        <w:t xml:space="preserve">Hopkins Dick, Chair, Torba </w:t>
      </w:r>
      <w:r w:rsidRPr="00DA4237">
        <w:t>Provincial</w:t>
      </w:r>
      <w:r w:rsidRPr="000A46D3">
        <w:t xml:space="preserve"> Training Board. Interview 9 December 2014</w:t>
      </w:r>
    </w:p>
  </w:footnote>
  <w:footnote w:id="11">
    <w:p w14:paraId="090CDF5E" w14:textId="457D46C1" w:rsidR="00564169" w:rsidRPr="00B030FD" w:rsidRDefault="00564169" w:rsidP="003A5006">
      <w:pPr>
        <w:pStyle w:val="FootnoteText"/>
        <w:rPr>
          <w:lang w:val="en-US"/>
        </w:rPr>
      </w:pPr>
      <w:r>
        <w:rPr>
          <w:rStyle w:val="FootnoteReference"/>
        </w:rPr>
        <w:footnoteRef/>
      </w:r>
      <w:r>
        <w:t xml:space="preserve"> </w:t>
      </w:r>
      <w:r>
        <w:rPr>
          <w:lang w:val="en-US"/>
        </w:rPr>
        <w:t>Fremden Yanhambath Interview, 23 December 2014</w:t>
      </w:r>
    </w:p>
  </w:footnote>
  <w:footnote w:id="12">
    <w:p w14:paraId="26D87C89" w14:textId="755AAA24" w:rsidR="00564169" w:rsidRPr="00FD1D68" w:rsidRDefault="00564169">
      <w:pPr>
        <w:pStyle w:val="FootnoteText"/>
        <w:rPr>
          <w:lang w:val="en-US"/>
        </w:rPr>
      </w:pPr>
      <w:r>
        <w:rPr>
          <w:rStyle w:val="FootnoteReference"/>
        </w:rPr>
        <w:footnoteRef/>
      </w:r>
      <w:r>
        <w:t xml:space="preserve"> </w:t>
      </w:r>
      <w:r>
        <w:rPr>
          <w:lang w:val="en-US"/>
        </w:rPr>
        <w:t>Fremden Yanhambath Interview, 23 December 2014</w:t>
      </w:r>
    </w:p>
  </w:footnote>
  <w:footnote w:id="13">
    <w:p w14:paraId="30DC90FD" w14:textId="77777777" w:rsidR="00564169" w:rsidRPr="006F3442" w:rsidRDefault="00564169" w:rsidP="0023264A">
      <w:pPr>
        <w:pStyle w:val="FootnoteText"/>
        <w:rPr>
          <w:lang w:val="en-US"/>
        </w:rPr>
      </w:pPr>
      <w:r>
        <w:rPr>
          <w:rStyle w:val="FootnoteReference"/>
        </w:rPr>
        <w:footnoteRef/>
      </w:r>
      <w:r>
        <w:t xml:space="preserve"> </w:t>
      </w:r>
      <w:r>
        <w:rPr>
          <w:lang w:val="en-US"/>
        </w:rPr>
        <w:t>A volunteer placement until May 2015</w:t>
      </w:r>
    </w:p>
  </w:footnote>
  <w:footnote w:id="14">
    <w:p w14:paraId="217563BA" w14:textId="2B5D1201" w:rsidR="00564169" w:rsidRPr="00197305" w:rsidRDefault="00564169">
      <w:pPr>
        <w:pStyle w:val="FootnoteText"/>
        <w:rPr>
          <w:lang w:val="en-US"/>
        </w:rPr>
      </w:pPr>
      <w:r>
        <w:rPr>
          <w:rStyle w:val="FootnoteReference"/>
        </w:rPr>
        <w:footnoteRef/>
      </w:r>
      <w:r>
        <w:t xml:space="preserve"> </w:t>
      </w:r>
      <w:r>
        <w:rPr>
          <w:lang w:val="en-US"/>
        </w:rPr>
        <w:t xml:space="preserve">Albert Ruddley Interview, 11 December 2014. </w:t>
      </w:r>
    </w:p>
  </w:footnote>
  <w:footnote w:id="15">
    <w:p w14:paraId="3BCA2AEE" w14:textId="062B375C" w:rsidR="00564169" w:rsidRPr="003372B0" w:rsidRDefault="00564169" w:rsidP="003B463A">
      <w:pPr>
        <w:pStyle w:val="FootnoteText"/>
        <w:rPr>
          <w:lang w:val="en-US"/>
        </w:rPr>
      </w:pPr>
      <w:r>
        <w:rPr>
          <w:rStyle w:val="FootnoteReference"/>
        </w:rPr>
        <w:footnoteRef/>
      </w:r>
      <w:r>
        <w:t xml:space="preserve"> </w:t>
      </w:r>
      <w:r>
        <w:rPr>
          <w:lang w:val="en-US"/>
        </w:rPr>
        <w:t xml:space="preserve">Interview with M&amp;E Specialist, 27 November 2014. </w:t>
      </w:r>
    </w:p>
  </w:footnote>
  <w:footnote w:id="16">
    <w:p w14:paraId="25FE0422" w14:textId="60245419" w:rsidR="00564169" w:rsidRPr="0027358F" w:rsidRDefault="00564169" w:rsidP="003B463A">
      <w:pPr>
        <w:pStyle w:val="FootnoteText"/>
        <w:rPr>
          <w:lang w:val="en-US"/>
        </w:rPr>
      </w:pPr>
      <w:r>
        <w:rPr>
          <w:rStyle w:val="FootnoteReference"/>
        </w:rPr>
        <w:footnoteRef/>
      </w:r>
      <w:r>
        <w:t xml:space="preserve"> </w:t>
      </w:r>
      <w:r>
        <w:rPr>
          <w:lang w:val="en-US"/>
        </w:rPr>
        <w:t>Provided through Australian Volunteers for International Development</w:t>
      </w:r>
    </w:p>
  </w:footnote>
  <w:footnote w:id="17">
    <w:p w14:paraId="6CB314C6" w14:textId="77777777" w:rsidR="00564169" w:rsidRPr="00027848" w:rsidRDefault="00564169" w:rsidP="00B44B94">
      <w:pPr>
        <w:pStyle w:val="FootnoteText"/>
        <w:rPr>
          <w:lang w:val="en-US"/>
        </w:rPr>
      </w:pPr>
      <w:r>
        <w:rPr>
          <w:rStyle w:val="FootnoteReference"/>
        </w:rPr>
        <w:footnoteRef/>
      </w:r>
      <w:r>
        <w:t xml:space="preserve"> </w:t>
      </w:r>
      <w:r>
        <w:rPr>
          <w:lang w:val="en-US"/>
        </w:rPr>
        <w:t xml:space="preserve">This was reported in the 2013 Annual Program M&amp;E Report </w:t>
      </w:r>
    </w:p>
  </w:footnote>
  <w:footnote w:id="18">
    <w:p w14:paraId="11700E6E" w14:textId="71190DEC" w:rsidR="00564169" w:rsidRPr="00FC2705" w:rsidRDefault="00564169" w:rsidP="003B463A">
      <w:pPr>
        <w:pStyle w:val="FootnoteText"/>
        <w:rPr>
          <w:lang w:val="en-US"/>
        </w:rPr>
      </w:pPr>
      <w:r>
        <w:rPr>
          <w:rStyle w:val="FootnoteReference"/>
        </w:rPr>
        <w:footnoteRef/>
      </w:r>
      <w:r>
        <w:t xml:space="preserve"> </w:t>
      </w:r>
      <w:r w:rsidRPr="00FC2705">
        <w:rPr>
          <w:lang w:val="en-US"/>
        </w:rPr>
        <w:t>SAS 9.3 for Windows</w:t>
      </w:r>
      <w:r>
        <w:rPr>
          <w:lang w:val="en-US"/>
        </w:rPr>
        <w:t xml:space="preserve">. </w:t>
      </w:r>
      <w:r w:rsidRPr="00FC2705">
        <w:rPr>
          <w:lang w:val="en-US"/>
        </w:rPr>
        <w:t>Copyright (c) 2002-2010 by SAS Institute Inc., Cary, NC, USA.</w:t>
      </w:r>
    </w:p>
  </w:footnote>
  <w:footnote w:id="19">
    <w:p w14:paraId="78690412" w14:textId="70F7020F" w:rsidR="00564169" w:rsidRPr="00170761" w:rsidRDefault="00564169" w:rsidP="003B463A">
      <w:pPr>
        <w:pStyle w:val="FootnoteText"/>
        <w:rPr>
          <w:lang w:val="en-US"/>
        </w:rPr>
      </w:pPr>
      <w:r>
        <w:rPr>
          <w:rStyle w:val="FootnoteReference"/>
        </w:rPr>
        <w:footnoteRef/>
      </w:r>
      <w:r>
        <w:t xml:space="preserve"> </w:t>
      </w:r>
      <w:r w:rsidRPr="00170761">
        <w:t>The lower than expected sample in the second survey (only 85) was the result of the suspension of accredited training. This meant that the total population from which to sample was fewer than 90, which, with a small number of non-responses, delivered a data set of 85.</w:t>
      </w:r>
    </w:p>
  </w:footnote>
  <w:footnote w:id="20">
    <w:p w14:paraId="4DAD7C2B" w14:textId="3A8805EA" w:rsidR="00564169" w:rsidRPr="00A669CC" w:rsidRDefault="00564169">
      <w:pPr>
        <w:pStyle w:val="FootnoteText"/>
        <w:rPr>
          <w:lang w:val="en-US"/>
        </w:rPr>
      </w:pPr>
      <w:r>
        <w:rPr>
          <w:rStyle w:val="FootnoteReference"/>
        </w:rPr>
        <w:footnoteRef/>
      </w:r>
      <w:r>
        <w:t xml:space="preserve"> </w:t>
      </w:r>
      <w:r>
        <w:rPr>
          <w:lang w:val="en-US"/>
        </w:rPr>
        <w:t xml:space="preserve">It is also worth noting that the data does not enable any analysis of the </w:t>
      </w:r>
      <w:r w:rsidRPr="00653C63">
        <w:rPr>
          <w:i/>
          <w:lang w:val="en-US"/>
        </w:rPr>
        <w:t>scale</w:t>
      </w:r>
      <w:r>
        <w:rPr>
          <w:lang w:val="en-US"/>
        </w:rPr>
        <w:t xml:space="preserve"> of change in income or livelihood, due to the difficulties measuring non-monetary income and livelihoods and the challenges in collecting such personal data from respondents. </w:t>
      </w:r>
    </w:p>
  </w:footnote>
  <w:footnote w:id="21">
    <w:p w14:paraId="0CE5EF28" w14:textId="7A21905E" w:rsidR="00564169" w:rsidRPr="00047592" w:rsidRDefault="00564169">
      <w:pPr>
        <w:pStyle w:val="FootnoteText"/>
        <w:rPr>
          <w:lang w:val="en-US"/>
        </w:rPr>
      </w:pPr>
      <w:r>
        <w:rPr>
          <w:rStyle w:val="FootnoteReference"/>
        </w:rPr>
        <w:footnoteRef/>
      </w:r>
      <w:r>
        <w:t xml:space="preserve"> </w:t>
      </w:r>
      <w:r>
        <w:rPr>
          <w:lang w:val="en-US"/>
        </w:rPr>
        <w:t>This question explores a broad concept of ‘improvement’ without specifying the nature of the improvement (e.g. income, profitability, efficiency, level of output etc)</w:t>
      </w:r>
    </w:p>
  </w:footnote>
  <w:footnote w:id="22">
    <w:p w14:paraId="67546AFA" w14:textId="2587CE33" w:rsidR="00564169" w:rsidRPr="004C7D41" w:rsidRDefault="00564169">
      <w:pPr>
        <w:pStyle w:val="FootnoteText"/>
        <w:rPr>
          <w:lang w:val="en-US"/>
        </w:rPr>
      </w:pPr>
      <w:r>
        <w:rPr>
          <w:rStyle w:val="FootnoteReference"/>
        </w:rPr>
        <w:footnoteRef/>
      </w:r>
      <w:r>
        <w:t xml:space="preserve"> </w:t>
      </w:r>
      <w:r>
        <w:rPr>
          <w:lang w:val="en-US"/>
        </w:rPr>
        <w:t>Anna Gibert Interview, 22 December 2014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55DF7" w14:textId="77777777" w:rsidR="00564169" w:rsidRDefault="00564169" w:rsidP="00C03142">
    <w:pPr>
      <w:pStyle w:val="Header"/>
      <w:pBdr>
        <w:bottom w:val="none" w:sz="0" w:space="0" w:color="auto"/>
      </w:pBd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CF58F" w14:textId="01A567CF" w:rsidR="00564169" w:rsidRPr="00E654B6" w:rsidRDefault="00564169" w:rsidP="00C03142">
    <w:pPr>
      <w:pStyle w:val="Header"/>
    </w:pPr>
    <w:r>
      <w:t>Vanuatu TVET System Strengthening Program Phase 3</w:t>
    </w:r>
    <w:r>
      <w:br/>
      <w:t>Annual Program Monitoring and Evaluation Report (2014)</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74CB2" w14:textId="5B8D5030" w:rsidR="00564169" w:rsidRDefault="00564169" w:rsidP="00D857A2">
    <w:pPr>
      <w:pStyle w:val="Header"/>
      <w:pBdr>
        <w:bottom w:val="none" w:sz="0" w:space="0"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439A1"/>
    <w:multiLevelType w:val="hybridMultilevel"/>
    <w:tmpl w:val="0F72EEE4"/>
    <w:lvl w:ilvl="0" w:tplc="3FD40F38">
      <w:start w:val="1"/>
      <w:numFmt w:val="bullet"/>
      <w:lvlText w:val="•"/>
      <w:lvlJc w:val="left"/>
      <w:pPr>
        <w:tabs>
          <w:tab w:val="num" w:pos="720"/>
        </w:tabs>
        <w:ind w:left="720" w:hanging="360"/>
      </w:pPr>
      <w:rPr>
        <w:rFonts w:ascii="Arial" w:hAnsi="Arial" w:hint="default"/>
      </w:rPr>
    </w:lvl>
    <w:lvl w:ilvl="1" w:tplc="55E0D6BA" w:tentative="1">
      <w:start w:val="1"/>
      <w:numFmt w:val="bullet"/>
      <w:lvlText w:val="•"/>
      <w:lvlJc w:val="left"/>
      <w:pPr>
        <w:tabs>
          <w:tab w:val="num" w:pos="1440"/>
        </w:tabs>
        <w:ind w:left="1440" w:hanging="360"/>
      </w:pPr>
      <w:rPr>
        <w:rFonts w:ascii="Arial" w:hAnsi="Arial" w:hint="default"/>
      </w:rPr>
    </w:lvl>
    <w:lvl w:ilvl="2" w:tplc="1FFE9CD6" w:tentative="1">
      <w:start w:val="1"/>
      <w:numFmt w:val="bullet"/>
      <w:lvlText w:val="•"/>
      <w:lvlJc w:val="left"/>
      <w:pPr>
        <w:tabs>
          <w:tab w:val="num" w:pos="2160"/>
        </w:tabs>
        <w:ind w:left="2160" w:hanging="360"/>
      </w:pPr>
      <w:rPr>
        <w:rFonts w:ascii="Arial" w:hAnsi="Arial" w:hint="default"/>
      </w:rPr>
    </w:lvl>
    <w:lvl w:ilvl="3" w:tplc="315ABB3C" w:tentative="1">
      <w:start w:val="1"/>
      <w:numFmt w:val="bullet"/>
      <w:lvlText w:val="•"/>
      <w:lvlJc w:val="left"/>
      <w:pPr>
        <w:tabs>
          <w:tab w:val="num" w:pos="2880"/>
        </w:tabs>
        <w:ind w:left="2880" w:hanging="360"/>
      </w:pPr>
      <w:rPr>
        <w:rFonts w:ascii="Arial" w:hAnsi="Arial" w:hint="default"/>
      </w:rPr>
    </w:lvl>
    <w:lvl w:ilvl="4" w:tplc="7A522070" w:tentative="1">
      <w:start w:val="1"/>
      <w:numFmt w:val="bullet"/>
      <w:lvlText w:val="•"/>
      <w:lvlJc w:val="left"/>
      <w:pPr>
        <w:tabs>
          <w:tab w:val="num" w:pos="3600"/>
        </w:tabs>
        <w:ind w:left="3600" w:hanging="360"/>
      </w:pPr>
      <w:rPr>
        <w:rFonts w:ascii="Arial" w:hAnsi="Arial" w:hint="default"/>
      </w:rPr>
    </w:lvl>
    <w:lvl w:ilvl="5" w:tplc="B85AF4B8" w:tentative="1">
      <w:start w:val="1"/>
      <w:numFmt w:val="bullet"/>
      <w:lvlText w:val="•"/>
      <w:lvlJc w:val="left"/>
      <w:pPr>
        <w:tabs>
          <w:tab w:val="num" w:pos="4320"/>
        </w:tabs>
        <w:ind w:left="4320" w:hanging="360"/>
      </w:pPr>
      <w:rPr>
        <w:rFonts w:ascii="Arial" w:hAnsi="Arial" w:hint="default"/>
      </w:rPr>
    </w:lvl>
    <w:lvl w:ilvl="6" w:tplc="FE92D376" w:tentative="1">
      <w:start w:val="1"/>
      <w:numFmt w:val="bullet"/>
      <w:lvlText w:val="•"/>
      <w:lvlJc w:val="left"/>
      <w:pPr>
        <w:tabs>
          <w:tab w:val="num" w:pos="5040"/>
        </w:tabs>
        <w:ind w:left="5040" w:hanging="360"/>
      </w:pPr>
      <w:rPr>
        <w:rFonts w:ascii="Arial" w:hAnsi="Arial" w:hint="default"/>
      </w:rPr>
    </w:lvl>
    <w:lvl w:ilvl="7" w:tplc="EDA8D974" w:tentative="1">
      <w:start w:val="1"/>
      <w:numFmt w:val="bullet"/>
      <w:lvlText w:val="•"/>
      <w:lvlJc w:val="left"/>
      <w:pPr>
        <w:tabs>
          <w:tab w:val="num" w:pos="5760"/>
        </w:tabs>
        <w:ind w:left="5760" w:hanging="360"/>
      </w:pPr>
      <w:rPr>
        <w:rFonts w:ascii="Arial" w:hAnsi="Arial" w:hint="default"/>
      </w:rPr>
    </w:lvl>
    <w:lvl w:ilvl="8" w:tplc="C6D805A8" w:tentative="1">
      <w:start w:val="1"/>
      <w:numFmt w:val="bullet"/>
      <w:lvlText w:val="•"/>
      <w:lvlJc w:val="left"/>
      <w:pPr>
        <w:tabs>
          <w:tab w:val="num" w:pos="6480"/>
        </w:tabs>
        <w:ind w:left="6480" w:hanging="360"/>
      </w:pPr>
      <w:rPr>
        <w:rFonts w:ascii="Arial" w:hAnsi="Arial" w:hint="default"/>
      </w:rPr>
    </w:lvl>
  </w:abstractNum>
  <w:abstractNum w:abstractNumId="1">
    <w:nsid w:val="087648D0"/>
    <w:multiLevelType w:val="hybridMultilevel"/>
    <w:tmpl w:val="B6C8BDB4"/>
    <w:lvl w:ilvl="0" w:tplc="522AAE0C">
      <w:start w:val="1"/>
      <w:numFmt w:val="decimal"/>
      <w:pStyle w:val="Number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D954DE"/>
    <w:multiLevelType w:val="hybridMultilevel"/>
    <w:tmpl w:val="0D84BF3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59D2142"/>
    <w:multiLevelType w:val="hybridMultilevel"/>
    <w:tmpl w:val="1736D8BC"/>
    <w:lvl w:ilvl="0" w:tplc="28243808">
      <w:start w:val="1"/>
      <w:numFmt w:val="bullet"/>
      <w:lvlText w:val="•"/>
      <w:lvlJc w:val="left"/>
      <w:pPr>
        <w:tabs>
          <w:tab w:val="num" w:pos="720"/>
        </w:tabs>
        <w:ind w:left="720" w:hanging="360"/>
      </w:pPr>
      <w:rPr>
        <w:rFonts w:ascii="Arial" w:hAnsi="Arial" w:hint="default"/>
      </w:rPr>
    </w:lvl>
    <w:lvl w:ilvl="1" w:tplc="D54EB890">
      <w:numFmt w:val="bullet"/>
      <w:lvlText w:val="•"/>
      <w:lvlJc w:val="left"/>
      <w:pPr>
        <w:tabs>
          <w:tab w:val="num" w:pos="1440"/>
        </w:tabs>
        <w:ind w:left="1440" w:hanging="360"/>
      </w:pPr>
      <w:rPr>
        <w:rFonts w:ascii="Arial" w:hAnsi="Arial" w:hint="default"/>
      </w:rPr>
    </w:lvl>
    <w:lvl w:ilvl="2" w:tplc="19E0F0AC" w:tentative="1">
      <w:start w:val="1"/>
      <w:numFmt w:val="bullet"/>
      <w:lvlText w:val="•"/>
      <w:lvlJc w:val="left"/>
      <w:pPr>
        <w:tabs>
          <w:tab w:val="num" w:pos="2160"/>
        </w:tabs>
        <w:ind w:left="2160" w:hanging="360"/>
      </w:pPr>
      <w:rPr>
        <w:rFonts w:ascii="Arial" w:hAnsi="Arial" w:hint="default"/>
      </w:rPr>
    </w:lvl>
    <w:lvl w:ilvl="3" w:tplc="9350EEDA" w:tentative="1">
      <w:start w:val="1"/>
      <w:numFmt w:val="bullet"/>
      <w:lvlText w:val="•"/>
      <w:lvlJc w:val="left"/>
      <w:pPr>
        <w:tabs>
          <w:tab w:val="num" w:pos="2880"/>
        </w:tabs>
        <w:ind w:left="2880" w:hanging="360"/>
      </w:pPr>
      <w:rPr>
        <w:rFonts w:ascii="Arial" w:hAnsi="Arial" w:hint="default"/>
      </w:rPr>
    </w:lvl>
    <w:lvl w:ilvl="4" w:tplc="DB4E03AA" w:tentative="1">
      <w:start w:val="1"/>
      <w:numFmt w:val="bullet"/>
      <w:lvlText w:val="•"/>
      <w:lvlJc w:val="left"/>
      <w:pPr>
        <w:tabs>
          <w:tab w:val="num" w:pos="3600"/>
        </w:tabs>
        <w:ind w:left="3600" w:hanging="360"/>
      </w:pPr>
      <w:rPr>
        <w:rFonts w:ascii="Arial" w:hAnsi="Arial" w:hint="default"/>
      </w:rPr>
    </w:lvl>
    <w:lvl w:ilvl="5" w:tplc="0B9A881A" w:tentative="1">
      <w:start w:val="1"/>
      <w:numFmt w:val="bullet"/>
      <w:lvlText w:val="•"/>
      <w:lvlJc w:val="left"/>
      <w:pPr>
        <w:tabs>
          <w:tab w:val="num" w:pos="4320"/>
        </w:tabs>
        <w:ind w:left="4320" w:hanging="360"/>
      </w:pPr>
      <w:rPr>
        <w:rFonts w:ascii="Arial" w:hAnsi="Arial" w:hint="default"/>
      </w:rPr>
    </w:lvl>
    <w:lvl w:ilvl="6" w:tplc="DCA68DA4" w:tentative="1">
      <w:start w:val="1"/>
      <w:numFmt w:val="bullet"/>
      <w:lvlText w:val="•"/>
      <w:lvlJc w:val="left"/>
      <w:pPr>
        <w:tabs>
          <w:tab w:val="num" w:pos="5040"/>
        </w:tabs>
        <w:ind w:left="5040" w:hanging="360"/>
      </w:pPr>
      <w:rPr>
        <w:rFonts w:ascii="Arial" w:hAnsi="Arial" w:hint="default"/>
      </w:rPr>
    </w:lvl>
    <w:lvl w:ilvl="7" w:tplc="77406C40" w:tentative="1">
      <w:start w:val="1"/>
      <w:numFmt w:val="bullet"/>
      <w:lvlText w:val="•"/>
      <w:lvlJc w:val="left"/>
      <w:pPr>
        <w:tabs>
          <w:tab w:val="num" w:pos="5760"/>
        </w:tabs>
        <w:ind w:left="5760" w:hanging="360"/>
      </w:pPr>
      <w:rPr>
        <w:rFonts w:ascii="Arial" w:hAnsi="Arial" w:hint="default"/>
      </w:rPr>
    </w:lvl>
    <w:lvl w:ilvl="8" w:tplc="6C44FFAA" w:tentative="1">
      <w:start w:val="1"/>
      <w:numFmt w:val="bullet"/>
      <w:lvlText w:val="•"/>
      <w:lvlJc w:val="left"/>
      <w:pPr>
        <w:tabs>
          <w:tab w:val="num" w:pos="6480"/>
        </w:tabs>
        <w:ind w:left="6480" w:hanging="360"/>
      </w:pPr>
      <w:rPr>
        <w:rFonts w:ascii="Arial" w:hAnsi="Arial" w:hint="default"/>
      </w:rPr>
    </w:lvl>
  </w:abstractNum>
  <w:abstractNum w:abstractNumId="4">
    <w:nsid w:val="293628BF"/>
    <w:multiLevelType w:val="hybridMultilevel"/>
    <w:tmpl w:val="C4A4674E"/>
    <w:lvl w:ilvl="0" w:tplc="C366CA82">
      <w:start w:val="1"/>
      <w:numFmt w:val="bullet"/>
      <w:pStyle w:val="Box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14551A"/>
    <w:multiLevelType w:val="hybridMultilevel"/>
    <w:tmpl w:val="3BB62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323F80"/>
    <w:multiLevelType w:val="hybridMultilevel"/>
    <w:tmpl w:val="DCF2EC00"/>
    <w:lvl w:ilvl="0" w:tplc="6D82B51E">
      <w:start w:val="1"/>
      <w:numFmt w:val="decimal"/>
      <w:pStyle w:val="AnnexHeader"/>
      <w:lvlText w:val="Annex %1."/>
      <w:lvlJc w:val="left"/>
      <w:pPr>
        <w:ind w:left="227" w:firstLine="0"/>
      </w:pPr>
      <w:rPr>
        <w:rFonts w:ascii="Arial" w:hAnsi="Arial"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D106C5"/>
    <w:multiLevelType w:val="hybridMultilevel"/>
    <w:tmpl w:val="52C4B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B616FA"/>
    <w:multiLevelType w:val="hybridMultilevel"/>
    <w:tmpl w:val="3D4E4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7E4497"/>
    <w:multiLevelType w:val="hybridMultilevel"/>
    <w:tmpl w:val="56A8FFAA"/>
    <w:lvl w:ilvl="0" w:tplc="8062AA04">
      <w:start w:val="1"/>
      <w:numFmt w:val="bullet"/>
      <w:pStyle w:val="BulletList"/>
      <w:lvlText w:val=""/>
      <w:lvlJc w:val="left"/>
      <w:pPr>
        <w:ind w:left="720" w:hanging="360"/>
      </w:pPr>
      <w:rPr>
        <w:rFonts w:ascii="Symbol" w:hAnsi="Symbol" w:hint="default"/>
      </w:rPr>
    </w:lvl>
    <w:lvl w:ilvl="1" w:tplc="34481264"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8A7B9B"/>
    <w:multiLevelType w:val="hybridMultilevel"/>
    <w:tmpl w:val="57CECF4E"/>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1"/>
  </w:num>
  <w:num w:numId="4">
    <w:abstractNumId w:val="2"/>
  </w:num>
  <w:num w:numId="5">
    <w:abstractNumId w:val="10"/>
  </w:num>
  <w:num w:numId="6">
    <w:abstractNumId w:val="9"/>
  </w:num>
  <w:num w:numId="7">
    <w:abstractNumId w:val="4"/>
  </w:num>
  <w:num w:numId="8">
    <w:abstractNumId w:val="7"/>
  </w:num>
  <w:num w:numId="9">
    <w:abstractNumId w:val="5"/>
  </w:num>
  <w:num w:numId="10">
    <w:abstractNumId w:val="3"/>
  </w:num>
  <w:num w:numId="11">
    <w:abstractNumId w:val="0"/>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996"/>
    <w:rsid w:val="000005C5"/>
    <w:rsid w:val="00001C96"/>
    <w:rsid w:val="00007861"/>
    <w:rsid w:val="00024C12"/>
    <w:rsid w:val="00025144"/>
    <w:rsid w:val="00027848"/>
    <w:rsid w:val="0003092C"/>
    <w:rsid w:val="0004170F"/>
    <w:rsid w:val="00045272"/>
    <w:rsid w:val="000455FB"/>
    <w:rsid w:val="00047592"/>
    <w:rsid w:val="00047620"/>
    <w:rsid w:val="00047D4D"/>
    <w:rsid w:val="000500A1"/>
    <w:rsid w:val="00054F50"/>
    <w:rsid w:val="00062A04"/>
    <w:rsid w:val="000630B2"/>
    <w:rsid w:val="00064D5F"/>
    <w:rsid w:val="00066B4A"/>
    <w:rsid w:val="000674CD"/>
    <w:rsid w:val="00071D70"/>
    <w:rsid w:val="000763EB"/>
    <w:rsid w:val="00076632"/>
    <w:rsid w:val="00087623"/>
    <w:rsid w:val="00091410"/>
    <w:rsid w:val="00093198"/>
    <w:rsid w:val="00094FEC"/>
    <w:rsid w:val="00095745"/>
    <w:rsid w:val="0009591F"/>
    <w:rsid w:val="00096A3D"/>
    <w:rsid w:val="000A46D3"/>
    <w:rsid w:val="000C699E"/>
    <w:rsid w:val="000D03C7"/>
    <w:rsid w:val="000D2062"/>
    <w:rsid w:val="000E2B08"/>
    <w:rsid w:val="000E5968"/>
    <w:rsid w:val="000F1087"/>
    <w:rsid w:val="00107135"/>
    <w:rsid w:val="001075FD"/>
    <w:rsid w:val="00111D60"/>
    <w:rsid w:val="00112C15"/>
    <w:rsid w:val="00116613"/>
    <w:rsid w:val="00116AB9"/>
    <w:rsid w:val="0012187C"/>
    <w:rsid w:val="001233A9"/>
    <w:rsid w:val="0012492B"/>
    <w:rsid w:val="00125AF4"/>
    <w:rsid w:val="00125EAD"/>
    <w:rsid w:val="00131CE3"/>
    <w:rsid w:val="00133F03"/>
    <w:rsid w:val="0013439B"/>
    <w:rsid w:val="001345F9"/>
    <w:rsid w:val="001351CE"/>
    <w:rsid w:val="001369AC"/>
    <w:rsid w:val="00140EAC"/>
    <w:rsid w:val="00150CCF"/>
    <w:rsid w:val="00154437"/>
    <w:rsid w:val="0015618B"/>
    <w:rsid w:val="00160D82"/>
    <w:rsid w:val="001623FD"/>
    <w:rsid w:val="00164CE5"/>
    <w:rsid w:val="00170761"/>
    <w:rsid w:val="00172E07"/>
    <w:rsid w:val="00183E5B"/>
    <w:rsid w:val="0019245A"/>
    <w:rsid w:val="00193EF6"/>
    <w:rsid w:val="00197305"/>
    <w:rsid w:val="00197997"/>
    <w:rsid w:val="001A2ED0"/>
    <w:rsid w:val="001B0F0D"/>
    <w:rsid w:val="001B20E2"/>
    <w:rsid w:val="001B2DE2"/>
    <w:rsid w:val="001C16ED"/>
    <w:rsid w:val="001D2009"/>
    <w:rsid w:val="001D6CD2"/>
    <w:rsid w:val="001E1E3C"/>
    <w:rsid w:val="001E7B2D"/>
    <w:rsid w:val="001F3C72"/>
    <w:rsid w:val="001F54DA"/>
    <w:rsid w:val="001F614E"/>
    <w:rsid w:val="001F7A03"/>
    <w:rsid w:val="002018F8"/>
    <w:rsid w:val="00204F6E"/>
    <w:rsid w:val="00207252"/>
    <w:rsid w:val="0021042C"/>
    <w:rsid w:val="00210453"/>
    <w:rsid w:val="00210BAF"/>
    <w:rsid w:val="0021183D"/>
    <w:rsid w:val="002126B9"/>
    <w:rsid w:val="002218E6"/>
    <w:rsid w:val="0022383C"/>
    <w:rsid w:val="002238C5"/>
    <w:rsid w:val="0022723B"/>
    <w:rsid w:val="0023264A"/>
    <w:rsid w:val="00232AC5"/>
    <w:rsid w:val="00241FC7"/>
    <w:rsid w:val="00250101"/>
    <w:rsid w:val="00251124"/>
    <w:rsid w:val="0025284B"/>
    <w:rsid w:val="00253F04"/>
    <w:rsid w:val="00256136"/>
    <w:rsid w:val="00260647"/>
    <w:rsid w:val="00263C00"/>
    <w:rsid w:val="002663C3"/>
    <w:rsid w:val="0027358F"/>
    <w:rsid w:val="00276800"/>
    <w:rsid w:val="00276D44"/>
    <w:rsid w:val="00280D5A"/>
    <w:rsid w:val="00283657"/>
    <w:rsid w:val="00284D78"/>
    <w:rsid w:val="0029047B"/>
    <w:rsid w:val="00297472"/>
    <w:rsid w:val="002A0BFA"/>
    <w:rsid w:val="002A4C96"/>
    <w:rsid w:val="002A51F3"/>
    <w:rsid w:val="002B09EF"/>
    <w:rsid w:val="002B3FF1"/>
    <w:rsid w:val="002B77CD"/>
    <w:rsid w:val="002B7CF3"/>
    <w:rsid w:val="002C28E0"/>
    <w:rsid w:val="002C296B"/>
    <w:rsid w:val="002C7A0C"/>
    <w:rsid w:val="002D3169"/>
    <w:rsid w:val="002D3A78"/>
    <w:rsid w:val="002D6373"/>
    <w:rsid w:val="002E207E"/>
    <w:rsid w:val="002E5478"/>
    <w:rsid w:val="002E7092"/>
    <w:rsid w:val="002F1248"/>
    <w:rsid w:val="002F5007"/>
    <w:rsid w:val="002F6FE3"/>
    <w:rsid w:val="002F7DF5"/>
    <w:rsid w:val="00301911"/>
    <w:rsid w:val="00302E06"/>
    <w:rsid w:val="003073FE"/>
    <w:rsid w:val="00314B73"/>
    <w:rsid w:val="00317849"/>
    <w:rsid w:val="0032190D"/>
    <w:rsid w:val="00321AEE"/>
    <w:rsid w:val="00324786"/>
    <w:rsid w:val="00327E7C"/>
    <w:rsid w:val="00332EC7"/>
    <w:rsid w:val="003372B0"/>
    <w:rsid w:val="00343D48"/>
    <w:rsid w:val="00347595"/>
    <w:rsid w:val="00350873"/>
    <w:rsid w:val="0035653C"/>
    <w:rsid w:val="003603B0"/>
    <w:rsid w:val="00362F8C"/>
    <w:rsid w:val="00366C21"/>
    <w:rsid w:val="00372402"/>
    <w:rsid w:val="00375A87"/>
    <w:rsid w:val="003810F6"/>
    <w:rsid w:val="00383B37"/>
    <w:rsid w:val="003857AA"/>
    <w:rsid w:val="00387699"/>
    <w:rsid w:val="0039699A"/>
    <w:rsid w:val="00396FFB"/>
    <w:rsid w:val="003A5006"/>
    <w:rsid w:val="003A779A"/>
    <w:rsid w:val="003B014B"/>
    <w:rsid w:val="003B1CED"/>
    <w:rsid w:val="003B3EFC"/>
    <w:rsid w:val="003B463A"/>
    <w:rsid w:val="003B6338"/>
    <w:rsid w:val="003B7401"/>
    <w:rsid w:val="003B7A51"/>
    <w:rsid w:val="003C4ED3"/>
    <w:rsid w:val="003C7A72"/>
    <w:rsid w:val="003C7FC9"/>
    <w:rsid w:val="003D160B"/>
    <w:rsid w:val="003D1655"/>
    <w:rsid w:val="003E2D07"/>
    <w:rsid w:val="003F2ED1"/>
    <w:rsid w:val="003F52B3"/>
    <w:rsid w:val="003F71E9"/>
    <w:rsid w:val="003F7493"/>
    <w:rsid w:val="0040143E"/>
    <w:rsid w:val="00403ACD"/>
    <w:rsid w:val="004041DA"/>
    <w:rsid w:val="004123E1"/>
    <w:rsid w:val="004174D8"/>
    <w:rsid w:val="0042003D"/>
    <w:rsid w:val="00423FB3"/>
    <w:rsid w:val="0043334F"/>
    <w:rsid w:val="00437074"/>
    <w:rsid w:val="00437F34"/>
    <w:rsid w:val="00440B42"/>
    <w:rsid w:val="00441A7E"/>
    <w:rsid w:val="00445149"/>
    <w:rsid w:val="00452BE7"/>
    <w:rsid w:val="00463214"/>
    <w:rsid w:val="0046345C"/>
    <w:rsid w:val="004710A2"/>
    <w:rsid w:val="00476847"/>
    <w:rsid w:val="004775E4"/>
    <w:rsid w:val="00485C3B"/>
    <w:rsid w:val="00485FC0"/>
    <w:rsid w:val="00486DA6"/>
    <w:rsid w:val="00490B79"/>
    <w:rsid w:val="004939C3"/>
    <w:rsid w:val="004B5227"/>
    <w:rsid w:val="004B5F1D"/>
    <w:rsid w:val="004B6155"/>
    <w:rsid w:val="004C20C7"/>
    <w:rsid w:val="004C358D"/>
    <w:rsid w:val="004C3A60"/>
    <w:rsid w:val="004C3C15"/>
    <w:rsid w:val="004C42D0"/>
    <w:rsid w:val="004C7D41"/>
    <w:rsid w:val="004E47C8"/>
    <w:rsid w:val="005049C6"/>
    <w:rsid w:val="00506F38"/>
    <w:rsid w:val="00507793"/>
    <w:rsid w:val="00514872"/>
    <w:rsid w:val="00523D5D"/>
    <w:rsid w:val="005264CD"/>
    <w:rsid w:val="00526B3D"/>
    <w:rsid w:val="005274A8"/>
    <w:rsid w:val="00534333"/>
    <w:rsid w:val="00540783"/>
    <w:rsid w:val="0054296F"/>
    <w:rsid w:val="005512F9"/>
    <w:rsid w:val="00560D63"/>
    <w:rsid w:val="00564169"/>
    <w:rsid w:val="00570A2D"/>
    <w:rsid w:val="0057334D"/>
    <w:rsid w:val="00582760"/>
    <w:rsid w:val="00592933"/>
    <w:rsid w:val="0059465E"/>
    <w:rsid w:val="00594C28"/>
    <w:rsid w:val="00597AFD"/>
    <w:rsid w:val="005A283E"/>
    <w:rsid w:val="005A3FC0"/>
    <w:rsid w:val="005A7D1F"/>
    <w:rsid w:val="005B380B"/>
    <w:rsid w:val="005B6CD6"/>
    <w:rsid w:val="005B788A"/>
    <w:rsid w:val="005C1D03"/>
    <w:rsid w:val="005C53DB"/>
    <w:rsid w:val="005C553B"/>
    <w:rsid w:val="005D096D"/>
    <w:rsid w:val="005D6294"/>
    <w:rsid w:val="005D7238"/>
    <w:rsid w:val="005D7256"/>
    <w:rsid w:val="005D743F"/>
    <w:rsid w:val="005E062C"/>
    <w:rsid w:val="005E0DAF"/>
    <w:rsid w:val="005E41DA"/>
    <w:rsid w:val="005E6EBA"/>
    <w:rsid w:val="005E7A8A"/>
    <w:rsid w:val="005F4C23"/>
    <w:rsid w:val="005F5177"/>
    <w:rsid w:val="0060147F"/>
    <w:rsid w:val="006040C6"/>
    <w:rsid w:val="006048E2"/>
    <w:rsid w:val="00604CC9"/>
    <w:rsid w:val="00611053"/>
    <w:rsid w:val="0061380D"/>
    <w:rsid w:val="0061546E"/>
    <w:rsid w:val="00630DAB"/>
    <w:rsid w:val="00633D3A"/>
    <w:rsid w:val="00635558"/>
    <w:rsid w:val="00635B1A"/>
    <w:rsid w:val="0064285D"/>
    <w:rsid w:val="00643F5F"/>
    <w:rsid w:val="00645830"/>
    <w:rsid w:val="00645D25"/>
    <w:rsid w:val="00645D61"/>
    <w:rsid w:val="00646BCA"/>
    <w:rsid w:val="00651826"/>
    <w:rsid w:val="00652AE0"/>
    <w:rsid w:val="00653C63"/>
    <w:rsid w:val="00656DF1"/>
    <w:rsid w:val="00657543"/>
    <w:rsid w:val="00662B50"/>
    <w:rsid w:val="00663210"/>
    <w:rsid w:val="006640C4"/>
    <w:rsid w:val="00665F30"/>
    <w:rsid w:val="006674B6"/>
    <w:rsid w:val="0067056D"/>
    <w:rsid w:val="00673EBB"/>
    <w:rsid w:val="0067616E"/>
    <w:rsid w:val="00686EA7"/>
    <w:rsid w:val="00694A25"/>
    <w:rsid w:val="00696268"/>
    <w:rsid w:val="00697996"/>
    <w:rsid w:val="006A40C6"/>
    <w:rsid w:val="006A7819"/>
    <w:rsid w:val="006B03FE"/>
    <w:rsid w:val="006B599A"/>
    <w:rsid w:val="006B765F"/>
    <w:rsid w:val="006B7D90"/>
    <w:rsid w:val="006D693D"/>
    <w:rsid w:val="006F3442"/>
    <w:rsid w:val="006F5D9E"/>
    <w:rsid w:val="006F6257"/>
    <w:rsid w:val="00711154"/>
    <w:rsid w:val="00712542"/>
    <w:rsid w:val="00713C81"/>
    <w:rsid w:val="00716DCB"/>
    <w:rsid w:val="00717AFC"/>
    <w:rsid w:val="0072616E"/>
    <w:rsid w:val="00727792"/>
    <w:rsid w:val="00731D59"/>
    <w:rsid w:val="00732A7A"/>
    <w:rsid w:val="007353DC"/>
    <w:rsid w:val="00740E00"/>
    <w:rsid w:val="0075293C"/>
    <w:rsid w:val="00753A46"/>
    <w:rsid w:val="007577C7"/>
    <w:rsid w:val="00761F8E"/>
    <w:rsid w:val="00765477"/>
    <w:rsid w:val="0076552A"/>
    <w:rsid w:val="00772AD1"/>
    <w:rsid w:val="00773B9C"/>
    <w:rsid w:val="007748D9"/>
    <w:rsid w:val="00777AED"/>
    <w:rsid w:val="0078353A"/>
    <w:rsid w:val="007877F7"/>
    <w:rsid w:val="0079271D"/>
    <w:rsid w:val="007A320A"/>
    <w:rsid w:val="007A4ED5"/>
    <w:rsid w:val="007A65B7"/>
    <w:rsid w:val="007B0643"/>
    <w:rsid w:val="007B656B"/>
    <w:rsid w:val="007C00E5"/>
    <w:rsid w:val="007C0A47"/>
    <w:rsid w:val="007C0A75"/>
    <w:rsid w:val="007C5026"/>
    <w:rsid w:val="007D1073"/>
    <w:rsid w:val="007D1CA1"/>
    <w:rsid w:val="007D2B12"/>
    <w:rsid w:val="007D3F68"/>
    <w:rsid w:val="007D565F"/>
    <w:rsid w:val="007E12E6"/>
    <w:rsid w:val="007E6519"/>
    <w:rsid w:val="007F3B2F"/>
    <w:rsid w:val="007F5012"/>
    <w:rsid w:val="00801C15"/>
    <w:rsid w:val="00802D71"/>
    <w:rsid w:val="00804ED7"/>
    <w:rsid w:val="00807906"/>
    <w:rsid w:val="00811C83"/>
    <w:rsid w:val="00813F44"/>
    <w:rsid w:val="00820BAE"/>
    <w:rsid w:val="00821B22"/>
    <w:rsid w:val="00821EBE"/>
    <w:rsid w:val="0083303B"/>
    <w:rsid w:val="0083515F"/>
    <w:rsid w:val="008420B1"/>
    <w:rsid w:val="00857BB7"/>
    <w:rsid w:val="00860FDA"/>
    <w:rsid w:val="00873CE8"/>
    <w:rsid w:val="00886AA7"/>
    <w:rsid w:val="00886FBF"/>
    <w:rsid w:val="008875B1"/>
    <w:rsid w:val="00890579"/>
    <w:rsid w:val="00892E4E"/>
    <w:rsid w:val="00894865"/>
    <w:rsid w:val="0089743D"/>
    <w:rsid w:val="008A3F8D"/>
    <w:rsid w:val="008A4133"/>
    <w:rsid w:val="008A6102"/>
    <w:rsid w:val="008B36EA"/>
    <w:rsid w:val="008B5408"/>
    <w:rsid w:val="008B7EA8"/>
    <w:rsid w:val="008C1FE3"/>
    <w:rsid w:val="008C248A"/>
    <w:rsid w:val="008C40B2"/>
    <w:rsid w:val="008C51B8"/>
    <w:rsid w:val="008C5FC8"/>
    <w:rsid w:val="008C79A8"/>
    <w:rsid w:val="008D363D"/>
    <w:rsid w:val="008F32BE"/>
    <w:rsid w:val="008F7815"/>
    <w:rsid w:val="00901C72"/>
    <w:rsid w:val="00901F99"/>
    <w:rsid w:val="00903055"/>
    <w:rsid w:val="009052CF"/>
    <w:rsid w:val="00912128"/>
    <w:rsid w:val="00920BAF"/>
    <w:rsid w:val="00920DFD"/>
    <w:rsid w:val="00920E3E"/>
    <w:rsid w:val="00922D52"/>
    <w:rsid w:val="00924141"/>
    <w:rsid w:val="00924CC5"/>
    <w:rsid w:val="00931101"/>
    <w:rsid w:val="00932FFF"/>
    <w:rsid w:val="00933BD6"/>
    <w:rsid w:val="00935339"/>
    <w:rsid w:val="009402B5"/>
    <w:rsid w:val="00945CAF"/>
    <w:rsid w:val="009463E7"/>
    <w:rsid w:val="0095347F"/>
    <w:rsid w:val="009538FB"/>
    <w:rsid w:val="0095398A"/>
    <w:rsid w:val="009553E6"/>
    <w:rsid w:val="00955A8A"/>
    <w:rsid w:val="00956A2A"/>
    <w:rsid w:val="00960DAE"/>
    <w:rsid w:val="00964708"/>
    <w:rsid w:val="009652B0"/>
    <w:rsid w:val="00966A59"/>
    <w:rsid w:val="00973A8E"/>
    <w:rsid w:val="00983869"/>
    <w:rsid w:val="009921FB"/>
    <w:rsid w:val="00993A79"/>
    <w:rsid w:val="00994238"/>
    <w:rsid w:val="009A26A5"/>
    <w:rsid w:val="009A6696"/>
    <w:rsid w:val="009B6B67"/>
    <w:rsid w:val="009B7C3C"/>
    <w:rsid w:val="009C0CF5"/>
    <w:rsid w:val="009C1871"/>
    <w:rsid w:val="009C2EF9"/>
    <w:rsid w:val="009C385E"/>
    <w:rsid w:val="009D0935"/>
    <w:rsid w:val="009D4ECD"/>
    <w:rsid w:val="009E16C4"/>
    <w:rsid w:val="009F04B9"/>
    <w:rsid w:val="009F1F83"/>
    <w:rsid w:val="009F203A"/>
    <w:rsid w:val="009F4C63"/>
    <w:rsid w:val="00A02A8E"/>
    <w:rsid w:val="00A03D2C"/>
    <w:rsid w:val="00A03FEB"/>
    <w:rsid w:val="00A10F88"/>
    <w:rsid w:val="00A11CCE"/>
    <w:rsid w:val="00A262DC"/>
    <w:rsid w:val="00A275D8"/>
    <w:rsid w:val="00A37D12"/>
    <w:rsid w:val="00A42E6D"/>
    <w:rsid w:val="00A434F1"/>
    <w:rsid w:val="00A6034B"/>
    <w:rsid w:val="00A609AE"/>
    <w:rsid w:val="00A61100"/>
    <w:rsid w:val="00A66183"/>
    <w:rsid w:val="00A669CC"/>
    <w:rsid w:val="00A77771"/>
    <w:rsid w:val="00A80311"/>
    <w:rsid w:val="00A814E7"/>
    <w:rsid w:val="00A8218F"/>
    <w:rsid w:val="00A85874"/>
    <w:rsid w:val="00A87D11"/>
    <w:rsid w:val="00A87D31"/>
    <w:rsid w:val="00A92C0B"/>
    <w:rsid w:val="00AA0CE9"/>
    <w:rsid w:val="00AA2F2D"/>
    <w:rsid w:val="00AA783F"/>
    <w:rsid w:val="00AA7AEF"/>
    <w:rsid w:val="00AB294A"/>
    <w:rsid w:val="00AB71AF"/>
    <w:rsid w:val="00AC0268"/>
    <w:rsid w:val="00AC15D2"/>
    <w:rsid w:val="00AD1BCF"/>
    <w:rsid w:val="00AD5D5A"/>
    <w:rsid w:val="00AD666D"/>
    <w:rsid w:val="00AE2788"/>
    <w:rsid w:val="00AE28CA"/>
    <w:rsid w:val="00AE2F10"/>
    <w:rsid w:val="00AF3F40"/>
    <w:rsid w:val="00AF59E8"/>
    <w:rsid w:val="00B0025E"/>
    <w:rsid w:val="00B030FD"/>
    <w:rsid w:val="00B07E52"/>
    <w:rsid w:val="00B12184"/>
    <w:rsid w:val="00B17982"/>
    <w:rsid w:val="00B17BB1"/>
    <w:rsid w:val="00B17EB6"/>
    <w:rsid w:val="00B20AC7"/>
    <w:rsid w:val="00B2235B"/>
    <w:rsid w:val="00B324E6"/>
    <w:rsid w:val="00B354CD"/>
    <w:rsid w:val="00B37C2A"/>
    <w:rsid w:val="00B40310"/>
    <w:rsid w:val="00B44B94"/>
    <w:rsid w:val="00B55763"/>
    <w:rsid w:val="00B60193"/>
    <w:rsid w:val="00B6328F"/>
    <w:rsid w:val="00B64BA9"/>
    <w:rsid w:val="00B72BAE"/>
    <w:rsid w:val="00B73D11"/>
    <w:rsid w:val="00B773F1"/>
    <w:rsid w:val="00B822F9"/>
    <w:rsid w:val="00B826B0"/>
    <w:rsid w:val="00B8489A"/>
    <w:rsid w:val="00B97687"/>
    <w:rsid w:val="00BA0E13"/>
    <w:rsid w:val="00BA49D9"/>
    <w:rsid w:val="00BA63DA"/>
    <w:rsid w:val="00BC3A13"/>
    <w:rsid w:val="00BC5755"/>
    <w:rsid w:val="00BC5DD9"/>
    <w:rsid w:val="00BC71F6"/>
    <w:rsid w:val="00BD1DA8"/>
    <w:rsid w:val="00BD590C"/>
    <w:rsid w:val="00BD606F"/>
    <w:rsid w:val="00BD770F"/>
    <w:rsid w:val="00BE2D21"/>
    <w:rsid w:val="00BE415A"/>
    <w:rsid w:val="00BE5F72"/>
    <w:rsid w:val="00BE6F09"/>
    <w:rsid w:val="00BE7CBF"/>
    <w:rsid w:val="00BE7ED0"/>
    <w:rsid w:val="00BF2C50"/>
    <w:rsid w:val="00BF2D86"/>
    <w:rsid w:val="00BF2E90"/>
    <w:rsid w:val="00BF31B3"/>
    <w:rsid w:val="00C00530"/>
    <w:rsid w:val="00C0207C"/>
    <w:rsid w:val="00C03142"/>
    <w:rsid w:val="00C031D1"/>
    <w:rsid w:val="00C05599"/>
    <w:rsid w:val="00C139E2"/>
    <w:rsid w:val="00C150E4"/>
    <w:rsid w:val="00C20319"/>
    <w:rsid w:val="00C228A6"/>
    <w:rsid w:val="00C228DC"/>
    <w:rsid w:val="00C22BCD"/>
    <w:rsid w:val="00C238A3"/>
    <w:rsid w:val="00C26524"/>
    <w:rsid w:val="00C27551"/>
    <w:rsid w:val="00C3361C"/>
    <w:rsid w:val="00C33D91"/>
    <w:rsid w:val="00C34F63"/>
    <w:rsid w:val="00C35759"/>
    <w:rsid w:val="00C43F36"/>
    <w:rsid w:val="00C44FF8"/>
    <w:rsid w:val="00C458DB"/>
    <w:rsid w:val="00C45AFB"/>
    <w:rsid w:val="00C45C52"/>
    <w:rsid w:val="00C52147"/>
    <w:rsid w:val="00C52174"/>
    <w:rsid w:val="00C558DC"/>
    <w:rsid w:val="00C62F69"/>
    <w:rsid w:val="00C63ABD"/>
    <w:rsid w:val="00C64780"/>
    <w:rsid w:val="00C71868"/>
    <w:rsid w:val="00C7744E"/>
    <w:rsid w:val="00C834BF"/>
    <w:rsid w:val="00C83795"/>
    <w:rsid w:val="00C87EB8"/>
    <w:rsid w:val="00C945FE"/>
    <w:rsid w:val="00C94681"/>
    <w:rsid w:val="00C96ED6"/>
    <w:rsid w:val="00CA13E6"/>
    <w:rsid w:val="00CA2A4F"/>
    <w:rsid w:val="00CA4C6C"/>
    <w:rsid w:val="00CB19C4"/>
    <w:rsid w:val="00CB348F"/>
    <w:rsid w:val="00CB429C"/>
    <w:rsid w:val="00CB5168"/>
    <w:rsid w:val="00CC19C2"/>
    <w:rsid w:val="00CC23A4"/>
    <w:rsid w:val="00CC5D51"/>
    <w:rsid w:val="00CD5889"/>
    <w:rsid w:val="00CD725A"/>
    <w:rsid w:val="00CE4699"/>
    <w:rsid w:val="00CF0ED9"/>
    <w:rsid w:val="00CF1F56"/>
    <w:rsid w:val="00CF2E10"/>
    <w:rsid w:val="00CF4FFE"/>
    <w:rsid w:val="00CF70CA"/>
    <w:rsid w:val="00D07A71"/>
    <w:rsid w:val="00D107FC"/>
    <w:rsid w:val="00D133D0"/>
    <w:rsid w:val="00D30C86"/>
    <w:rsid w:val="00D31108"/>
    <w:rsid w:val="00D35C02"/>
    <w:rsid w:val="00D4076A"/>
    <w:rsid w:val="00D4172C"/>
    <w:rsid w:val="00D44A10"/>
    <w:rsid w:val="00D45519"/>
    <w:rsid w:val="00D51BED"/>
    <w:rsid w:val="00D52823"/>
    <w:rsid w:val="00D6022D"/>
    <w:rsid w:val="00D60A5E"/>
    <w:rsid w:val="00D6166B"/>
    <w:rsid w:val="00D7011D"/>
    <w:rsid w:val="00D711A8"/>
    <w:rsid w:val="00D7276A"/>
    <w:rsid w:val="00D74366"/>
    <w:rsid w:val="00D74794"/>
    <w:rsid w:val="00D76FCA"/>
    <w:rsid w:val="00D77A99"/>
    <w:rsid w:val="00D857A2"/>
    <w:rsid w:val="00D9082E"/>
    <w:rsid w:val="00D946CE"/>
    <w:rsid w:val="00DA129A"/>
    <w:rsid w:val="00DA4237"/>
    <w:rsid w:val="00DA562C"/>
    <w:rsid w:val="00DA6A4B"/>
    <w:rsid w:val="00DA7A41"/>
    <w:rsid w:val="00DB5D93"/>
    <w:rsid w:val="00DC2168"/>
    <w:rsid w:val="00DC6762"/>
    <w:rsid w:val="00DD0031"/>
    <w:rsid w:val="00DE4738"/>
    <w:rsid w:val="00DE7CD9"/>
    <w:rsid w:val="00DF672A"/>
    <w:rsid w:val="00DF7949"/>
    <w:rsid w:val="00E12759"/>
    <w:rsid w:val="00E15206"/>
    <w:rsid w:val="00E161FD"/>
    <w:rsid w:val="00E25ADA"/>
    <w:rsid w:val="00E266DD"/>
    <w:rsid w:val="00E40617"/>
    <w:rsid w:val="00E4145C"/>
    <w:rsid w:val="00E41E37"/>
    <w:rsid w:val="00E46CD3"/>
    <w:rsid w:val="00E53AC1"/>
    <w:rsid w:val="00E53BC2"/>
    <w:rsid w:val="00E54BD5"/>
    <w:rsid w:val="00E5745F"/>
    <w:rsid w:val="00E62931"/>
    <w:rsid w:val="00E62DF1"/>
    <w:rsid w:val="00E63A36"/>
    <w:rsid w:val="00E654B6"/>
    <w:rsid w:val="00E712ED"/>
    <w:rsid w:val="00E72F78"/>
    <w:rsid w:val="00E7354A"/>
    <w:rsid w:val="00E80C13"/>
    <w:rsid w:val="00E821A3"/>
    <w:rsid w:val="00E857EC"/>
    <w:rsid w:val="00E9027D"/>
    <w:rsid w:val="00E95EC4"/>
    <w:rsid w:val="00EA11A6"/>
    <w:rsid w:val="00EA75C3"/>
    <w:rsid w:val="00EB3885"/>
    <w:rsid w:val="00EB4EFA"/>
    <w:rsid w:val="00EC14DE"/>
    <w:rsid w:val="00EC255F"/>
    <w:rsid w:val="00EC4368"/>
    <w:rsid w:val="00EC4767"/>
    <w:rsid w:val="00EC7F1A"/>
    <w:rsid w:val="00ED50E4"/>
    <w:rsid w:val="00ED541E"/>
    <w:rsid w:val="00EF12EA"/>
    <w:rsid w:val="00EF2ACE"/>
    <w:rsid w:val="00EF6CBA"/>
    <w:rsid w:val="00F01F64"/>
    <w:rsid w:val="00F03686"/>
    <w:rsid w:val="00F14255"/>
    <w:rsid w:val="00F142DF"/>
    <w:rsid w:val="00F1635E"/>
    <w:rsid w:val="00F24396"/>
    <w:rsid w:val="00F243C8"/>
    <w:rsid w:val="00F24C0C"/>
    <w:rsid w:val="00F33BBB"/>
    <w:rsid w:val="00F3429C"/>
    <w:rsid w:val="00F34A3C"/>
    <w:rsid w:val="00F40993"/>
    <w:rsid w:val="00F409DA"/>
    <w:rsid w:val="00F43A86"/>
    <w:rsid w:val="00F448F8"/>
    <w:rsid w:val="00F4642A"/>
    <w:rsid w:val="00F51E44"/>
    <w:rsid w:val="00F52323"/>
    <w:rsid w:val="00F54107"/>
    <w:rsid w:val="00F56038"/>
    <w:rsid w:val="00F61028"/>
    <w:rsid w:val="00F6291E"/>
    <w:rsid w:val="00F646F1"/>
    <w:rsid w:val="00F65E9B"/>
    <w:rsid w:val="00F66B12"/>
    <w:rsid w:val="00F70BE5"/>
    <w:rsid w:val="00F77510"/>
    <w:rsid w:val="00F81877"/>
    <w:rsid w:val="00F83660"/>
    <w:rsid w:val="00F855A5"/>
    <w:rsid w:val="00F94617"/>
    <w:rsid w:val="00F958A9"/>
    <w:rsid w:val="00F97085"/>
    <w:rsid w:val="00F97D8D"/>
    <w:rsid w:val="00FA0E50"/>
    <w:rsid w:val="00FB2E3E"/>
    <w:rsid w:val="00FC0398"/>
    <w:rsid w:val="00FC1705"/>
    <w:rsid w:val="00FC2705"/>
    <w:rsid w:val="00FC5028"/>
    <w:rsid w:val="00FC59E3"/>
    <w:rsid w:val="00FC6030"/>
    <w:rsid w:val="00FC778A"/>
    <w:rsid w:val="00FC78C6"/>
    <w:rsid w:val="00FD1D68"/>
    <w:rsid w:val="00FD27DB"/>
    <w:rsid w:val="00FD2F61"/>
    <w:rsid w:val="00FD654C"/>
    <w:rsid w:val="00FD6E25"/>
    <w:rsid w:val="00FE414D"/>
    <w:rsid w:val="00FE764F"/>
    <w:rsid w:val="00FF0C67"/>
    <w:rsid w:val="00FF268B"/>
    <w:rsid w:val="00FF4106"/>
  </w:rsids>
  <m:mathPr>
    <m:mathFont m:val="Cambria Math"/>
    <m:brkBin m:val="before"/>
    <m:brkBinSub m:val="--"/>
    <m:smallFrac m:val="0"/>
    <m:dispDef/>
    <m:lMargin m:val="0"/>
    <m:rMargin m:val="0"/>
    <m:defJc m:val="centerGroup"/>
    <m:wrapIndent m:val="1440"/>
    <m:intLim m:val="subSup"/>
    <m:naryLim m:val="undOvr"/>
  </m:mathPr>
  <w:themeFontLang w:val="en-AU"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A771B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5398A"/>
    <w:pPr>
      <w:suppressAutoHyphens/>
      <w:spacing w:before="120" w:after="120"/>
    </w:pPr>
    <w:rPr>
      <w:rFonts w:ascii="Garamond" w:hAnsi="Garamond"/>
      <w:sz w:val="24"/>
      <w:szCs w:val="24"/>
    </w:rPr>
  </w:style>
  <w:style w:type="paragraph" w:styleId="Heading1">
    <w:name w:val="heading 1"/>
    <w:basedOn w:val="Normal"/>
    <w:next w:val="Normal"/>
    <w:link w:val="Heading1Char"/>
    <w:uiPriority w:val="9"/>
    <w:qFormat/>
    <w:rsid w:val="00D857A2"/>
    <w:pPr>
      <w:keepNext/>
      <w:keepLines/>
      <w:spacing w:before="240"/>
      <w:outlineLvl w:val="0"/>
    </w:pPr>
    <w:rPr>
      <w:rFonts w:ascii="Calibri" w:eastAsia="MS Gothic" w:hAnsi="Calibri"/>
      <w:caps/>
      <w:color w:val="FF6600"/>
      <w:sz w:val="26"/>
      <w:szCs w:val="26"/>
    </w:rPr>
  </w:style>
  <w:style w:type="paragraph" w:styleId="Heading2">
    <w:name w:val="heading 2"/>
    <w:basedOn w:val="Heading1"/>
    <w:next w:val="Normal"/>
    <w:link w:val="Heading2Char"/>
    <w:uiPriority w:val="9"/>
    <w:unhideWhenUsed/>
    <w:qFormat/>
    <w:rsid w:val="007B656B"/>
    <w:pPr>
      <w:spacing w:before="120"/>
      <w:outlineLvl w:val="1"/>
    </w:pPr>
    <w:rPr>
      <w:sz w:val="22"/>
      <w:szCs w:val="20"/>
    </w:rPr>
  </w:style>
  <w:style w:type="paragraph" w:styleId="Heading3">
    <w:name w:val="heading 3"/>
    <w:basedOn w:val="Normal"/>
    <w:next w:val="Normal"/>
    <w:link w:val="Heading3Char"/>
    <w:uiPriority w:val="9"/>
    <w:unhideWhenUsed/>
    <w:qFormat/>
    <w:rsid w:val="00D857A2"/>
    <w:pPr>
      <w:keepNext/>
      <w:keepLines/>
      <w:outlineLvl w:val="2"/>
    </w:pPr>
    <w:rPr>
      <w:rFonts w:ascii="Calibri" w:eastAsia="MS Gothic" w:hAnsi="Calibri"/>
      <w:bCs/>
      <w:i/>
      <w:color w:val="FF6600"/>
      <w:sz w:val="22"/>
      <w:szCs w:val="20"/>
    </w:rPr>
  </w:style>
  <w:style w:type="paragraph" w:styleId="Heading4">
    <w:name w:val="heading 4"/>
    <w:basedOn w:val="Normal"/>
    <w:next w:val="Normal"/>
    <w:link w:val="Heading4Char"/>
    <w:uiPriority w:val="9"/>
    <w:unhideWhenUsed/>
    <w:qFormat/>
    <w:rsid w:val="002B09EF"/>
    <w:pPr>
      <w:keepNext/>
      <w:keepLines/>
      <w:spacing w:before="200"/>
      <w:outlineLvl w:val="3"/>
    </w:pPr>
    <w:rPr>
      <w:rFonts w:ascii="Calibri" w:eastAsia="MS Gothic" w:hAnsi="Calibri"/>
      <w:b/>
      <w:bCs/>
      <w:i/>
      <w:iCs/>
      <w:color w:val="E36C0A" w:themeColor="accent6" w:themeShade="BF"/>
      <w:sz w:val="20"/>
      <w:szCs w:val="20"/>
    </w:rPr>
  </w:style>
  <w:style w:type="paragraph" w:styleId="Heading5">
    <w:name w:val="heading 5"/>
    <w:basedOn w:val="Normal"/>
    <w:next w:val="Normal"/>
    <w:link w:val="Heading5Char"/>
    <w:uiPriority w:val="9"/>
    <w:semiHidden/>
    <w:unhideWhenUsed/>
    <w:qFormat/>
    <w:rsid w:val="0095398A"/>
    <w:pPr>
      <w:keepNext/>
      <w:keepLines/>
      <w:spacing w:before="200"/>
      <w:outlineLvl w:val="4"/>
    </w:pPr>
    <w:rPr>
      <w:rFonts w:ascii="Calibri" w:eastAsia="MS Gothic" w:hAnsi="Calibri"/>
      <w:color w:val="243F60"/>
      <w:sz w:val="20"/>
      <w:szCs w:val="20"/>
    </w:rPr>
  </w:style>
  <w:style w:type="paragraph" w:styleId="Heading6">
    <w:name w:val="heading 6"/>
    <w:basedOn w:val="Normal"/>
    <w:next w:val="Normal"/>
    <w:link w:val="Heading6Char"/>
    <w:uiPriority w:val="9"/>
    <w:semiHidden/>
    <w:unhideWhenUsed/>
    <w:qFormat/>
    <w:rsid w:val="0095398A"/>
    <w:pPr>
      <w:keepNext/>
      <w:keepLines/>
      <w:spacing w:before="200"/>
      <w:outlineLvl w:val="5"/>
    </w:pPr>
    <w:rPr>
      <w:rFonts w:ascii="Calibri" w:eastAsia="MS Gothic" w:hAnsi="Calibri"/>
      <w:i/>
      <w:iCs/>
      <w:color w:val="243F60"/>
      <w:sz w:val="20"/>
      <w:szCs w:val="20"/>
    </w:rPr>
  </w:style>
  <w:style w:type="paragraph" w:styleId="Heading7">
    <w:name w:val="heading 7"/>
    <w:basedOn w:val="Normal"/>
    <w:next w:val="Normal"/>
    <w:link w:val="Heading7Char"/>
    <w:uiPriority w:val="9"/>
    <w:semiHidden/>
    <w:unhideWhenUsed/>
    <w:qFormat/>
    <w:rsid w:val="0095398A"/>
    <w:pPr>
      <w:keepNext/>
      <w:keepLines/>
      <w:spacing w:before="200"/>
      <w:outlineLvl w:val="6"/>
    </w:pPr>
    <w:rPr>
      <w:rFonts w:ascii="Calibri" w:eastAsia="MS Gothic" w:hAnsi="Calibri"/>
      <w:i/>
      <w:iCs/>
      <w:color w:val="404040"/>
      <w:sz w:val="20"/>
      <w:szCs w:val="20"/>
    </w:rPr>
  </w:style>
  <w:style w:type="paragraph" w:styleId="Heading8">
    <w:name w:val="heading 8"/>
    <w:basedOn w:val="Normal"/>
    <w:next w:val="Normal"/>
    <w:link w:val="Heading8Char"/>
    <w:uiPriority w:val="9"/>
    <w:semiHidden/>
    <w:unhideWhenUsed/>
    <w:qFormat/>
    <w:rsid w:val="0095398A"/>
    <w:pPr>
      <w:keepNext/>
      <w:keepLines/>
      <w:spacing w:before="200"/>
      <w:outlineLvl w:val="7"/>
    </w:pPr>
    <w:rPr>
      <w:rFonts w:ascii="Calibri" w:eastAsia="MS Gothic" w:hAnsi="Calibri"/>
      <w:color w:val="404040"/>
      <w:sz w:val="20"/>
      <w:szCs w:val="20"/>
    </w:rPr>
  </w:style>
  <w:style w:type="paragraph" w:styleId="Heading9">
    <w:name w:val="heading 9"/>
    <w:basedOn w:val="Normal"/>
    <w:next w:val="Normal"/>
    <w:link w:val="Heading9Char"/>
    <w:uiPriority w:val="9"/>
    <w:semiHidden/>
    <w:unhideWhenUsed/>
    <w:qFormat/>
    <w:rsid w:val="0095398A"/>
    <w:pPr>
      <w:keepNext/>
      <w:keepLines/>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 Char,Char,ft,single space,footnote text,fn,Footnote Text Char Char Char Char,FOOTNOTES"/>
    <w:basedOn w:val="Normal"/>
    <w:link w:val="FootnoteTextChar"/>
    <w:autoRedefine/>
    <w:unhideWhenUsed/>
    <w:qFormat/>
    <w:rsid w:val="003B463A"/>
    <w:pPr>
      <w:spacing w:before="60" w:after="0"/>
    </w:pPr>
    <w:rPr>
      <w:sz w:val="20"/>
    </w:rPr>
  </w:style>
  <w:style w:type="character" w:customStyle="1" w:styleId="FootnoteTextChar">
    <w:name w:val="Footnote Text Char"/>
    <w:aliases w:val="Char Char Char,Char Char1,ft Char,single space Char,footnote text Char,fn Char,Footnote Text Char Char Char Char Char,FOOTNOTES Char"/>
    <w:link w:val="FootnoteText"/>
    <w:rsid w:val="003B463A"/>
    <w:rPr>
      <w:rFonts w:ascii="Garamond" w:hAnsi="Garamond"/>
      <w:szCs w:val="24"/>
    </w:rPr>
  </w:style>
  <w:style w:type="paragraph" w:styleId="BalloonText">
    <w:name w:val="Balloon Text"/>
    <w:basedOn w:val="Normal"/>
    <w:link w:val="BalloonTextChar"/>
    <w:semiHidden/>
    <w:rsid w:val="00F40993"/>
    <w:pPr>
      <w:jc w:val="both"/>
    </w:pPr>
  </w:style>
  <w:style w:type="character" w:customStyle="1" w:styleId="BalloonTextChar">
    <w:name w:val="Balloon Text Char"/>
    <w:link w:val="BalloonText"/>
    <w:semiHidden/>
    <w:rsid w:val="00F40993"/>
  </w:style>
  <w:style w:type="paragraph" w:customStyle="1" w:styleId="TableText">
    <w:name w:val="Table Text"/>
    <w:basedOn w:val="Normal"/>
    <w:autoRedefine/>
    <w:qFormat/>
    <w:rsid w:val="002B7CF3"/>
    <w:rPr>
      <w:rFonts w:ascii="Calibri" w:hAnsi="Calibri"/>
      <w:sz w:val="20"/>
      <w:szCs w:val="20"/>
    </w:rPr>
  </w:style>
  <w:style w:type="paragraph" w:customStyle="1" w:styleId="AnnexHeader">
    <w:name w:val="Annex Header"/>
    <w:basedOn w:val="Normal"/>
    <w:rsid w:val="00656DF1"/>
    <w:pPr>
      <w:numPr>
        <w:numId w:val="1"/>
      </w:numPr>
    </w:pPr>
    <w:rPr>
      <w:rFonts w:ascii="Arial" w:eastAsia="Times New Roman" w:hAnsi="Arial" w:cs="Arial"/>
      <w:b/>
      <w:lang w:eastAsia="en-AU"/>
    </w:rPr>
  </w:style>
  <w:style w:type="paragraph" w:styleId="Quote">
    <w:name w:val="Quote"/>
    <w:basedOn w:val="Normal"/>
    <w:next w:val="Normal"/>
    <w:link w:val="QuoteChar"/>
    <w:uiPriority w:val="29"/>
    <w:qFormat/>
    <w:rsid w:val="00645830"/>
    <w:pPr>
      <w:shd w:val="clear" w:color="auto" w:fill="FFCC99"/>
      <w:ind w:left="567" w:right="567"/>
    </w:pPr>
    <w:rPr>
      <w:rFonts w:asciiTheme="majorHAnsi" w:hAnsiTheme="majorHAnsi"/>
      <w:iCs/>
      <w:color w:val="000000"/>
      <w:sz w:val="21"/>
      <w:szCs w:val="21"/>
      <w:lang w:val="en-US"/>
    </w:rPr>
  </w:style>
  <w:style w:type="character" w:customStyle="1" w:styleId="QuoteChar">
    <w:name w:val="Quote Char"/>
    <w:link w:val="Quote"/>
    <w:uiPriority w:val="29"/>
    <w:rsid w:val="00645830"/>
    <w:rPr>
      <w:rFonts w:asciiTheme="majorHAnsi" w:hAnsiTheme="majorHAnsi"/>
      <w:iCs/>
      <w:color w:val="000000"/>
      <w:sz w:val="21"/>
      <w:szCs w:val="21"/>
      <w:shd w:val="clear" w:color="auto" w:fill="FFCC99"/>
      <w:lang w:val="en-US"/>
    </w:rPr>
  </w:style>
  <w:style w:type="paragraph" w:customStyle="1" w:styleId="BulletList">
    <w:name w:val="Bullet List"/>
    <w:basedOn w:val="Normal"/>
    <w:autoRedefine/>
    <w:qFormat/>
    <w:rsid w:val="0095398A"/>
    <w:pPr>
      <w:numPr>
        <w:numId w:val="6"/>
      </w:numPr>
    </w:pPr>
  </w:style>
  <w:style w:type="paragraph" w:customStyle="1" w:styleId="NumberList">
    <w:name w:val="Number List"/>
    <w:basedOn w:val="BulletList"/>
    <w:autoRedefine/>
    <w:qFormat/>
    <w:rsid w:val="0004170F"/>
    <w:pPr>
      <w:numPr>
        <w:numId w:val="3"/>
      </w:numPr>
    </w:pPr>
  </w:style>
  <w:style w:type="character" w:styleId="Strong">
    <w:name w:val="Strong"/>
    <w:uiPriority w:val="22"/>
    <w:rsid w:val="00D52823"/>
    <w:rPr>
      <w:b/>
      <w:bCs/>
    </w:rPr>
  </w:style>
  <w:style w:type="paragraph" w:styleId="IntenseQuote">
    <w:name w:val="Intense Quote"/>
    <w:basedOn w:val="Normal"/>
    <w:next w:val="Normal"/>
    <w:link w:val="IntenseQuoteChar"/>
    <w:uiPriority w:val="30"/>
    <w:rsid w:val="00D52823"/>
    <w:pPr>
      <w:pBdr>
        <w:bottom w:val="single" w:sz="4" w:space="4" w:color="4F81BD"/>
      </w:pBdr>
      <w:spacing w:before="200" w:after="280"/>
      <w:ind w:left="936" w:right="936"/>
    </w:pPr>
    <w:rPr>
      <w:rFonts w:ascii="Perpetua" w:hAnsi="Perpetua"/>
      <w:b/>
      <w:bCs/>
      <w:i/>
      <w:iCs/>
      <w:color w:val="4F81BD"/>
    </w:rPr>
  </w:style>
  <w:style w:type="character" w:customStyle="1" w:styleId="IntenseQuoteChar">
    <w:name w:val="Intense Quote Char"/>
    <w:link w:val="IntenseQuote"/>
    <w:uiPriority w:val="30"/>
    <w:rsid w:val="00D52823"/>
    <w:rPr>
      <w:rFonts w:ascii="Perpetua" w:hAnsi="Perpetua"/>
      <w:b/>
      <w:bCs/>
      <w:i/>
      <w:iCs/>
      <w:color w:val="4F81BD"/>
    </w:rPr>
  </w:style>
  <w:style w:type="paragraph" w:styleId="Caption">
    <w:name w:val="caption"/>
    <w:basedOn w:val="Normal"/>
    <w:next w:val="Normal"/>
    <w:autoRedefine/>
    <w:uiPriority w:val="35"/>
    <w:unhideWhenUsed/>
    <w:qFormat/>
    <w:rsid w:val="00001C96"/>
    <w:pPr>
      <w:keepNext/>
      <w:jc w:val="center"/>
    </w:pPr>
    <w:rPr>
      <w:rFonts w:ascii="Calibri" w:hAnsi="Calibri"/>
      <w:bCs/>
      <w:sz w:val="20"/>
      <w:szCs w:val="18"/>
    </w:rPr>
  </w:style>
  <w:style w:type="paragraph" w:customStyle="1" w:styleId="TableHeading">
    <w:name w:val="Table Heading"/>
    <w:basedOn w:val="TableText"/>
    <w:qFormat/>
    <w:rsid w:val="00B0025E"/>
    <w:pPr>
      <w:jc w:val="center"/>
    </w:pPr>
    <w:rPr>
      <w:b/>
    </w:rPr>
  </w:style>
  <w:style w:type="character" w:customStyle="1" w:styleId="Heading1Char">
    <w:name w:val="Heading 1 Char"/>
    <w:link w:val="Heading1"/>
    <w:uiPriority w:val="9"/>
    <w:rsid w:val="00D857A2"/>
    <w:rPr>
      <w:rFonts w:ascii="Calibri" w:eastAsia="MS Gothic" w:hAnsi="Calibri"/>
      <w:caps/>
      <w:color w:val="FF6600"/>
      <w:sz w:val="26"/>
      <w:szCs w:val="26"/>
    </w:rPr>
  </w:style>
  <w:style w:type="character" w:customStyle="1" w:styleId="Heading2Char">
    <w:name w:val="Heading 2 Char"/>
    <w:link w:val="Heading2"/>
    <w:uiPriority w:val="9"/>
    <w:rsid w:val="006B03FE"/>
    <w:rPr>
      <w:rFonts w:ascii="Calibri" w:eastAsia="MS Gothic" w:hAnsi="Calibri"/>
      <w:bCs/>
      <w:color w:val="18637E"/>
      <w:sz w:val="22"/>
    </w:rPr>
  </w:style>
  <w:style w:type="character" w:customStyle="1" w:styleId="Heading3Char">
    <w:name w:val="Heading 3 Char"/>
    <w:link w:val="Heading3"/>
    <w:uiPriority w:val="9"/>
    <w:rsid w:val="00D857A2"/>
    <w:rPr>
      <w:rFonts w:ascii="Calibri" w:eastAsia="MS Gothic" w:hAnsi="Calibri"/>
      <w:bCs/>
      <w:i/>
      <w:color w:val="FF6600"/>
      <w:sz w:val="22"/>
    </w:rPr>
  </w:style>
  <w:style w:type="character" w:customStyle="1" w:styleId="Heading4Char">
    <w:name w:val="Heading 4 Char"/>
    <w:link w:val="Heading4"/>
    <w:uiPriority w:val="9"/>
    <w:rsid w:val="002B09EF"/>
    <w:rPr>
      <w:rFonts w:ascii="Calibri" w:eastAsia="MS Gothic" w:hAnsi="Calibri"/>
      <w:b/>
      <w:bCs/>
      <w:i/>
      <w:iCs/>
      <w:color w:val="E36C0A" w:themeColor="accent6" w:themeShade="BF"/>
    </w:rPr>
  </w:style>
  <w:style w:type="character" w:customStyle="1" w:styleId="Heading5Char">
    <w:name w:val="Heading 5 Char"/>
    <w:link w:val="Heading5"/>
    <w:uiPriority w:val="9"/>
    <w:semiHidden/>
    <w:rsid w:val="0095398A"/>
    <w:rPr>
      <w:rFonts w:ascii="Calibri" w:eastAsia="MS Gothic" w:hAnsi="Calibri"/>
      <w:color w:val="243F60"/>
    </w:rPr>
  </w:style>
  <w:style w:type="character" w:customStyle="1" w:styleId="Heading6Char">
    <w:name w:val="Heading 6 Char"/>
    <w:link w:val="Heading6"/>
    <w:uiPriority w:val="9"/>
    <w:semiHidden/>
    <w:rsid w:val="0095398A"/>
    <w:rPr>
      <w:rFonts w:ascii="Calibri" w:eastAsia="MS Gothic" w:hAnsi="Calibri"/>
      <w:i/>
      <w:iCs/>
      <w:color w:val="243F60"/>
    </w:rPr>
  </w:style>
  <w:style w:type="character" w:customStyle="1" w:styleId="Heading7Char">
    <w:name w:val="Heading 7 Char"/>
    <w:link w:val="Heading7"/>
    <w:uiPriority w:val="9"/>
    <w:semiHidden/>
    <w:rsid w:val="0095398A"/>
    <w:rPr>
      <w:rFonts w:ascii="Calibri" w:eastAsia="MS Gothic" w:hAnsi="Calibri"/>
      <w:i/>
      <w:iCs/>
      <w:color w:val="404040"/>
    </w:rPr>
  </w:style>
  <w:style w:type="character" w:customStyle="1" w:styleId="Heading8Char">
    <w:name w:val="Heading 8 Char"/>
    <w:link w:val="Heading8"/>
    <w:uiPriority w:val="9"/>
    <w:semiHidden/>
    <w:rsid w:val="0095398A"/>
    <w:rPr>
      <w:rFonts w:ascii="Calibri" w:eastAsia="MS Gothic" w:hAnsi="Calibri"/>
      <w:color w:val="404040"/>
    </w:rPr>
  </w:style>
  <w:style w:type="character" w:customStyle="1" w:styleId="Heading9Char">
    <w:name w:val="Heading 9 Char"/>
    <w:link w:val="Heading9"/>
    <w:uiPriority w:val="9"/>
    <w:semiHidden/>
    <w:rsid w:val="0095398A"/>
    <w:rPr>
      <w:rFonts w:ascii="Calibri" w:eastAsia="MS Gothic" w:hAnsi="Calibri"/>
      <w:i/>
      <w:iCs/>
      <w:color w:val="404040"/>
    </w:rPr>
  </w:style>
  <w:style w:type="paragraph" w:styleId="Title">
    <w:name w:val="Title"/>
    <w:basedOn w:val="Normal"/>
    <w:next w:val="Normal"/>
    <w:link w:val="TitleChar"/>
    <w:uiPriority w:val="10"/>
    <w:qFormat/>
    <w:rsid w:val="00804ED7"/>
    <w:pPr>
      <w:spacing w:after="240"/>
      <w:contextualSpacing/>
      <w:jc w:val="right"/>
    </w:pPr>
    <w:rPr>
      <w:rFonts w:ascii="Calibri" w:eastAsia="MS Gothic" w:hAnsi="Calibri"/>
      <w:b/>
      <w:bCs/>
      <w:color w:val="FF6600"/>
      <w:spacing w:val="5"/>
      <w:kern w:val="28"/>
      <w:sz w:val="52"/>
      <w:szCs w:val="52"/>
    </w:rPr>
  </w:style>
  <w:style w:type="character" w:customStyle="1" w:styleId="TitleChar">
    <w:name w:val="Title Char"/>
    <w:link w:val="Title"/>
    <w:uiPriority w:val="10"/>
    <w:rsid w:val="00804ED7"/>
    <w:rPr>
      <w:rFonts w:ascii="Calibri" w:eastAsia="MS Gothic" w:hAnsi="Calibri"/>
      <w:b/>
      <w:bCs/>
      <w:color w:val="FF6600"/>
      <w:spacing w:val="5"/>
      <w:kern w:val="28"/>
      <w:sz w:val="52"/>
      <w:szCs w:val="52"/>
    </w:rPr>
  </w:style>
  <w:style w:type="paragraph" w:styleId="TOCHeading">
    <w:name w:val="TOC Heading"/>
    <w:basedOn w:val="Heading1"/>
    <w:next w:val="Normal"/>
    <w:uiPriority w:val="39"/>
    <w:semiHidden/>
    <w:unhideWhenUsed/>
    <w:qFormat/>
    <w:rsid w:val="0095398A"/>
    <w:pPr>
      <w:spacing w:before="480" w:after="0"/>
      <w:outlineLvl w:val="9"/>
    </w:pPr>
    <w:rPr>
      <w:b/>
      <w:color w:val="345A8A"/>
      <w:sz w:val="32"/>
      <w:szCs w:val="32"/>
    </w:rPr>
  </w:style>
  <w:style w:type="paragraph" w:styleId="Footer">
    <w:name w:val="footer"/>
    <w:basedOn w:val="Normal"/>
    <w:link w:val="FooterChar"/>
    <w:uiPriority w:val="99"/>
    <w:unhideWhenUsed/>
    <w:rsid w:val="00FF4106"/>
    <w:pPr>
      <w:tabs>
        <w:tab w:val="center" w:pos="4320"/>
        <w:tab w:val="right" w:pos="8640"/>
      </w:tabs>
    </w:pPr>
  </w:style>
  <w:style w:type="character" w:customStyle="1" w:styleId="FooterChar">
    <w:name w:val="Footer Char"/>
    <w:link w:val="Footer"/>
    <w:uiPriority w:val="99"/>
    <w:rsid w:val="00FF4106"/>
    <w:rPr>
      <w:rFonts w:ascii="Garamond" w:hAnsi="Garamond"/>
      <w:sz w:val="24"/>
      <w:szCs w:val="24"/>
    </w:rPr>
  </w:style>
  <w:style w:type="character" w:styleId="PageNumber">
    <w:name w:val="page number"/>
    <w:uiPriority w:val="99"/>
    <w:semiHidden/>
    <w:unhideWhenUsed/>
    <w:rsid w:val="00FF4106"/>
  </w:style>
  <w:style w:type="character" w:styleId="FootnoteReference">
    <w:name w:val="footnote reference"/>
    <w:uiPriority w:val="99"/>
    <w:rsid w:val="00170761"/>
    <w:rPr>
      <w:rFonts w:ascii="Garamond" w:hAnsi="Garamond"/>
      <w:w w:val="100"/>
      <w:position w:val="6"/>
      <w:sz w:val="12"/>
      <w:szCs w:val="12"/>
      <w:vertAlign w:val="baseline"/>
    </w:rPr>
  </w:style>
  <w:style w:type="paragraph" w:styleId="Header">
    <w:name w:val="header"/>
    <w:basedOn w:val="Normal"/>
    <w:link w:val="HeaderChar"/>
    <w:uiPriority w:val="99"/>
    <w:unhideWhenUsed/>
    <w:rsid w:val="004E47C8"/>
    <w:pPr>
      <w:pBdr>
        <w:bottom w:val="single" w:sz="4" w:space="3" w:color="auto"/>
      </w:pBdr>
      <w:tabs>
        <w:tab w:val="center" w:pos="4320"/>
        <w:tab w:val="right" w:pos="8640"/>
      </w:tabs>
      <w:spacing w:before="0" w:after="0"/>
      <w:jc w:val="right"/>
    </w:pPr>
    <w:rPr>
      <w:rFonts w:asciiTheme="majorHAnsi" w:hAnsiTheme="majorHAnsi"/>
      <w:sz w:val="20"/>
    </w:rPr>
  </w:style>
  <w:style w:type="character" w:customStyle="1" w:styleId="HeaderChar">
    <w:name w:val="Header Char"/>
    <w:link w:val="Header"/>
    <w:uiPriority w:val="99"/>
    <w:rsid w:val="004E47C8"/>
    <w:rPr>
      <w:rFonts w:asciiTheme="majorHAnsi" w:hAnsiTheme="majorHAnsi"/>
      <w:szCs w:val="24"/>
    </w:rPr>
  </w:style>
  <w:style w:type="table" w:styleId="TableGrid">
    <w:name w:val="Table Grid"/>
    <w:basedOn w:val="TableNormal"/>
    <w:uiPriority w:val="59"/>
    <w:rsid w:val="001233A9"/>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9743D"/>
    <w:pPr>
      <w:ind w:left="720"/>
    </w:pPr>
  </w:style>
  <w:style w:type="paragraph" w:customStyle="1" w:styleId="IndicatorRef">
    <w:name w:val="Indicator Ref"/>
    <w:basedOn w:val="TableText"/>
    <w:rsid w:val="00B17BB1"/>
  </w:style>
  <w:style w:type="paragraph" w:customStyle="1" w:styleId="TextBoxHeading">
    <w:name w:val="Text Box Heading"/>
    <w:basedOn w:val="TableText"/>
    <w:qFormat/>
    <w:rsid w:val="00B17BB1"/>
    <w:pPr>
      <w:jc w:val="center"/>
    </w:pPr>
    <w:rPr>
      <w:b/>
    </w:rPr>
  </w:style>
  <w:style w:type="paragraph" w:customStyle="1" w:styleId="Boxbullet">
    <w:name w:val="Box bullet"/>
    <w:basedOn w:val="TableText"/>
    <w:qFormat/>
    <w:rsid w:val="00F448F8"/>
    <w:pPr>
      <w:numPr>
        <w:numId w:val="7"/>
      </w:numPr>
    </w:pPr>
  </w:style>
  <w:style w:type="paragraph" w:styleId="TOC2">
    <w:name w:val="toc 2"/>
    <w:basedOn w:val="Normal"/>
    <w:next w:val="Normal"/>
    <w:autoRedefine/>
    <w:uiPriority w:val="39"/>
    <w:unhideWhenUsed/>
    <w:rsid w:val="00C03142"/>
    <w:pPr>
      <w:ind w:left="240"/>
    </w:pPr>
  </w:style>
  <w:style w:type="paragraph" w:styleId="TOC1">
    <w:name w:val="toc 1"/>
    <w:basedOn w:val="Normal"/>
    <w:next w:val="Normal"/>
    <w:autoRedefine/>
    <w:uiPriority w:val="39"/>
    <w:unhideWhenUsed/>
    <w:rsid w:val="00C03142"/>
  </w:style>
  <w:style w:type="paragraph" w:styleId="TOC3">
    <w:name w:val="toc 3"/>
    <w:basedOn w:val="Normal"/>
    <w:next w:val="Normal"/>
    <w:autoRedefine/>
    <w:uiPriority w:val="39"/>
    <w:unhideWhenUsed/>
    <w:rsid w:val="00C03142"/>
    <w:pPr>
      <w:ind w:left="480"/>
    </w:pPr>
  </w:style>
  <w:style w:type="paragraph" w:styleId="TOC4">
    <w:name w:val="toc 4"/>
    <w:basedOn w:val="Normal"/>
    <w:next w:val="Normal"/>
    <w:autoRedefine/>
    <w:uiPriority w:val="39"/>
    <w:unhideWhenUsed/>
    <w:rsid w:val="00C03142"/>
    <w:pPr>
      <w:ind w:left="720"/>
    </w:pPr>
  </w:style>
  <w:style w:type="paragraph" w:styleId="TOC5">
    <w:name w:val="toc 5"/>
    <w:basedOn w:val="Normal"/>
    <w:next w:val="Normal"/>
    <w:autoRedefine/>
    <w:uiPriority w:val="39"/>
    <w:unhideWhenUsed/>
    <w:rsid w:val="00C03142"/>
    <w:pPr>
      <w:ind w:left="960"/>
    </w:pPr>
  </w:style>
  <w:style w:type="paragraph" w:styleId="TOC6">
    <w:name w:val="toc 6"/>
    <w:basedOn w:val="Normal"/>
    <w:next w:val="Normal"/>
    <w:autoRedefine/>
    <w:uiPriority w:val="39"/>
    <w:unhideWhenUsed/>
    <w:rsid w:val="00C03142"/>
    <w:pPr>
      <w:ind w:left="1200"/>
    </w:pPr>
  </w:style>
  <w:style w:type="paragraph" w:styleId="TOC7">
    <w:name w:val="toc 7"/>
    <w:basedOn w:val="Normal"/>
    <w:next w:val="Normal"/>
    <w:autoRedefine/>
    <w:uiPriority w:val="39"/>
    <w:unhideWhenUsed/>
    <w:rsid w:val="00C03142"/>
    <w:pPr>
      <w:ind w:left="1440"/>
    </w:pPr>
  </w:style>
  <w:style w:type="paragraph" w:styleId="TOC8">
    <w:name w:val="toc 8"/>
    <w:basedOn w:val="Normal"/>
    <w:next w:val="Normal"/>
    <w:autoRedefine/>
    <w:uiPriority w:val="39"/>
    <w:unhideWhenUsed/>
    <w:rsid w:val="00C03142"/>
    <w:pPr>
      <w:ind w:left="1680"/>
    </w:pPr>
  </w:style>
  <w:style w:type="paragraph" w:styleId="TOC9">
    <w:name w:val="toc 9"/>
    <w:basedOn w:val="Normal"/>
    <w:next w:val="Normal"/>
    <w:autoRedefine/>
    <w:uiPriority w:val="39"/>
    <w:unhideWhenUsed/>
    <w:rsid w:val="00C03142"/>
    <w:pPr>
      <w:ind w:left="1920"/>
    </w:pPr>
  </w:style>
  <w:style w:type="character" w:styleId="CommentReference">
    <w:name w:val="annotation reference"/>
    <w:basedOn w:val="DefaultParagraphFont"/>
    <w:uiPriority w:val="99"/>
    <w:semiHidden/>
    <w:unhideWhenUsed/>
    <w:rsid w:val="00890579"/>
    <w:rPr>
      <w:sz w:val="16"/>
      <w:szCs w:val="16"/>
    </w:rPr>
  </w:style>
  <w:style w:type="paragraph" w:styleId="CommentText">
    <w:name w:val="annotation text"/>
    <w:basedOn w:val="Normal"/>
    <w:link w:val="CommentTextChar"/>
    <w:uiPriority w:val="99"/>
    <w:semiHidden/>
    <w:unhideWhenUsed/>
    <w:rsid w:val="00890579"/>
    <w:rPr>
      <w:sz w:val="20"/>
      <w:szCs w:val="20"/>
    </w:rPr>
  </w:style>
  <w:style w:type="character" w:customStyle="1" w:styleId="CommentTextChar">
    <w:name w:val="Comment Text Char"/>
    <w:basedOn w:val="DefaultParagraphFont"/>
    <w:link w:val="CommentText"/>
    <w:uiPriority w:val="99"/>
    <w:semiHidden/>
    <w:rsid w:val="00890579"/>
    <w:rPr>
      <w:rFonts w:ascii="Garamond" w:hAnsi="Garamond"/>
    </w:rPr>
  </w:style>
  <w:style w:type="paragraph" w:styleId="CommentSubject">
    <w:name w:val="annotation subject"/>
    <w:basedOn w:val="CommentText"/>
    <w:next w:val="CommentText"/>
    <w:link w:val="CommentSubjectChar"/>
    <w:uiPriority w:val="99"/>
    <w:semiHidden/>
    <w:unhideWhenUsed/>
    <w:rsid w:val="00890579"/>
    <w:rPr>
      <w:b/>
      <w:bCs/>
    </w:rPr>
  </w:style>
  <w:style w:type="character" w:customStyle="1" w:styleId="CommentSubjectChar">
    <w:name w:val="Comment Subject Char"/>
    <w:basedOn w:val="CommentTextChar"/>
    <w:link w:val="CommentSubject"/>
    <w:uiPriority w:val="99"/>
    <w:semiHidden/>
    <w:rsid w:val="00890579"/>
    <w:rPr>
      <w:rFonts w:ascii="Garamond" w:hAnsi="Garamond"/>
      <w:b/>
      <w:bCs/>
    </w:rPr>
  </w:style>
  <w:style w:type="character" w:styleId="Hyperlink">
    <w:name w:val="Hyperlink"/>
    <w:basedOn w:val="DefaultParagraphFont"/>
    <w:uiPriority w:val="99"/>
    <w:unhideWhenUsed/>
    <w:rsid w:val="00C26524"/>
    <w:rPr>
      <w:color w:val="0000FF" w:themeColor="hyperlink"/>
      <w:u w:val="single"/>
    </w:rPr>
  </w:style>
  <w:style w:type="paragraph" w:styleId="NormalWeb">
    <w:name w:val="Normal (Web)"/>
    <w:basedOn w:val="Normal"/>
    <w:uiPriority w:val="99"/>
    <w:semiHidden/>
    <w:unhideWhenUsed/>
    <w:rsid w:val="00476847"/>
    <w:pPr>
      <w:suppressAutoHyphens w:val="0"/>
      <w:spacing w:before="100" w:beforeAutospacing="1" w:after="100" w:afterAutospacing="1"/>
    </w:pPr>
    <w:rPr>
      <w:rFonts w:ascii="Times" w:eastAsiaTheme="minorEastAsia" w:hAnsi="Times"/>
      <w:sz w:val="20"/>
      <w:szCs w:val="20"/>
    </w:rPr>
  </w:style>
  <w:style w:type="paragraph" w:customStyle="1" w:styleId="dataannextabletext">
    <w:name w:val="data annex table text"/>
    <w:basedOn w:val="TableText"/>
    <w:qFormat/>
    <w:rsid w:val="00B0025E"/>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502168">
      <w:bodyDiv w:val="1"/>
      <w:marLeft w:val="0"/>
      <w:marRight w:val="0"/>
      <w:marTop w:val="0"/>
      <w:marBottom w:val="0"/>
      <w:divBdr>
        <w:top w:val="none" w:sz="0" w:space="0" w:color="auto"/>
        <w:left w:val="none" w:sz="0" w:space="0" w:color="auto"/>
        <w:bottom w:val="none" w:sz="0" w:space="0" w:color="auto"/>
        <w:right w:val="none" w:sz="0" w:space="0" w:color="auto"/>
      </w:divBdr>
      <w:divsChild>
        <w:div w:id="925069763">
          <w:marLeft w:val="547"/>
          <w:marRight w:val="0"/>
          <w:marTop w:val="0"/>
          <w:marBottom w:val="0"/>
          <w:divBdr>
            <w:top w:val="none" w:sz="0" w:space="0" w:color="auto"/>
            <w:left w:val="none" w:sz="0" w:space="0" w:color="auto"/>
            <w:bottom w:val="none" w:sz="0" w:space="0" w:color="auto"/>
            <w:right w:val="none" w:sz="0" w:space="0" w:color="auto"/>
          </w:divBdr>
        </w:div>
        <w:div w:id="1631402317">
          <w:marLeft w:val="1267"/>
          <w:marRight w:val="0"/>
          <w:marTop w:val="0"/>
          <w:marBottom w:val="0"/>
          <w:divBdr>
            <w:top w:val="none" w:sz="0" w:space="0" w:color="auto"/>
            <w:left w:val="none" w:sz="0" w:space="0" w:color="auto"/>
            <w:bottom w:val="none" w:sz="0" w:space="0" w:color="auto"/>
            <w:right w:val="none" w:sz="0" w:space="0" w:color="auto"/>
          </w:divBdr>
        </w:div>
        <w:div w:id="908727650">
          <w:marLeft w:val="547"/>
          <w:marRight w:val="0"/>
          <w:marTop w:val="0"/>
          <w:marBottom w:val="0"/>
          <w:divBdr>
            <w:top w:val="none" w:sz="0" w:space="0" w:color="auto"/>
            <w:left w:val="none" w:sz="0" w:space="0" w:color="auto"/>
            <w:bottom w:val="none" w:sz="0" w:space="0" w:color="auto"/>
            <w:right w:val="none" w:sz="0" w:space="0" w:color="auto"/>
          </w:divBdr>
        </w:div>
        <w:div w:id="724455845">
          <w:marLeft w:val="547"/>
          <w:marRight w:val="0"/>
          <w:marTop w:val="0"/>
          <w:marBottom w:val="0"/>
          <w:divBdr>
            <w:top w:val="none" w:sz="0" w:space="0" w:color="auto"/>
            <w:left w:val="none" w:sz="0" w:space="0" w:color="auto"/>
            <w:bottom w:val="none" w:sz="0" w:space="0" w:color="auto"/>
            <w:right w:val="none" w:sz="0" w:space="0" w:color="auto"/>
          </w:divBdr>
        </w:div>
        <w:div w:id="1224636917">
          <w:marLeft w:val="1267"/>
          <w:marRight w:val="0"/>
          <w:marTop w:val="0"/>
          <w:marBottom w:val="0"/>
          <w:divBdr>
            <w:top w:val="none" w:sz="0" w:space="0" w:color="auto"/>
            <w:left w:val="none" w:sz="0" w:space="0" w:color="auto"/>
            <w:bottom w:val="none" w:sz="0" w:space="0" w:color="auto"/>
            <w:right w:val="none" w:sz="0" w:space="0" w:color="auto"/>
          </w:divBdr>
        </w:div>
        <w:div w:id="731005877">
          <w:marLeft w:val="1267"/>
          <w:marRight w:val="0"/>
          <w:marTop w:val="0"/>
          <w:marBottom w:val="0"/>
          <w:divBdr>
            <w:top w:val="none" w:sz="0" w:space="0" w:color="auto"/>
            <w:left w:val="none" w:sz="0" w:space="0" w:color="auto"/>
            <w:bottom w:val="none" w:sz="0" w:space="0" w:color="auto"/>
            <w:right w:val="none" w:sz="0" w:space="0" w:color="auto"/>
          </w:divBdr>
        </w:div>
      </w:divsChild>
    </w:div>
    <w:div w:id="249628915">
      <w:bodyDiv w:val="1"/>
      <w:marLeft w:val="0"/>
      <w:marRight w:val="0"/>
      <w:marTop w:val="0"/>
      <w:marBottom w:val="0"/>
      <w:divBdr>
        <w:top w:val="none" w:sz="0" w:space="0" w:color="auto"/>
        <w:left w:val="none" w:sz="0" w:space="0" w:color="auto"/>
        <w:bottom w:val="none" w:sz="0" w:space="0" w:color="auto"/>
        <w:right w:val="none" w:sz="0" w:space="0" w:color="auto"/>
      </w:divBdr>
    </w:div>
    <w:div w:id="299767741">
      <w:bodyDiv w:val="1"/>
      <w:marLeft w:val="0"/>
      <w:marRight w:val="0"/>
      <w:marTop w:val="0"/>
      <w:marBottom w:val="0"/>
      <w:divBdr>
        <w:top w:val="none" w:sz="0" w:space="0" w:color="auto"/>
        <w:left w:val="none" w:sz="0" w:space="0" w:color="auto"/>
        <w:bottom w:val="none" w:sz="0" w:space="0" w:color="auto"/>
        <w:right w:val="none" w:sz="0" w:space="0" w:color="auto"/>
      </w:divBdr>
    </w:div>
    <w:div w:id="458500629">
      <w:bodyDiv w:val="1"/>
      <w:marLeft w:val="0"/>
      <w:marRight w:val="0"/>
      <w:marTop w:val="0"/>
      <w:marBottom w:val="0"/>
      <w:divBdr>
        <w:top w:val="none" w:sz="0" w:space="0" w:color="auto"/>
        <w:left w:val="none" w:sz="0" w:space="0" w:color="auto"/>
        <w:bottom w:val="none" w:sz="0" w:space="0" w:color="auto"/>
        <w:right w:val="none" w:sz="0" w:space="0" w:color="auto"/>
      </w:divBdr>
    </w:div>
    <w:div w:id="469832580">
      <w:bodyDiv w:val="1"/>
      <w:marLeft w:val="0"/>
      <w:marRight w:val="0"/>
      <w:marTop w:val="0"/>
      <w:marBottom w:val="0"/>
      <w:divBdr>
        <w:top w:val="none" w:sz="0" w:space="0" w:color="auto"/>
        <w:left w:val="none" w:sz="0" w:space="0" w:color="auto"/>
        <w:bottom w:val="none" w:sz="0" w:space="0" w:color="auto"/>
        <w:right w:val="none" w:sz="0" w:space="0" w:color="auto"/>
      </w:divBdr>
    </w:div>
    <w:div w:id="649751106">
      <w:bodyDiv w:val="1"/>
      <w:marLeft w:val="0"/>
      <w:marRight w:val="0"/>
      <w:marTop w:val="0"/>
      <w:marBottom w:val="0"/>
      <w:divBdr>
        <w:top w:val="none" w:sz="0" w:space="0" w:color="auto"/>
        <w:left w:val="none" w:sz="0" w:space="0" w:color="auto"/>
        <w:bottom w:val="none" w:sz="0" w:space="0" w:color="auto"/>
        <w:right w:val="none" w:sz="0" w:space="0" w:color="auto"/>
      </w:divBdr>
      <w:divsChild>
        <w:div w:id="1497190865">
          <w:marLeft w:val="547"/>
          <w:marRight w:val="0"/>
          <w:marTop w:val="0"/>
          <w:marBottom w:val="0"/>
          <w:divBdr>
            <w:top w:val="none" w:sz="0" w:space="0" w:color="auto"/>
            <w:left w:val="none" w:sz="0" w:space="0" w:color="auto"/>
            <w:bottom w:val="none" w:sz="0" w:space="0" w:color="auto"/>
            <w:right w:val="none" w:sz="0" w:space="0" w:color="auto"/>
          </w:divBdr>
        </w:div>
        <w:div w:id="1685127470">
          <w:marLeft w:val="1267"/>
          <w:marRight w:val="0"/>
          <w:marTop w:val="0"/>
          <w:marBottom w:val="0"/>
          <w:divBdr>
            <w:top w:val="none" w:sz="0" w:space="0" w:color="auto"/>
            <w:left w:val="none" w:sz="0" w:space="0" w:color="auto"/>
            <w:bottom w:val="none" w:sz="0" w:space="0" w:color="auto"/>
            <w:right w:val="none" w:sz="0" w:space="0" w:color="auto"/>
          </w:divBdr>
        </w:div>
        <w:div w:id="580330967">
          <w:marLeft w:val="1267"/>
          <w:marRight w:val="0"/>
          <w:marTop w:val="0"/>
          <w:marBottom w:val="0"/>
          <w:divBdr>
            <w:top w:val="none" w:sz="0" w:space="0" w:color="auto"/>
            <w:left w:val="none" w:sz="0" w:space="0" w:color="auto"/>
            <w:bottom w:val="none" w:sz="0" w:space="0" w:color="auto"/>
            <w:right w:val="none" w:sz="0" w:space="0" w:color="auto"/>
          </w:divBdr>
        </w:div>
        <w:div w:id="1744840728">
          <w:marLeft w:val="1267"/>
          <w:marRight w:val="0"/>
          <w:marTop w:val="0"/>
          <w:marBottom w:val="0"/>
          <w:divBdr>
            <w:top w:val="none" w:sz="0" w:space="0" w:color="auto"/>
            <w:left w:val="none" w:sz="0" w:space="0" w:color="auto"/>
            <w:bottom w:val="none" w:sz="0" w:space="0" w:color="auto"/>
            <w:right w:val="none" w:sz="0" w:space="0" w:color="auto"/>
          </w:divBdr>
        </w:div>
        <w:div w:id="152528122">
          <w:marLeft w:val="547"/>
          <w:marRight w:val="0"/>
          <w:marTop w:val="0"/>
          <w:marBottom w:val="0"/>
          <w:divBdr>
            <w:top w:val="none" w:sz="0" w:space="0" w:color="auto"/>
            <w:left w:val="none" w:sz="0" w:space="0" w:color="auto"/>
            <w:bottom w:val="none" w:sz="0" w:space="0" w:color="auto"/>
            <w:right w:val="none" w:sz="0" w:space="0" w:color="auto"/>
          </w:divBdr>
        </w:div>
        <w:div w:id="1084568861">
          <w:marLeft w:val="547"/>
          <w:marRight w:val="0"/>
          <w:marTop w:val="0"/>
          <w:marBottom w:val="0"/>
          <w:divBdr>
            <w:top w:val="none" w:sz="0" w:space="0" w:color="auto"/>
            <w:left w:val="none" w:sz="0" w:space="0" w:color="auto"/>
            <w:bottom w:val="none" w:sz="0" w:space="0" w:color="auto"/>
            <w:right w:val="none" w:sz="0" w:space="0" w:color="auto"/>
          </w:divBdr>
        </w:div>
      </w:divsChild>
    </w:div>
    <w:div w:id="685670207">
      <w:bodyDiv w:val="1"/>
      <w:marLeft w:val="0"/>
      <w:marRight w:val="0"/>
      <w:marTop w:val="0"/>
      <w:marBottom w:val="0"/>
      <w:divBdr>
        <w:top w:val="none" w:sz="0" w:space="0" w:color="auto"/>
        <w:left w:val="none" w:sz="0" w:space="0" w:color="auto"/>
        <w:bottom w:val="none" w:sz="0" w:space="0" w:color="auto"/>
        <w:right w:val="none" w:sz="0" w:space="0" w:color="auto"/>
      </w:divBdr>
    </w:div>
    <w:div w:id="686716415">
      <w:bodyDiv w:val="1"/>
      <w:marLeft w:val="0"/>
      <w:marRight w:val="0"/>
      <w:marTop w:val="0"/>
      <w:marBottom w:val="0"/>
      <w:divBdr>
        <w:top w:val="none" w:sz="0" w:space="0" w:color="auto"/>
        <w:left w:val="none" w:sz="0" w:space="0" w:color="auto"/>
        <w:bottom w:val="none" w:sz="0" w:space="0" w:color="auto"/>
        <w:right w:val="none" w:sz="0" w:space="0" w:color="auto"/>
      </w:divBdr>
    </w:div>
    <w:div w:id="737826347">
      <w:bodyDiv w:val="1"/>
      <w:marLeft w:val="0"/>
      <w:marRight w:val="0"/>
      <w:marTop w:val="0"/>
      <w:marBottom w:val="0"/>
      <w:divBdr>
        <w:top w:val="none" w:sz="0" w:space="0" w:color="auto"/>
        <w:left w:val="none" w:sz="0" w:space="0" w:color="auto"/>
        <w:bottom w:val="none" w:sz="0" w:space="0" w:color="auto"/>
        <w:right w:val="none" w:sz="0" w:space="0" w:color="auto"/>
      </w:divBdr>
    </w:div>
    <w:div w:id="749347141">
      <w:bodyDiv w:val="1"/>
      <w:marLeft w:val="0"/>
      <w:marRight w:val="0"/>
      <w:marTop w:val="0"/>
      <w:marBottom w:val="0"/>
      <w:divBdr>
        <w:top w:val="none" w:sz="0" w:space="0" w:color="auto"/>
        <w:left w:val="none" w:sz="0" w:space="0" w:color="auto"/>
        <w:bottom w:val="none" w:sz="0" w:space="0" w:color="auto"/>
        <w:right w:val="none" w:sz="0" w:space="0" w:color="auto"/>
      </w:divBdr>
    </w:div>
    <w:div w:id="869077008">
      <w:bodyDiv w:val="1"/>
      <w:marLeft w:val="0"/>
      <w:marRight w:val="0"/>
      <w:marTop w:val="0"/>
      <w:marBottom w:val="0"/>
      <w:divBdr>
        <w:top w:val="none" w:sz="0" w:space="0" w:color="auto"/>
        <w:left w:val="none" w:sz="0" w:space="0" w:color="auto"/>
        <w:bottom w:val="none" w:sz="0" w:space="0" w:color="auto"/>
        <w:right w:val="none" w:sz="0" w:space="0" w:color="auto"/>
      </w:divBdr>
      <w:divsChild>
        <w:div w:id="1392341516">
          <w:marLeft w:val="274"/>
          <w:marRight w:val="0"/>
          <w:marTop w:val="0"/>
          <w:marBottom w:val="0"/>
          <w:divBdr>
            <w:top w:val="none" w:sz="0" w:space="0" w:color="auto"/>
            <w:left w:val="none" w:sz="0" w:space="0" w:color="auto"/>
            <w:bottom w:val="none" w:sz="0" w:space="0" w:color="auto"/>
            <w:right w:val="none" w:sz="0" w:space="0" w:color="auto"/>
          </w:divBdr>
        </w:div>
        <w:div w:id="1073627068">
          <w:marLeft w:val="274"/>
          <w:marRight w:val="0"/>
          <w:marTop w:val="0"/>
          <w:marBottom w:val="0"/>
          <w:divBdr>
            <w:top w:val="none" w:sz="0" w:space="0" w:color="auto"/>
            <w:left w:val="none" w:sz="0" w:space="0" w:color="auto"/>
            <w:bottom w:val="none" w:sz="0" w:space="0" w:color="auto"/>
            <w:right w:val="none" w:sz="0" w:space="0" w:color="auto"/>
          </w:divBdr>
        </w:div>
        <w:div w:id="2129736357">
          <w:marLeft w:val="274"/>
          <w:marRight w:val="0"/>
          <w:marTop w:val="0"/>
          <w:marBottom w:val="0"/>
          <w:divBdr>
            <w:top w:val="none" w:sz="0" w:space="0" w:color="auto"/>
            <w:left w:val="none" w:sz="0" w:space="0" w:color="auto"/>
            <w:bottom w:val="none" w:sz="0" w:space="0" w:color="auto"/>
            <w:right w:val="none" w:sz="0" w:space="0" w:color="auto"/>
          </w:divBdr>
        </w:div>
        <w:div w:id="2129737539">
          <w:marLeft w:val="274"/>
          <w:marRight w:val="0"/>
          <w:marTop w:val="0"/>
          <w:marBottom w:val="0"/>
          <w:divBdr>
            <w:top w:val="none" w:sz="0" w:space="0" w:color="auto"/>
            <w:left w:val="none" w:sz="0" w:space="0" w:color="auto"/>
            <w:bottom w:val="none" w:sz="0" w:space="0" w:color="auto"/>
            <w:right w:val="none" w:sz="0" w:space="0" w:color="auto"/>
          </w:divBdr>
        </w:div>
        <w:div w:id="1576741968">
          <w:marLeft w:val="274"/>
          <w:marRight w:val="0"/>
          <w:marTop w:val="0"/>
          <w:marBottom w:val="0"/>
          <w:divBdr>
            <w:top w:val="none" w:sz="0" w:space="0" w:color="auto"/>
            <w:left w:val="none" w:sz="0" w:space="0" w:color="auto"/>
            <w:bottom w:val="none" w:sz="0" w:space="0" w:color="auto"/>
            <w:right w:val="none" w:sz="0" w:space="0" w:color="auto"/>
          </w:divBdr>
        </w:div>
        <w:div w:id="1268540521">
          <w:marLeft w:val="274"/>
          <w:marRight w:val="0"/>
          <w:marTop w:val="0"/>
          <w:marBottom w:val="0"/>
          <w:divBdr>
            <w:top w:val="none" w:sz="0" w:space="0" w:color="auto"/>
            <w:left w:val="none" w:sz="0" w:space="0" w:color="auto"/>
            <w:bottom w:val="none" w:sz="0" w:space="0" w:color="auto"/>
            <w:right w:val="none" w:sz="0" w:space="0" w:color="auto"/>
          </w:divBdr>
        </w:div>
        <w:div w:id="1032878967">
          <w:marLeft w:val="274"/>
          <w:marRight w:val="0"/>
          <w:marTop w:val="0"/>
          <w:marBottom w:val="0"/>
          <w:divBdr>
            <w:top w:val="none" w:sz="0" w:space="0" w:color="auto"/>
            <w:left w:val="none" w:sz="0" w:space="0" w:color="auto"/>
            <w:bottom w:val="none" w:sz="0" w:space="0" w:color="auto"/>
            <w:right w:val="none" w:sz="0" w:space="0" w:color="auto"/>
          </w:divBdr>
        </w:div>
      </w:divsChild>
    </w:div>
    <w:div w:id="954674072">
      <w:bodyDiv w:val="1"/>
      <w:marLeft w:val="0"/>
      <w:marRight w:val="0"/>
      <w:marTop w:val="0"/>
      <w:marBottom w:val="0"/>
      <w:divBdr>
        <w:top w:val="none" w:sz="0" w:space="0" w:color="auto"/>
        <w:left w:val="none" w:sz="0" w:space="0" w:color="auto"/>
        <w:bottom w:val="none" w:sz="0" w:space="0" w:color="auto"/>
        <w:right w:val="none" w:sz="0" w:space="0" w:color="auto"/>
      </w:divBdr>
    </w:div>
    <w:div w:id="1227304967">
      <w:bodyDiv w:val="1"/>
      <w:marLeft w:val="0"/>
      <w:marRight w:val="0"/>
      <w:marTop w:val="0"/>
      <w:marBottom w:val="0"/>
      <w:divBdr>
        <w:top w:val="none" w:sz="0" w:space="0" w:color="auto"/>
        <w:left w:val="none" w:sz="0" w:space="0" w:color="auto"/>
        <w:bottom w:val="none" w:sz="0" w:space="0" w:color="auto"/>
        <w:right w:val="none" w:sz="0" w:space="0" w:color="auto"/>
      </w:divBdr>
      <w:divsChild>
        <w:div w:id="1006977064">
          <w:marLeft w:val="907"/>
          <w:marRight w:val="0"/>
          <w:marTop w:val="115"/>
          <w:marBottom w:val="0"/>
          <w:divBdr>
            <w:top w:val="none" w:sz="0" w:space="0" w:color="auto"/>
            <w:left w:val="none" w:sz="0" w:space="0" w:color="auto"/>
            <w:bottom w:val="none" w:sz="0" w:space="0" w:color="auto"/>
            <w:right w:val="none" w:sz="0" w:space="0" w:color="auto"/>
          </w:divBdr>
        </w:div>
        <w:div w:id="1534224941">
          <w:marLeft w:val="907"/>
          <w:marRight w:val="0"/>
          <w:marTop w:val="115"/>
          <w:marBottom w:val="0"/>
          <w:divBdr>
            <w:top w:val="none" w:sz="0" w:space="0" w:color="auto"/>
            <w:left w:val="none" w:sz="0" w:space="0" w:color="auto"/>
            <w:bottom w:val="none" w:sz="0" w:space="0" w:color="auto"/>
            <w:right w:val="none" w:sz="0" w:space="0" w:color="auto"/>
          </w:divBdr>
        </w:div>
        <w:div w:id="74936991">
          <w:marLeft w:val="907"/>
          <w:marRight w:val="0"/>
          <w:marTop w:val="115"/>
          <w:marBottom w:val="0"/>
          <w:divBdr>
            <w:top w:val="none" w:sz="0" w:space="0" w:color="auto"/>
            <w:left w:val="none" w:sz="0" w:space="0" w:color="auto"/>
            <w:bottom w:val="none" w:sz="0" w:space="0" w:color="auto"/>
            <w:right w:val="none" w:sz="0" w:space="0" w:color="auto"/>
          </w:divBdr>
        </w:div>
        <w:div w:id="138348350">
          <w:marLeft w:val="907"/>
          <w:marRight w:val="0"/>
          <w:marTop w:val="115"/>
          <w:marBottom w:val="0"/>
          <w:divBdr>
            <w:top w:val="none" w:sz="0" w:space="0" w:color="auto"/>
            <w:left w:val="none" w:sz="0" w:space="0" w:color="auto"/>
            <w:bottom w:val="none" w:sz="0" w:space="0" w:color="auto"/>
            <w:right w:val="none" w:sz="0" w:space="0" w:color="auto"/>
          </w:divBdr>
        </w:div>
        <w:div w:id="834347152">
          <w:marLeft w:val="907"/>
          <w:marRight w:val="0"/>
          <w:marTop w:val="115"/>
          <w:marBottom w:val="0"/>
          <w:divBdr>
            <w:top w:val="none" w:sz="0" w:space="0" w:color="auto"/>
            <w:left w:val="none" w:sz="0" w:space="0" w:color="auto"/>
            <w:bottom w:val="none" w:sz="0" w:space="0" w:color="auto"/>
            <w:right w:val="none" w:sz="0" w:space="0" w:color="auto"/>
          </w:divBdr>
        </w:div>
      </w:divsChild>
    </w:div>
    <w:div w:id="1236090263">
      <w:bodyDiv w:val="1"/>
      <w:marLeft w:val="0"/>
      <w:marRight w:val="0"/>
      <w:marTop w:val="0"/>
      <w:marBottom w:val="0"/>
      <w:divBdr>
        <w:top w:val="none" w:sz="0" w:space="0" w:color="auto"/>
        <w:left w:val="none" w:sz="0" w:space="0" w:color="auto"/>
        <w:bottom w:val="none" w:sz="0" w:space="0" w:color="auto"/>
        <w:right w:val="none" w:sz="0" w:space="0" w:color="auto"/>
      </w:divBdr>
    </w:div>
    <w:div w:id="1333725951">
      <w:bodyDiv w:val="1"/>
      <w:marLeft w:val="0"/>
      <w:marRight w:val="0"/>
      <w:marTop w:val="0"/>
      <w:marBottom w:val="0"/>
      <w:divBdr>
        <w:top w:val="none" w:sz="0" w:space="0" w:color="auto"/>
        <w:left w:val="none" w:sz="0" w:space="0" w:color="auto"/>
        <w:bottom w:val="none" w:sz="0" w:space="0" w:color="auto"/>
        <w:right w:val="none" w:sz="0" w:space="0" w:color="auto"/>
      </w:divBdr>
    </w:div>
    <w:div w:id="1513883667">
      <w:bodyDiv w:val="1"/>
      <w:marLeft w:val="0"/>
      <w:marRight w:val="0"/>
      <w:marTop w:val="0"/>
      <w:marBottom w:val="0"/>
      <w:divBdr>
        <w:top w:val="none" w:sz="0" w:space="0" w:color="auto"/>
        <w:left w:val="none" w:sz="0" w:space="0" w:color="auto"/>
        <w:bottom w:val="none" w:sz="0" w:space="0" w:color="auto"/>
        <w:right w:val="none" w:sz="0" w:space="0" w:color="auto"/>
      </w:divBdr>
      <w:divsChild>
        <w:div w:id="704211425">
          <w:marLeft w:val="274"/>
          <w:marRight w:val="0"/>
          <w:marTop w:val="0"/>
          <w:marBottom w:val="0"/>
          <w:divBdr>
            <w:top w:val="none" w:sz="0" w:space="0" w:color="auto"/>
            <w:left w:val="none" w:sz="0" w:space="0" w:color="auto"/>
            <w:bottom w:val="none" w:sz="0" w:space="0" w:color="auto"/>
            <w:right w:val="none" w:sz="0" w:space="0" w:color="auto"/>
          </w:divBdr>
        </w:div>
        <w:div w:id="950014009">
          <w:marLeft w:val="274"/>
          <w:marRight w:val="0"/>
          <w:marTop w:val="0"/>
          <w:marBottom w:val="0"/>
          <w:divBdr>
            <w:top w:val="none" w:sz="0" w:space="0" w:color="auto"/>
            <w:left w:val="none" w:sz="0" w:space="0" w:color="auto"/>
            <w:bottom w:val="none" w:sz="0" w:space="0" w:color="auto"/>
            <w:right w:val="none" w:sz="0" w:space="0" w:color="auto"/>
          </w:divBdr>
        </w:div>
      </w:divsChild>
    </w:div>
    <w:div w:id="1780951347">
      <w:bodyDiv w:val="1"/>
      <w:marLeft w:val="0"/>
      <w:marRight w:val="0"/>
      <w:marTop w:val="0"/>
      <w:marBottom w:val="0"/>
      <w:divBdr>
        <w:top w:val="none" w:sz="0" w:space="0" w:color="auto"/>
        <w:left w:val="none" w:sz="0" w:space="0" w:color="auto"/>
        <w:bottom w:val="none" w:sz="0" w:space="0" w:color="auto"/>
        <w:right w:val="none" w:sz="0" w:space="0" w:color="auto"/>
      </w:divBdr>
      <w:divsChild>
        <w:div w:id="460996943">
          <w:marLeft w:val="274"/>
          <w:marRight w:val="0"/>
          <w:marTop w:val="0"/>
          <w:marBottom w:val="0"/>
          <w:divBdr>
            <w:top w:val="none" w:sz="0" w:space="0" w:color="auto"/>
            <w:left w:val="none" w:sz="0" w:space="0" w:color="auto"/>
            <w:bottom w:val="none" w:sz="0" w:space="0" w:color="auto"/>
            <w:right w:val="none" w:sz="0" w:space="0" w:color="auto"/>
          </w:divBdr>
        </w:div>
        <w:div w:id="2127919082">
          <w:marLeft w:val="274"/>
          <w:marRight w:val="0"/>
          <w:marTop w:val="0"/>
          <w:marBottom w:val="0"/>
          <w:divBdr>
            <w:top w:val="none" w:sz="0" w:space="0" w:color="auto"/>
            <w:left w:val="none" w:sz="0" w:space="0" w:color="auto"/>
            <w:bottom w:val="none" w:sz="0" w:space="0" w:color="auto"/>
            <w:right w:val="none" w:sz="0" w:space="0" w:color="auto"/>
          </w:divBdr>
        </w:div>
        <w:div w:id="1886791717">
          <w:marLeft w:val="274"/>
          <w:marRight w:val="0"/>
          <w:marTop w:val="0"/>
          <w:marBottom w:val="0"/>
          <w:divBdr>
            <w:top w:val="none" w:sz="0" w:space="0" w:color="auto"/>
            <w:left w:val="none" w:sz="0" w:space="0" w:color="auto"/>
            <w:bottom w:val="none" w:sz="0" w:space="0" w:color="auto"/>
            <w:right w:val="none" w:sz="0" w:space="0" w:color="auto"/>
          </w:divBdr>
        </w:div>
        <w:div w:id="968126014">
          <w:marLeft w:val="274"/>
          <w:marRight w:val="0"/>
          <w:marTop w:val="0"/>
          <w:marBottom w:val="0"/>
          <w:divBdr>
            <w:top w:val="none" w:sz="0" w:space="0" w:color="auto"/>
            <w:left w:val="none" w:sz="0" w:space="0" w:color="auto"/>
            <w:bottom w:val="none" w:sz="0" w:space="0" w:color="auto"/>
            <w:right w:val="none" w:sz="0" w:space="0" w:color="auto"/>
          </w:divBdr>
        </w:div>
      </w:divsChild>
    </w:div>
    <w:div w:id="1791974700">
      <w:bodyDiv w:val="1"/>
      <w:marLeft w:val="0"/>
      <w:marRight w:val="0"/>
      <w:marTop w:val="0"/>
      <w:marBottom w:val="0"/>
      <w:divBdr>
        <w:top w:val="none" w:sz="0" w:space="0" w:color="auto"/>
        <w:left w:val="none" w:sz="0" w:space="0" w:color="auto"/>
        <w:bottom w:val="none" w:sz="0" w:space="0" w:color="auto"/>
        <w:right w:val="none" w:sz="0" w:space="0" w:color="auto"/>
      </w:divBdr>
    </w:div>
    <w:div w:id="1884977405">
      <w:bodyDiv w:val="1"/>
      <w:marLeft w:val="0"/>
      <w:marRight w:val="0"/>
      <w:marTop w:val="0"/>
      <w:marBottom w:val="0"/>
      <w:divBdr>
        <w:top w:val="none" w:sz="0" w:space="0" w:color="auto"/>
        <w:left w:val="none" w:sz="0" w:space="0" w:color="auto"/>
        <w:bottom w:val="none" w:sz="0" w:space="0" w:color="auto"/>
        <w:right w:val="none" w:sz="0" w:space="0" w:color="auto"/>
      </w:divBdr>
    </w:div>
    <w:div w:id="2015496820">
      <w:bodyDiv w:val="1"/>
      <w:marLeft w:val="0"/>
      <w:marRight w:val="0"/>
      <w:marTop w:val="0"/>
      <w:marBottom w:val="0"/>
      <w:divBdr>
        <w:top w:val="none" w:sz="0" w:space="0" w:color="auto"/>
        <w:left w:val="none" w:sz="0" w:space="0" w:color="auto"/>
        <w:bottom w:val="none" w:sz="0" w:space="0" w:color="auto"/>
        <w:right w:val="none" w:sz="0" w:space="0" w:color="auto"/>
      </w:divBdr>
      <w:divsChild>
        <w:div w:id="342585275">
          <w:marLeft w:val="547"/>
          <w:marRight w:val="0"/>
          <w:marTop w:val="0"/>
          <w:marBottom w:val="0"/>
          <w:divBdr>
            <w:top w:val="none" w:sz="0" w:space="0" w:color="auto"/>
            <w:left w:val="none" w:sz="0" w:space="0" w:color="auto"/>
            <w:bottom w:val="none" w:sz="0" w:space="0" w:color="auto"/>
            <w:right w:val="none" w:sz="0" w:space="0" w:color="auto"/>
          </w:divBdr>
        </w:div>
        <w:div w:id="1619337780">
          <w:marLeft w:val="547"/>
          <w:marRight w:val="0"/>
          <w:marTop w:val="0"/>
          <w:marBottom w:val="0"/>
          <w:divBdr>
            <w:top w:val="none" w:sz="0" w:space="0" w:color="auto"/>
            <w:left w:val="none" w:sz="0" w:space="0" w:color="auto"/>
            <w:bottom w:val="none" w:sz="0" w:space="0" w:color="auto"/>
            <w:right w:val="none" w:sz="0" w:space="0" w:color="auto"/>
          </w:divBdr>
        </w:div>
        <w:div w:id="799104750">
          <w:marLeft w:val="547"/>
          <w:marRight w:val="0"/>
          <w:marTop w:val="0"/>
          <w:marBottom w:val="0"/>
          <w:divBdr>
            <w:top w:val="none" w:sz="0" w:space="0" w:color="auto"/>
            <w:left w:val="none" w:sz="0" w:space="0" w:color="auto"/>
            <w:bottom w:val="none" w:sz="0" w:space="0" w:color="auto"/>
            <w:right w:val="none" w:sz="0" w:space="0" w:color="auto"/>
          </w:divBdr>
        </w:div>
      </w:divsChild>
    </w:div>
    <w:div w:id="2115855458">
      <w:bodyDiv w:val="1"/>
      <w:marLeft w:val="0"/>
      <w:marRight w:val="0"/>
      <w:marTop w:val="0"/>
      <w:marBottom w:val="0"/>
      <w:divBdr>
        <w:top w:val="none" w:sz="0" w:space="0" w:color="auto"/>
        <w:left w:val="none" w:sz="0" w:space="0" w:color="auto"/>
        <w:bottom w:val="none" w:sz="0" w:space="0" w:color="auto"/>
        <w:right w:val="none" w:sz="0" w:space="0" w:color="auto"/>
      </w:divBdr>
    </w:div>
    <w:div w:id="21421412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3" Type="http://schemas.openxmlformats.org/officeDocument/2006/relationships/header" Target="header2.xml"/><Relationship Id="rId18" Type="http://schemas.openxmlformats.org/officeDocument/2006/relationships/image" Target="media/image6.emf"/><Relationship Id="rId21" Type="http://schemas.openxmlformats.org/officeDocument/2006/relationships/image" Target="media/image80.emf"/><Relationship Id="rId3" Type="http://schemas.openxmlformats.org/officeDocument/2006/relationships/styles" Target="styles.xml"/><Relationship Id="rId34" Type="http://schemas.openxmlformats.org/officeDocument/2006/relationships/customXml" Target="../customXml/item4.xml"/><Relationship Id="rId25" Type="http://schemas.openxmlformats.org/officeDocument/2006/relationships/image" Target="media/image12.emf"/><Relationship Id="rId12" Type="http://schemas.openxmlformats.org/officeDocument/2006/relationships/footer" Target="footer2.xml"/><Relationship Id="rId17" Type="http://schemas.openxmlformats.org/officeDocument/2006/relationships/image" Target="media/image5.jpg"/><Relationship Id="rId7" Type="http://schemas.openxmlformats.org/officeDocument/2006/relationships/endnotes" Target="endnotes.xml"/><Relationship Id="rId33" Type="http://schemas.openxmlformats.org/officeDocument/2006/relationships/customXml" Target="../customXml/item3.xml"/><Relationship Id="rId20" Type="http://schemas.openxmlformats.org/officeDocument/2006/relationships/image" Target="media/image8.emf"/><Relationship Id="rId29" Type="http://schemas.openxmlformats.org/officeDocument/2006/relationships/image" Target="media/image15.emf"/><Relationship Id="rId16" Type="http://schemas.openxmlformats.org/officeDocument/2006/relationships/image" Target="media/image4.png"/><Relationship Id="rId2" Type="http://schemas.openxmlformats.org/officeDocument/2006/relationships/numbering" Target="numbering.xml"/><Relationship Id="rId24" Type="http://schemas.openxmlformats.org/officeDocument/2006/relationships/image" Target="media/image11.emf"/><Relationship Id="rId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customXml" Target="../customXml/item2.xml"/><Relationship Id="rId23" Type="http://schemas.openxmlformats.org/officeDocument/2006/relationships/image" Target="media/image10.emf"/><Relationship Id="rId28" Type="http://schemas.openxmlformats.org/officeDocument/2006/relationships/image" Target="media/image14.emf"/><Relationship Id="rId15" Type="http://schemas.openxmlformats.org/officeDocument/2006/relationships/image" Target="media/image3.png"/><Relationship Id="rId5" Type="http://schemas.openxmlformats.org/officeDocument/2006/relationships/webSettings" Target="webSettings.xml"/><Relationship Id="rId3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emf"/><Relationship Id="rId9" Type="http://schemas.openxmlformats.org/officeDocument/2006/relationships/image" Target="media/image2.jpeg"/><Relationship Id="rId22" Type="http://schemas.openxmlformats.org/officeDocument/2006/relationships/image" Target="media/image9.emf"/><Relationship Id="rId27" Type="http://schemas.openxmlformats.org/officeDocument/2006/relationships/footer" Target="footer3.xml"/><Relationship Id="rId30" Type="http://schemas.openxmlformats.org/officeDocument/2006/relationships/fontTable" Target="fontTable.xml"/><Relationship Id="rId14" Type="http://schemas.openxmlformats.org/officeDocument/2006/relationships/header" Target="header3.xml"/><Relationship Id="rId4" Type="http://schemas.openxmlformats.org/officeDocument/2006/relationships/settings" Target="setting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F9D1C2D-8B86-49A4-A770-66699AA776F7}"/>
</file>

<file path=customXml/itemProps2.xml><?xml version="1.0" encoding="utf-8"?>
<ds:datastoreItem xmlns:ds="http://schemas.openxmlformats.org/officeDocument/2006/customXml" ds:itemID="{D997E0B8-EF06-4B15-ABD2-8288B04F43CE}"/>
</file>

<file path=customXml/itemProps3.xml><?xml version="1.0" encoding="utf-8"?>
<ds:datastoreItem xmlns:ds="http://schemas.openxmlformats.org/officeDocument/2006/customXml" ds:itemID="{453BC8BA-83B4-144D-AE74-1C65C0B8FA37}"/>
</file>

<file path=customXml/itemProps4.xml><?xml version="1.0" encoding="utf-8"?>
<ds:datastoreItem xmlns:ds="http://schemas.openxmlformats.org/officeDocument/2006/customXml" ds:itemID="{F8FB3559-C28F-4B08-B264-7E23CB4C1BCD}"/>
</file>

<file path=docProps/app.xml><?xml version="1.0" encoding="utf-8"?>
<Properties xmlns="http://schemas.openxmlformats.org/officeDocument/2006/extended-properties" xmlns:vt="http://schemas.openxmlformats.org/officeDocument/2006/docPropsVTypes">
  <Template>Normal.dotm</Template>
  <TotalTime>0</TotalTime>
  <Pages>43</Pages>
  <Words>13083</Words>
  <Characters>70780</Characters>
  <Application>Microsoft Macintosh Word</Application>
  <DocSecurity>8</DocSecurity>
  <Lines>2022</Lines>
  <Paragraphs>1181</Paragraphs>
  <ScaleCrop>false</ScaleCrop>
  <HeadingPairs>
    <vt:vector size="2" baseType="variant">
      <vt:variant>
        <vt:lpstr>Title</vt:lpstr>
      </vt:variant>
      <vt:variant>
        <vt:i4>1</vt:i4>
      </vt:variant>
    </vt:vector>
  </HeadingPairs>
  <TitlesOfParts>
    <vt:vector size="1" baseType="lpstr">
      <vt:lpstr/>
    </vt:vector>
  </TitlesOfParts>
  <Company>Duniya Pty Ltd</Company>
  <LinksUpToDate>false</LinksUpToDate>
  <CharactersWithSpaces>82682</CharactersWithSpaces>
  <SharedDoc>false</SharedDoc>
  <HyperlinkBase/>
  <HLinks>
    <vt:vector size="6" baseType="variant">
      <vt:variant>
        <vt:i4>3670097</vt:i4>
      </vt:variant>
      <vt:variant>
        <vt:i4>43931</vt:i4>
      </vt:variant>
      <vt:variant>
        <vt:i4>1029</vt:i4>
      </vt:variant>
      <vt:variant>
        <vt:i4>1</vt:i4>
      </vt:variant>
      <vt:variant>
        <vt:lpwstr>TVETSSP Logic Diagram 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Webb</dc:creator>
  <cp:lastModifiedBy>Sara Webb</cp:lastModifiedBy>
  <cp:revision>2</cp:revision>
  <cp:lastPrinted>2015-02-16T02:09:00Z</cp:lastPrinted>
  <dcterms:created xsi:type="dcterms:W3CDTF">2017-02-22T02:14:00Z</dcterms:created>
  <dcterms:modified xsi:type="dcterms:W3CDTF">2017-02-22T02:14:00Z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1090300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