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A60C97" w14:textId="77777777" w:rsidR="00230777" w:rsidRPr="00867443" w:rsidRDefault="00230777" w:rsidP="00230777">
      <w:pPr>
        <w:pStyle w:val="Title"/>
        <w:rPr>
          <w:sz w:val="16"/>
          <w:szCs w:val="16"/>
        </w:rPr>
      </w:pPr>
    </w:p>
    <w:p w14:paraId="4C3DAC36" w14:textId="77777777" w:rsidR="00494F98" w:rsidRDefault="00494F98" w:rsidP="00EB398C">
      <w:pPr>
        <w:pStyle w:val="Title"/>
        <w:rPr>
          <w:sz w:val="36"/>
          <w:szCs w:val="36"/>
        </w:rPr>
      </w:pPr>
    </w:p>
    <w:p w14:paraId="750465A9" w14:textId="77777777" w:rsidR="00EB398C" w:rsidRDefault="00494F98" w:rsidP="00EB398C">
      <w:pPr>
        <w:pStyle w:val="Title"/>
        <w:rPr>
          <w:sz w:val="36"/>
          <w:szCs w:val="36"/>
        </w:rPr>
      </w:pPr>
      <w:r>
        <w:rPr>
          <w:sz w:val="36"/>
          <w:szCs w:val="36"/>
        </w:rPr>
        <w:t xml:space="preserve">2019-20 </w:t>
      </w:r>
      <w:r w:rsidR="00DB53A4">
        <w:rPr>
          <w:sz w:val="36"/>
          <w:szCs w:val="36"/>
        </w:rPr>
        <w:t>VANUATU</w:t>
      </w:r>
      <w:r w:rsidR="00235EAB">
        <w:rPr>
          <w:sz w:val="36"/>
          <w:szCs w:val="36"/>
        </w:rPr>
        <w:t xml:space="preserve"> </w:t>
      </w:r>
      <w:r w:rsidR="004C5598">
        <w:rPr>
          <w:sz w:val="36"/>
          <w:szCs w:val="36"/>
        </w:rPr>
        <w:t>development program progress report</w:t>
      </w:r>
      <w:r w:rsidR="00660121">
        <w:rPr>
          <w:sz w:val="36"/>
          <w:szCs w:val="36"/>
        </w:rPr>
        <w:t xml:space="preserve">  </w:t>
      </w:r>
    </w:p>
    <w:p w14:paraId="44BD00A0" w14:textId="77777777" w:rsidR="00452298" w:rsidRDefault="00230777" w:rsidP="00EB398C">
      <w:pPr>
        <w:pStyle w:val="Title"/>
        <w:rPr>
          <w:noProof/>
          <w:sz w:val="36"/>
          <w:szCs w:val="36"/>
          <w:lang w:val="en-AU" w:eastAsia="en-AU"/>
        </w:rPr>
        <w:sectPr w:rsidR="00452298" w:rsidSect="00BD3797">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80"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41.9&#10;Regional – 11.2&#10;Global – 11.9&#10;Other Government Departments – 1.2&#10;Total Australian ODA – 66.2&#10;Note. Actual expenditure is expected to be available in December 2020&#10;"/>
      </w:tblPr>
      <w:tblGrid>
        <w:gridCol w:w="3715"/>
        <w:gridCol w:w="1565"/>
      </w:tblGrid>
      <w:tr w:rsidR="00A323D2" w:rsidRPr="003D2C3D" w14:paraId="70C7D020" w14:textId="77777777" w:rsidTr="00F857E7">
        <w:trPr>
          <w:trHeight w:hRule="exact" w:val="754"/>
        </w:trPr>
        <w:tc>
          <w:tcPr>
            <w:tcW w:w="3715" w:type="dxa"/>
            <w:shd w:val="clear" w:color="auto" w:fill="C1E7E0" w:themeFill="accent1" w:themeFillTint="66"/>
            <w:vAlign w:val="center"/>
          </w:tcPr>
          <w:p w14:paraId="3D228BC4" w14:textId="77777777" w:rsidR="00A323D2" w:rsidRPr="00681A74" w:rsidRDefault="00A323D2" w:rsidP="00F857E7">
            <w:pPr>
              <w:jc w:val="center"/>
              <w:rPr>
                <w:b/>
                <w:color w:val="auto"/>
              </w:rPr>
            </w:pPr>
            <w:r w:rsidRPr="00681A74">
              <w:rPr>
                <w:b/>
                <w:color w:val="auto"/>
              </w:rPr>
              <w:t>Program Budget</w:t>
            </w:r>
          </w:p>
        </w:tc>
        <w:tc>
          <w:tcPr>
            <w:tcW w:w="1565" w:type="dxa"/>
            <w:shd w:val="clear" w:color="auto" w:fill="C1E7E0" w:themeFill="accent1" w:themeFillTint="66"/>
            <w:vAlign w:val="bottom"/>
          </w:tcPr>
          <w:p w14:paraId="7158A53C" w14:textId="77777777" w:rsidR="00A323D2" w:rsidRPr="00681A74" w:rsidRDefault="00A323D2" w:rsidP="00F857E7">
            <w:pPr>
              <w:pStyle w:val="NormalWeb"/>
              <w:spacing w:before="120" w:beforeAutospacing="0" w:after="60" w:afterAutospacing="0" w:line="200" w:lineRule="exact"/>
              <w:jc w:val="center"/>
              <w:rPr>
                <w:rFonts w:ascii="Arial" w:hAnsi="Arial" w:cs="Arial"/>
                <w:b/>
                <w:sz w:val="36"/>
                <w:szCs w:val="36"/>
              </w:rPr>
            </w:pPr>
            <w:r w:rsidRPr="00681A74">
              <w:rPr>
                <w:rFonts w:ascii="Calibri" w:hAnsi="Calibri" w:cs="Calibri"/>
                <w:b/>
                <w:bCs/>
                <w:kern w:val="24"/>
                <w:sz w:val="20"/>
                <w:szCs w:val="20"/>
              </w:rPr>
              <w:t>2019-20 Budget Estimate ($m)</w:t>
            </w:r>
            <w:r w:rsidRPr="00B62245">
              <w:rPr>
                <w:rFonts w:ascii="Calibri" w:hAnsi="Calibri" w:cs="Calibri"/>
                <w:b/>
                <w:bCs/>
                <w:kern w:val="24"/>
                <w:sz w:val="20"/>
                <w:szCs w:val="20"/>
                <w:vertAlign w:val="superscript"/>
              </w:rPr>
              <w:t>*</w:t>
            </w:r>
          </w:p>
        </w:tc>
      </w:tr>
      <w:tr w:rsidR="00A323D2" w:rsidRPr="003D2C3D" w14:paraId="59451CD2" w14:textId="77777777" w:rsidTr="00F857E7">
        <w:trPr>
          <w:trHeight w:hRule="exact" w:val="454"/>
        </w:trPr>
        <w:tc>
          <w:tcPr>
            <w:tcW w:w="3715" w:type="dxa"/>
            <w:shd w:val="clear" w:color="auto" w:fill="auto"/>
            <w:vAlign w:val="bottom"/>
          </w:tcPr>
          <w:p w14:paraId="3C885A08" w14:textId="77777777" w:rsidR="00A323D2" w:rsidRPr="003D2C3D" w:rsidRDefault="00A323D2" w:rsidP="00F857E7">
            <w:pPr>
              <w:pStyle w:val="NormalWeb"/>
              <w:spacing w:before="20" w:beforeAutospacing="0" w:after="20" w:afterAutospacing="0"/>
              <w:rPr>
                <w:rFonts w:ascii="Arial" w:hAnsi="Arial" w:cs="Arial"/>
                <w:sz w:val="36"/>
                <w:szCs w:val="36"/>
              </w:rPr>
            </w:pPr>
            <w:r w:rsidRPr="003D2C3D">
              <w:rPr>
                <w:rFonts w:ascii="Calibri" w:hAnsi="Calibri" w:cs="Calibri"/>
                <w:color w:val="000000" w:themeColor="dark1"/>
                <w:kern w:val="24"/>
                <w:sz w:val="20"/>
                <w:szCs w:val="20"/>
              </w:rPr>
              <w:t>Bilateral</w:t>
            </w:r>
          </w:p>
        </w:tc>
        <w:tc>
          <w:tcPr>
            <w:tcW w:w="1565" w:type="dxa"/>
            <w:shd w:val="clear" w:color="auto" w:fill="auto"/>
            <w:vAlign w:val="bottom"/>
          </w:tcPr>
          <w:p w14:paraId="55F2A8DD" w14:textId="77777777" w:rsidR="00A323D2" w:rsidRPr="00681A74" w:rsidRDefault="00A323D2" w:rsidP="00F857E7">
            <w:pPr>
              <w:pStyle w:val="NormalWeb"/>
              <w:spacing w:before="20" w:beforeAutospacing="0" w:after="20" w:afterAutospacing="0"/>
              <w:jc w:val="right"/>
              <w:rPr>
                <w:rFonts w:asciiTheme="minorHAnsi" w:hAnsiTheme="minorHAnsi" w:cs="Arial"/>
                <w:sz w:val="20"/>
                <w:szCs w:val="20"/>
              </w:rPr>
            </w:pPr>
            <w:r w:rsidRPr="00681A74">
              <w:rPr>
                <w:rFonts w:asciiTheme="minorHAnsi" w:hAnsiTheme="minorHAnsi" w:cs="Arial"/>
                <w:sz w:val="20"/>
                <w:szCs w:val="20"/>
              </w:rPr>
              <w:t>41.9</w:t>
            </w:r>
          </w:p>
        </w:tc>
      </w:tr>
      <w:tr w:rsidR="00A323D2" w:rsidRPr="003D2C3D" w14:paraId="062B39E3" w14:textId="77777777" w:rsidTr="00F857E7">
        <w:trPr>
          <w:trHeight w:hRule="exact" w:val="454"/>
        </w:trPr>
        <w:tc>
          <w:tcPr>
            <w:tcW w:w="3715" w:type="dxa"/>
            <w:shd w:val="clear" w:color="auto" w:fill="auto"/>
            <w:vAlign w:val="bottom"/>
          </w:tcPr>
          <w:p w14:paraId="4B6F8BC4" w14:textId="77777777" w:rsidR="00A323D2" w:rsidRPr="003D2C3D" w:rsidRDefault="00A323D2" w:rsidP="00F857E7">
            <w:pPr>
              <w:pStyle w:val="NormalWeb"/>
              <w:spacing w:before="20" w:beforeAutospacing="0" w:after="20" w:afterAutospacing="0"/>
              <w:rPr>
                <w:rFonts w:ascii="Arial" w:hAnsi="Arial" w:cs="Arial"/>
                <w:sz w:val="36"/>
                <w:szCs w:val="36"/>
              </w:rPr>
            </w:pPr>
            <w:r w:rsidRPr="003D2C3D">
              <w:rPr>
                <w:rFonts w:ascii="Calibri" w:hAnsi="Calibri" w:cs="Calibri"/>
                <w:color w:val="000000" w:themeColor="dark1"/>
                <w:kern w:val="24"/>
                <w:sz w:val="20"/>
                <w:szCs w:val="20"/>
              </w:rPr>
              <w:t>Regional</w:t>
            </w:r>
          </w:p>
        </w:tc>
        <w:tc>
          <w:tcPr>
            <w:tcW w:w="1565" w:type="dxa"/>
            <w:shd w:val="clear" w:color="auto" w:fill="auto"/>
            <w:vAlign w:val="bottom"/>
          </w:tcPr>
          <w:p w14:paraId="1151B220" w14:textId="77777777" w:rsidR="00A323D2" w:rsidRPr="00681A74" w:rsidRDefault="00A323D2" w:rsidP="00F857E7">
            <w:pPr>
              <w:pStyle w:val="NormalWeb"/>
              <w:spacing w:before="20" w:beforeAutospacing="0" w:after="20" w:afterAutospacing="0"/>
              <w:jc w:val="right"/>
              <w:rPr>
                <w:rFonts w:asciiTheme="minorHAnsi" w:hAnsiTheme="minorHAnsi" w:cs="Arial"/>
                <w:sz w:val="20"/>
                <w:szCs w:val="20"/>
              </w:rPr>
            </w:pPr>
            <w:r w:rsidRPr="00681A74">
              <w:rPr>
                <w:rFonts w:asciiTheme="minorHAnsi" w:hAnsiTheme="minorHAnsi" w:cs="Arial"/>
                <w:sz w:val="20"/>
                <w:szCs w:val="20"/>
              </w:rPr>
              <w:t>11.2</w:t>
            </w:r>
          </w:p>
        </w:tc>
      </w:tr>
      <w:tr w:rsidR="00A323D2" w:rsidRPr="003D2C3D" w14:paraId="28558688" w14:textId="77777777" w:rsidTr="00F857E7">
        <w:trPr>
          <w:trHeight w:hRule="exact" w:val="454"/>
        </w:trPr>
        <w:tc>
          <w:tcPr>
            <w:tcW w:w="3715" w:type="dxa"/>
            <w:shd w:val="clear" w:color="auto" w:fill="auto"/>
            <w:vAlign w:val="bottom"/>
          </w:tcPr>
          <w:p w14:paraId="43587F26" w14:textId="77777777" w:rsidR="00A323D2" w:rsidRPr="003D2C3D" w:rsidRDefault="00A323D2" w:rsidP="00F857E7">
            <w:pPr>
              <w:pStyle w:val="NormalWeb"/>
              <w:spacing w:before="20" w:beforeAutospacing="0" w:after="20" w:afterAutospacing="0"/>
              <w:rPr>
                <w:rFonts w:ascii="Arial" w:hAnsi="Arial" w:cs="Arial"/>
                <w:sz w:val="36"/>
                <w:szCs w:val="36"/>
              </w:rPr>
            </w:pPr>
            <w:r w:rsidRPr="003D2C3D">
              <w:rPr>
                <w:rFonts w:ascii="Calibri" w:hAnsi="Calibri" w:cs="Calibri"/>
                <w:color w:val="000000" w:themeColor="dark1"/>
                <w:kern w:val="24"/>
                <w:sz w:val="20"/>
                <w:szCs w:val="20"/>
              </w:rPr>
              <w:t>Global</w:t>
            </w:r>
          </w:p>
        </w:tc>
        <w:tc>
          <w:tcPr>
            <w:tcW w:w="1565" w:type="dxa"/>
            <w:shd w:val="clear" w:color="auto" w:fill="auto"/>
            <w:vAlign w:val="bottom"/>
          </w:tcPr>
          <w:p w14:paraId="3512ABCC" w14:textId="77777777" w:rsidR="00A323D2" w:rsidRPr="00681A74" w:rsidRDefault="00A323D2" w:rsidP="00F857E7">
            <w:pPr>
              <w:pStyle w:val="NormalWeb"/>
              <w:spacing w:before="20" w:beforeAutospacing="0" w:after="20" w:afterAutospacing="0"/>
              <w:jc w:val="right"/>
              <w:rPr>
                <w:rFonts w:asciiTheme="minorHAnsi" w:hAnsiTheme="minorHAnsi" w:cs="Arial"/>
                <w:sz w:val="20"/>
                <w:szCs w:val="20"/>
              </w:rPr>
            </w:pPr>
            <w:r>
              <w:rPr>
                <w:rFonts w:asciiTheme="minorHAnsi" w:hAnsiTheme="minorHAnsi" w:cs="Arial"/>
                <w:sz w:val="20"/>
                <w:szCs w:val="20"/>
              </w:rPr>
              <w:t>11.9</w:t>
            </w:r>
          </w:p>
        </w:tc>
      </w:tr>
      <w:tr w:rsidR="00A323D2" w:rsidRPr="003D2C3D" w14:paraId="1C194E89" w14:textId="77777777" w:rsidTr="00F857E7">
        <w:trPr>
          <w:trHeight w:hRule="exact" w:val="454"/>
        </w:trPr>
        <w:tc>
          <w:tcPr>
            <w:tcW w:w="3715" w:type="dxa"/>
            <w:shd w:val="clear" w:color="auto" w:fill="auto"/>
            <w:vAlign w:val="bottom"/>
          </w:tcPr>
          <w:p w14:paraId="7416C594" w14:textId="77777777" w:rsidR="00A323D2" w:rsidRPr="003D2C3D" w:rsidRDefault="00A323D2" w:rsidP="00F857E7">
            <w:pPr>
              <w:pStyle w:val="NormalWeb"/>
              <w:spacing w:before="20" w:beforeAutospacing="0" w:after="20" w:afterAutospacing="0"/>
              <w:rPr>
                <w:rFonts w:ascii="Arial" w:hAnsi="Arial" w:cs="Arial"/>
                <w:sz w:val="36"/>
                <w:szCs w:val="36"/>
              </w:rPr>
            </w:pPr>
            <w:r w:rsidRPr="003D2C3D">
              <w:rPr>
                <w:rFonts w:ascii="Calibri" w:hAnsi="Calibri" w:cs="Calibri"/>
                <w:color w:val="000000" w:themeColor="dark1"/>
                <w:kern w:val="24"/>
                <w:sz w:val="20"/>
                <w:szCs w:val="20"/>
              </w:rPr>
              <w:t>Other Government Departments</w:t>
            </w:r>
          </w:p>
        </w:tc>
        <w:tc>
          <w:tcPr>
            <w:tcW w:w="1565" w:type="dxa"/>
            <w:shd w:val="clear" w:color="auto" w:fill="auto"/>
            <w:vAlign w:val="bottom"/>
          </w:tcPr>
          <w:p w14:paraId="28A6A51F" w14:textId="77777777" w:rsidR="00A323D2" w:rsidRPr="00681A74" w:rsidRDefault="00A323D2" w:rsidP="00F857E7">
            <w:pPr>
              <w:pStyle w:val="NormalWeb"/>
              <w:spacing w:before="20" w:beforeAutospacing="0" w:after="20" w:afterAutospacing="0"/>
              <w:jc w:val="right"/>
              <w:rPr>
                <w:rFonts w:asciiTheme="minorHAnsi" w:hAnsiTheme="minorHAnsi" w:cs="Arial"/>
                <w:sz w:val="20"/>
                <w:szCs w:val="20"/>
              </w:rPr>
            </w:pPr>
            <w:r>
              <w:rPr>
                <w:rFonts w:asciiTheme="minorHAnsi" w:hAnsiTheme="minorHAnsi" w:cs="Arial"/>
                <w:sz w:val="20"/>
                <w:szCs w:val="20"/>
              </w:rPr>
              <w:t>1.2</w:t>
            </w:r>
          </w:p>
        </w:tc>
      </w:tr>
      <w:tr w:rsidR="00A323D2" w:rsidRPr="003D2C3D" w14:paraId="1A226145" w14:textId="77777777" w:rsidTr="00F857E7">
        <w:trPr>
          <w:trHeight w:hRule="exact" w:val="454"/>
        </w:trPr>
        <w:tc>
          <w:tcPr>
            <w:tcW w:w="3715" w:type="dxa"/>
            <w:tcBorders>
              <w:bottom w:val="single" w:sz="2" w:space="0" w:color="65C5B4" w:themeColor="accent1"/>
            </w:tcBorders>
            <w:shd w:val="clear" w:color="auto" w:fill="auto"/>
            <w:vAlign w:val="bottom"/>
          </w:tcPr>
          <w:p w14:paraId="11E6A10F" w14:textId="77777777" w:rsidR="00A323D2" w:rsidRPr="003D2C3D" w:rsidRDefault="00A323D2" w:rsidP="00F857E7">
            <w:pPr>
              <w:pStyle w:val="NormalWeb"/>
              <w:spacing w:before="20" w:beforeAutospacing="0" w:after="20" w:afterAutospacing="0"/>
              <w:rPr>
                <w:rFonts w:ascii="Arial" w:hAnsi="Arial" w:cs="Arial"/>
                <w:sz w:val="36"/>
                <w:szCs w:val="36"/>
              </w:rPr>
            </w:pPr>
            <w:r w:rsidRPr="003D2C3D">
              <w:rPr>
                <w:rFonts w:ascii="Calibri" w:hAnsi="Calibri" w:cs="Calibri"/>
                <w:b/>
                <w:bCs/>
                <w:color w:val="000000" w:themeColor="dark1"/>
                <w:kern w:val="24"/>
                <w:sz w:val="20"/>
                <w:szCs w:val="20"/>
              </w:rPr>
              <w:t xml:space="preserve">Total Australian ODA to </w:t>
            </w:r>
            <w:r>
              <w:rPr>
                <w:rFonts w:ascii="Calibri" w:hAnsi="Calibri" w:cs="Calibri"/>
                <w:b/>
                <w:bCs/>
                <w:color w:val="000000" w:themeColor="dark1"/>
                <w:kern w:val="24"/>
                <w:sz w:val="20"/>
                <w:szCs w:val="20"/>
              </w:rPr>
              <w:t>Vanuatu</w:t>
            </w:r>
          </w:p>
        </w:tc>
        <w:tc>
          <w:tcPr>
            <w:tcW w:w="1565" w:type="dxa"/>
            <w:tcBorders>
              <w:bottom w:val="single" w:sz="2" w:space="0" w:color="65C5B4" w:themeColor="accent1"/>
            </w:tcBorders>
            <w:shd w:val="clear" w:color="auto" w:fill="auto"/>
            <w:vAlign w:val="bottom"/>
          </w:tcPr>
          <w:p w14:paraId="57BD7445" w14:textId="77777777" w:rsidR="00A323D2" w:rsidRPr="00681A74" w:rsidRDefault="00A323D2" w:rsidP="00F857E7">
            <w:pPr>
              <w:pStyle w:val="NormalWeb"/>
              <w:spacing w:before="20" w:beforeAutospacing="0" w:after="20" w:afterAutospacing="0"/>
              <w:jc w:val="right"/>
              <w:rPr>
                <w:rFonts w:asciiTheme="minorHAnsi" w:hAnsiTheme="minorHAnsi" w:cs="Arial"/>
                <w:b/>
                <w:sz w:val="20"/>
                <w:szCs w:val="20"/>
              </w:rPr>
            </w:pPr>
            <w:r w:rsidRPr="00681A74">
              <w:rPr>
                <w:rFonts w:asciiTheme="minorHAnsi" w:hAnsiTheme="minorHAnsi" w:cs="Arial"/>
                <w:b/>
                <w:sz w:val="20"/>
                <w:szCs w:val="20"/>
              </w:rPr>
              <w:t>66.2</w:t>
            </w:r>
          </w:p>
        </w:tc>
      </w:tr>
    </w:tbl>
    <w:p w14:paraId="48B8CDE5" w14:textId="4D25EC10" w:rsidR="00A323D2" w:rsidRPr="002050A7" w:rsidRDefault="00A323D2" w:rsidP="00A323D2">
      <w:pPr>
        <w:spacing w:before="0" w:line="240" w:lineRule="auto"/>
        <w:rPr>
          <w:rFonts w:asciiTheme="majorHAnsi" w:hAnsiTheme="majorHAnsi" w:cstheme="majorHAnsi"/>
          <w:sz w:val="20"/>
        </w:rPr>
      </w:pPr>
      <w:r w:rsidRPr="002050A7">
        <w:rPr>
          <w:rFonts w:asciiTheme="majorHAnsi" w:hAnsiTheme="majorHAnsi" w:cstheme="majorHAnsi"/>
          <w:sz w:val="16"/>
          <w:szCs w:val="20"/>
        </w:rPr>
        <w:t>*Actual expenditure is expected to be available in December 2020</w:t>
      </w:r>
    </w:p>
    <w:p w14:paraId="4905312E" w14:textId="71F99EB6" w:rsidR="00452298" w:rsidRDefault="00A323D2" w:rsidP="00494F98">
      <w:pPr>
        <w:spacing w:before="0" w:after="0"/>
      </w:pPr>
      <w:r>
        <w:rPr>
          <w:noProof/>
          <w:lang w:val="en-AU" w:eastAsia="en-AU"/>
        </w:rPr>
        <w:drawing>
          <wp:inline distT="0" distB="0" distL="0" distR="0" wp14:anchorId="104AA01C" wp14:editId="55BCC683">
            <wp:extent cx="3339465" cy="1931589"/>
            <wp:effectExtent l="0" t="0" r="0" b="0"/>
            <wp:docPr id="1" name="Picture 1" descr="Infrastructure and trade – 21%&#10;Agriculture, fisheries and water – 4%&#10;Governance – 26%&#10;Education – 27%&#10;Health – 15%&#10;Building resilience – 6%&#10;General development support – 1%&#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47607" cy="1936298"/>
                    </a:xfrm>
                    <a:prstGeom prst="rect">
                      <a:avLst/>
                    </a:prstGeom>
                    <a:noFill/>
                  </pic:spPr>
                </pic:pic>
              </a:graphicData>
            </a:graphic>
          </wp:inline>
        </w:drawing>
      </w:r>
    </w:p>
    <w:p w14:paraId="4A69AC46" w14:textId="1770D549" w:rsidR="00A323D2" w:rsidRDefault="00A323D2" w:rsidP="00494F98">
      <w:pPr>
        <w:spacing w:before="0" w:after="0"/>
      </w:pPr>
    </w:p>
    <w:p w14:paraId="5EB3097D" w14:textId="77777777" w:rsidR="00A323D2" w:rsidRPr="00452298" w:rsidRDefault="00A323D2" w:rsidP="00494F98">
      <w:pPr>
        <w:spacing w:before="0" w:after="0"/>
        <w:sectPr w:rsidR="00A323D2" w:rsidRPr="00452298" w:rsidSect="00A323D2">
          <w:type w:val="continuous"/>
          <w:pgSz w:w="11906" w:h="16838" w:code="9"/>
          <w:pgMar w:top="1701" w:right="140" w:bottom="1418" w:left="709" w:header="142" w:footer="493" w:gutter="0"/>
          <w:cols w:num="2" w:space="397"/>
          <w:titlePg/>
          <w:docGrid w:linePitch="360"/>
        </w:sectPr>
      </w:pPr>
    </w:p>
    <w:p w14:paraId="673C84E1" w14:textId="77777777" w:rsidR="003500CF" w:rsidRDefault="00651213" w:rsidP="00C32299">
      <w:pPr>
        <w:rPr>
          <w:b/>
        </w:rPr>
      </w:pPr>
      <w:r>
        <w:rPr>
          <w:b/>
          <w:sz w:val="24"/>
        </w:rPr>
        <w:t>COVID-19 Development Response</w:t>
      </w:r>
      <w:r w:rsidR="003500CF">
        <w:rPr>
          <w:b/>
        </w:rPr>
        <w:tab/>
      </w:r>
    </w:p>
    <w:p w14:paraId="17C29D68" w14:textId="39124734" w:rsidR="007F689A" w:rsidRPr="00C723A9" w:rsidRDefault="007F689A" w:rsidP="007F689A">
      <w:pPr>
        <w:pStyle w:val="ListParagraph"/>
        <w:numPr>
          <w:ilvl w:val="0"/>
          <w:numId w:val="39"/>
        </w:numPr>
        <w:rPr>
          <w:lang w:val="en-AU"/>
        </w:rPr>
      </w:pPr>
      <w:r w:rsidRPr="00C723A9">
        <w:rPr>
          <w:lang w:val="en-AU"/>
        </w:rPr>
        <w:t xml:space="preserve">Building on Australia’s </w:t>
      </w:r>
      <w:r w:rsidR="00FC3EAA" w:rsidRPr="00C723A9">
        <w:rPr>
          <w:lang w:val="en-AU"/>
        </w:rPr>
        <w:t xml:space="preserve">long-term support to the </w:t>
      </w:r>
      <w:r w:rsidRPr="00C723A9">
        <w:rPr>
          <w:lang w:val="en-AU"/>
        </w:rPr>
        <w:t xml:space="preserve">health sector, we </w:t>
      </w:r>
      <w:r w:rsidR="00C723A9">
        <w:rPr>
          <w:lang w:val="en-AU"/>
        </w:rPr>
        <w:t>supported</w:t>
      </w:r>
      <w:r w:rsidRPr="00C723A9">
        <w:rPr>
          <w:lang w:val="en-AU"/>
        </w:rPr>
        <w:t xml:space="preserve"> Vanuatu’s COVID-19 preparedness and response </w:t>
      </w:r>
      <w:r w:rsidR="00982A94" w:rsidRPr="00C723A9">
        <w:rPr>
          <w:lang w:val="en-AU"/>
        </w:rPr>
        <w:t>through</w:t>
      </w:r>
      <w:r w:rsidRPr="00C723A9">
        <w:rPr>
          <w:lang w:val="en-AU"/>
        </w:rPr>
        <w:t xml:space="preserve"> </w:t>
      </w:r>
      <w:r w:rsidR="00E4469A" w:rsidRPr="00C723A9">
        <w:rPr>
          <w:lang w:val="en-AU"/>
        </w:rPr>
        <w:t>delivering</w:t>
      </w:r>
      <w:r w:rsidRPr="00C723A9">
        <w:rPr>
          <w:lang w:val="en-AU"/>
        </w:rPr>
        <w:t xml:space="preserve"> testing cartridges, medical equipment and </w:t>
      </w:r>
      <w:r w:rsidR="00505AEF" w:rsidRPr="00C723A9">
        <w:rPr>
          <w:lang w:val="en-AU"/>
        </w:rPr>
        <w:t xml:space="preserve">personal protective equipment </w:t>
      </w:r>
      <w:r w:rsidRPr="00C723A9">
        <w:rPr>
          <w:lang w:val="en-AU"/>
        </w:rPr>
        <w:t xml:space="preserve">for frontline health workers; deploying </w:t>
      </w:r>
      <w:r w:rsidR="00982A94" w:rsidRPr="00C723A9">
        <w:rPr>
          <w:lang w:val="en-AU"/>
        </w:rPr>
        <w:t>medical staff</w:t>
      </w:r>
      <w:r w:rsidRPr="00C723A9">
        <w:rPr>
          <w:lang w:val="en-AU"/>
        </w:rPr>
        <w:t>; and upgrading essential health infrastructure</w:t>
      </w:r>
      <w:r w:rsidR="008628FA" w:rsidRPr="00C723A9">
        <w:rPr>
          <w:lang w:val="en-AU"/>
        </w:rPr>
        <w:t>,</w:t>
      </w:r>
      <w:r w:rsidRPr="00C723A9">
        <w:rPr>
          <w:lang w:val="en-AU"/>
        </w:rPr>
        <w:t xml:space="preserve"> including isolation wards at two hospitals.</w:t>
      </w:r>
    </w:p>
    <w:p w14:paraId="23113B4F" w14:textId="59FA945A" w:rsidR="007F689A" w:rsidRPr="00C723A9" w:rsidRDefault="006A5E7A" w:rsidP="007F689A">
      <w:pPr>
        <w:pStyle w:val="ListParagraph"/>
        <w:numPr>
          <w:ilvl w:val="0"/>
          <w:numId w:val="39"/>
        </w:numPr>
        <w:rPr>
          <w:lang w:val="en-AU"/>
        </w:rPr>
      </w:pPr>
      <w:r w:rsidRPr="00C723A9">
        <w:rPr>
          <w:lang w:val="en-AU"/>
        </w:rPr>
        <w:t xml:space="preserve">We </w:t>
      </w:r>
      <w:r w:rsidR="00C723A9">
        <w:rPr>
          <w:lang w:val="en-AU"/>
        </w:rPr>
        <w:t>supported</w:t>
      </w:r>
      <w:r w:rsidR="007F689A" w:rsidRPr="00C723A9">
        <w:rPr>
          <w:lang w:val="en-AU"/>
        </w:rPr>
        <w:t xml:space="preserve"> the Government of Vanuatu design and deliver an economic stimulus package </w:t>
      </w:r>
      <w:r w:rsidR="00505AEF" w:rsidRPr="00C723A9">
        <w:rPr>
          <w:lang w:val="en-AU"/>
        </w:rPr>
        <w:t>(</w:t>
      </w:r>
      <w:r w:rsidR="007F689A" w:rsidRPr="00C723A9">
        <w:rPr>
          <w:lang w:val="en-AU"/>
        </w:rPr>
        <w:t>including</w:t>
      </w:r>
      <w:r w:rsidR="00505AEF" w:rsidRPr="00C723A9">
        <w:rPr>
          <w:lang w:val="en-AU"/>
        </w:rPr>
        <w:t xml:space="preserve"> providing</w:t>
      </w:r>
      <w:r w:rsidR="007F689A" w:rsidRPr="00C723A9">
        <w:rPr>
          <w:lang w:val="en-AU"/>
        </w:rPr>
        <w:t xml:space="preserve"> a $4.5 million contribution</w:t>
      </w:r>
      <w:r w:rsidR="00505AEF" w:rsidRPr="00C723A9">
        <w:rPr>
          <w:lang w:val="en-AU"/>
        </w:rPr>
        <w:t>)</w:t>
      </w:r>
      <w:r w:rsidR="007F689A" w:rsidRPr="00C723A9">
        <w:rPr>
          <w:lang w:val="en-AU"/>
        </w:rPr>
        <w:t xml:space="preserve">, </w:t>
      </w:r>
      <w:r w:rsidR="00D43FBE" w:rsidRPr="00C723A9">
        <w:rPr>
          <w:lang w:val="en-AU"/>
        </w:rPr>
        <w:t>subsidising</w:t>
      </w:r>
      <w:r w:rsidR="007F689A" w:rsidRPr="00C723A9">
        <w:rPr>
          <w:lang w:val="en-AU"/>
        </w:rPr>
        <w:t xml:space="preserve"> wages to support workers and help businesses retain staff.</w:t>
      </w:r>
    </w:p>
    <w:p w14:paraId="671D17F8" w14:textId="77777777" w:rsidR="002265B0" w:rsidRPr="00C723A9" w:rsidRDefault="006B6674" w:rsidP="002265B0">
      <w:pPr>
        <w:pStyle w:val="ListParagraph"/>
        <w:numPr>
          <w:ilvl w:val="0"/>
          <w:numId w:val="39"/>
        </w:numPr>
        <w:rPr>
          <w:lang w:val="en-AU"/>
        </w:rPr>
      </w:pPr>
      <w:r>
        <w:rPr>
          <w:lang w:val="en-AU"/>
        </w:rPr>
        <w:t>P</w:t>
      </w:r>
      <w:r w:rsidR="00BD3FE6" w:rsidRPr="00C723A9">
        <w:rPr>
          <w:lang w:val="en-AU"/>
        </w:rPr>
        <w:t>artner</w:t>
      </w:r>
      <w:r>
        <w:rPr>
          <w:lang w:val="en-AU"/>
        </w:rPr>
        <w:t>ing</w:t>
      </w:r>
      <w:r w:rsidR="00BD3FE6" w:rsidRPr="00C723A9">
        <w:rPr>
          <w:lang w:val="en-AU"/>
        </w:rPr>
        <w:t xml:space="preserve"> with </w:t>
      </w:r>
      <w:r w:rsidR="00082259" w:rsidRPr="00C723A9">
        <w:rPr>
          <w:lang w:val="en-AU"/>
        </w:rPr>
        <w:t>Vanuatu</w:t>
      </w:r>
      <w:r>
        <w:rPr>
          <w:lang w:val="en-AU"/>
        </w:rPr>
        <w:t>’s</w:t>
      </w:r>
      <w:r w:rsidR="00082259" w:rsidRPr="00C723A9">
        <w:rPr>
          <w:lang w:val="en-AU"/>
        </w:rPr>
        <w:t xml:space="preserve"> Chamber of Commerce and Industry</w:t>
      </w:r>
      <w:r w:rsidR="00BD3FE6" w:rsidRPr="00C723A9">
        <w:rPr>
          <w:lang w:val="en-AU"/>
        </w:rPr>
        <w:t xml:space="preserve">, </w:t>
      </w:r>
      <w:r w:rsidR="00E84F3D" w:rsidRPr="00C723A9">
        <w:rPr>
          <w:lang w:val="en-AU"/>
        </w:rPr>
        <w:t>Australia</w:t>
      </w:r>
      <w:r w:rsidR="006A5E7A" w:rsidRPr="00C723A9">
        <w:rPr>
          <w:lang w:val="en-AU"/>
        </w:rPr>
        <w:t xml:space="preserve"> </w:t>
      </w:r>
      <w:r w:rsidR="007F689A" w:rsidRPr="00C723A9">
        <w:rPr>
          <w:lang w:val="en-AU"/>
        </w:rPr>
        <w:t>assisted</w:t>
      </w:r>
      <w:r>
        <w:rPr>
          <w:lang w:val="en-AU"/>
        </w:rPr>
        <w:t xml:space="preserve"> the private sector with</w:t>
      </w:r>
      <w:r w:rsidR="00082259" w:rsidRPr="00C723A9">
        <w:rPr>
          <w:lang w:val="en-AU"/>
        </w:rPr>
        <w:t xml:space="preserve"> </w:t>
      </w:r>
      <w:r w:rsidR="00984432" w:rsidRPr="00C723A9">
        <w:rPr>
          <w:lang w:val="en-AU"/>
        </w:rPr>
        <w:t xml:space="preserve">business </w:t>
      </w:r>
      <w:r w:rsidR="00082259" w:rsidRPr="00C723A9">
        <w:rPr>
          <w:lang w:val="en-AU"/>
        </w:rPr>
        <w:t>resilience</w:t>
      </w:r>
      <w:r w:rsidR="007F689A" w:rsidRPr="00C723A9">
        <w:rPr>
          <w:lang w:val="en-AU"/>
        </w:rPr>
        <w:t>, diversification</w:t>
      </w:r>
      <w:r w:rsidR="00082259" w:rsidRPr="00C723A9">
        <w:rPr>
          <w:lang w:val="en-AU"/>
        </w:rPr>
        <w:t xml:space="preserve"> and support services</w:t>
      </w:r>
      <w:r w:rsidR="00984432" w:rsidRPr="00C723A9">
        <w:rPr>
          <w:lang w:val="en-AU"/>
        </w:rPr>
        <w:t>.</w:t>
      </w:r>
    </w:p>
    <w:p w14:paraId="04296B46" w14:textId="77777777" w:rsidR="00B63D93" w:rsidRPr="00C723A9" w:rsidRDefault="00895E7E" w:rsidP="00895E7E">
      <w:pPr>
        <w:pStyle w:val="ListParagraph"/>
        <w:numPr>
          <w:ilvl w:val="0"/>
          <w:numId w:val="39"/>
        </w:numPr>
        <w:rPr>
          <w:lang w:val="en-AU"/>
        </w:rPr>
      </w:pPr>
      <w:r w:rsidRPr="00C723A9">
        <w:rPr>
          <w:lang w:val="en-AU"/>
        </w:rPr>
        <w:t xml:space="preserve">We </w:t>
      </w:r>
      <w:r w:rsidR="004649CA" w:rsidRPr="00C723A9">
        <w:rPr>
          <w:lang w:val="en-AU"/>
        </w:rPr>
        <w:t>support</w:t>
      </w:r>
      <w:r w:rsidRPr="00C723A9">
        <w:rPr>
          <w:lang w:val="en-AU"/>
        </w:rPr>
        <w:t xml:space="preserve">ed </w:t>
      </w:r>
      <w:r w:rsidR="00B63D93" w:rsidRPr="00C723A9">
        <w:rPr>
          <w:lang w:val="en-AU"/>
        </w:rPr>
        <w:t xml:space="preserve">ni-Vanuatu labour mobility </w:t>
      </w:r>
      <w:r w:rsidR="00505AEF" w:rsidRPr="00C723A9">
        <w:rPr>
          <w:lang w:val="en-AU"/>
        </w:rPr>
        <w:t xml:space="preserve">program participants </w:t>
      </w:r>
      <w:r w:rsidRPr="00C723A9">
        <w:rPr>
          <w:lang w:val="en-AU"/>
        </w:rPr>
        <w:t xml:space="preserve">to remain employed </w:t>
      </w:r>
      <w:r w:rsidR="00B63D93" w:rsidRPr="00C723A9">
        <w:rPr>
          <w:lang w:val="en-AU"/>
        </w:rPr>
        <w:t>in Australia</w:t>
      </w:r>
      <w:r w:rsidR="004649CA" w:rsidRPr="00C723A9">
        <w:rPr>
          <w:lang w:val="en-AU"/>
        </w:rPr>
        <w:t xml:space="preserve"> - </w:t>
      </w:r>
      <w:r w:rsidR="00B63D93" w:rsidRPr="00C723A9">
        <w:rPr>
          <w:lang w:val="en-AU"/>
        </w:rPr>
        <w:t xml:space="preserve">through welfare, reskilling and redeployment </w:t>
      </w:r>
      <w:r w:rsidR="004649CA" w:rsidRPr="00C723A9">
        <w:rPr>
          <w:lang w:val="en-AU"/>
        </w:rPr>
        <w:t>assistance</w:t>
      </w:r>
      <w:r w:rsidRPr="00C723A9">
        <w:rPr>
          <w:lang w:val="en-AU"/>
        </w:rPr>
        <w:t xml:space="preserve">, enabling </w:t>
      </w:r>
      <w:r w:rsidR="00E84F3D" w:rsidRPr="00C723A9">
        <w:rPr>
          <w:lang w:val="en-AU"/>
        </w:rPr>
        <w:t>them</w:t>
      </w:r>
      <w:r w:rsidRPr="00C723A9">
        <w:rPr>
          <w:lang w:val="en-AU"/>
        </w:rPr>
        <w:t xml:space="preserve"> to</w:t>
      </w:r>
      <w:r w:rsidR="004649CA" w:rsidRPr="00C723A9">
        <w:rPr>
          <w:lang w:val="en-AU"/>
        </w:rPr>
        <w:t xml:space="preserve"> continue providing remittances to their families during the pandemic.</w:t>
      </w:r>
    </w:p>
    <w:p w14:paraId="440504D1" w14:textId="77777777" w:rsidR="00982A94" w:rsidRPr="00C723A9" w:rsidRDefault="004649CA" w:rsidP="00B63D93">
      <w:pPr>
        <w:pStyle w:val="ListParagraph"/>
        <w:numPr>
          <w:ilvl w:val="0"/>
          <w:numId w:val="39"/>
        </w:numPr>
        <w:rPr>
          <w:lang w:val="en-AU"/>
        </w:rPr>
      </w:pPr>
      <w:r w:rsidRPr="00C723A9">
        <w:rPr>
          <w:lang w:val="en-AU"/>
        </w:rPr>
        <w:t>Australia i</w:t>
      </w:r>
      <w:r w:rsidR="007F689A" w:rsidRPr="00C723A9">
        <w:rPr>
          <w:lang w:val="en-AU"/>
        </w:rPr>
        <w:t>ncreased support for livelihoods</w:t>
      </w:r>
      <w:r w:rsidR="00982A94" w:rsidRPr="00C723A9">
        <w:rPr>
          <w:lang w:val="en-AU"/>
        </w:rPr>
        <w:t xml:space="preserve"> and </w:t>
      </w:r>
      <w:r w:rsidR="007F689A" w:rsidRPr="00C723A9">
        <w:rPr>
          <w:lang w:val="en-AU"/>
        </w:rPr>
        <w:t xml:space="preserve">employment </w:t>
      </w:r>
      <w:r w:rsidR="00982A94" w:rsidRPr="00C723A9">
        <w:rPr>
          <w:lang w:val="en-AU"/>
        </w:rPr>
        <w:t>by providing training in agriculture, construction</w:t>
      </w:r>
      <w:r w:rsidRPr="00C723A9">
        <w:rPr>
          <w:lang w:val="en-AU"/>
        </w:rPr>
        <w:t xml:space="preserve"> and</w:t>
      </w:r>
      <w:r w:rsidR="00982A94" w:rsidRPr="00C723A9">
        <w:rPr>
          <w:lang w:val="en-AU"/>
        </w:rPr>
        <w:t xml:space="preserve"> plumbing to upskill and re-skill workers</w:t>
      </w:r>
      <w:r w:rsidRPr="00C723A9">
        <w:rPr>
          <w:lang w:val="en-AU"/>
        </w:rPr>
        <w:t>,</w:t>
      </w:r>
      <w:r w:rsidR="00982A94" w:rsidRPr="00C723A9">
        <w:rPr>
          <w:lang w:val="en-AU"/>
        </w:rPr>
        <w:t xml:space="preserve"> support</w:t>
      </w:r>
      <w:r w:rsidRPr="00C723A9">
        <w:rPr>
          <w:lang w:val="en-AU"/>
        </w:rPr>
        <w:t>ing</w:t>
      </w:r>
      <w:r w:rsidR="00982A94" w:rsidRPr="00C723A9">
        <w:rPr>
          <w:lang w:val="en-AU"/>
        </w:rPr>
        <w:t xml:space="preserve"> economic diversification and increase</w:t>
      </w:r>
      <w:r w:rsidRPr="00C723A9">
        <w:rPr>
          <w:lang w:val="en-AU"/>
        </w:rPr>
        <w:t>d</w:t>
      </w:r>
      <w:r w:rsidR="00982A94" w:rsidRPr="00C723A9">
        <w:rPr>
          <w:lang w:val="en-AU"/>
        </w:rPr>
        <w:t xml:space="preserve"> incomes; and </w:t>
      </w:r>
      <w:r w:rsidR="00505AEF" w:rsidRPr="00C723A9">
        <w:rPr>
          <w:lang w:val="en-AU"/>
        </w:rPr>
        <w:t xml:space="preserve">facilitating </w:t>
      </w:r>
      <w:r w:rsidR="00982A94" w:rsidRPr="00C723A9">
        <w:rPr>
          <w:lang w:val="en-AU"/>
        </w:rPr>
        <w:t xml:space="preserve">domestic market </w:t>
      </w:r>
      <w:r w:rsidR="00982A94" w:rsidRPr="00C723A9">
        <w:rPr>
          <w:lang w:val="en-AU"/>
        </w:rPr>
        <w:t>access to Vanuatu’s two major provincial handicraft production hubs, assisting approximately 200 female producers.</w:t>
      </w:r>
    </w:p>
    <w:p w14:paraId="0F969C19" w14:textId="77777777" w:rsidR="007F689A" w:rsidRPr="00C723A9" w:rsidRDefault="001F5160" w:rsidP="00496C88">
      <w:pPr>
        <w:pStyle w:val="ListParagraph"/>
        <w:numPr>
          <w:ilvl w:val="0"/>
          <w:numId w:val="39"/>
        </w:numPr>
        <w:rPr>
          <w:lang w:val="en-AU"/>
        </w:rPr>
      </w:pPr>
      <w:r w:rsidRPr="00C723A9">
        <w:rPr>
          <w:lang w:val="en-AU"/>
        </w:rPr>
        <w:t>We supported food security t</w:t>
      </w:r>
      <w:r w:rsidR="00D35E3F" w:rsidRPr="00C723A9">
        <w:rPr>
          <w:lang w:val="en-AU"/>
        </w:rPr>
        <w:t>hrough</w:t>
      </w:r>
      <w:r w:rsidRPr="00C723A9">
        <w:rPr>
          <w:lang w:val="en-AU"/>
        </w:rPr>
        <w:t xml:space="preserve"> </w:t>
      </w:r>
      <w:r w:rsidR="007F689A" w:rsidRPr="00C723A9">
        <w:rPr>
          <w:lang w:val="en-AU"/>
        </w:rPr>
        <w:t xml:space="preserve">provision of seedlings and </w:t>
      </w:r>
      <w:r w:rsidR="00984432" w:rsidRPr="00C723A9">
        <w:rPr>
          <w:lang w:val="en-AU"/>
        </w:rPr>
        <w:t xml:space="preserve">agricultural </w:t>
      </w:r>
      <w:r w:rsidR="007F689A" w:rsidRPr="00C723A9">
        <w:rPr>
          <w:lang w:val="en-AU"/>
        </w:rPr>
        <w:t>equipment to establish food gardens for 1</w:t>
      </w:r>
      <w:r w:rsidR="00FE35D8">
        <w:rPr>
          <w:lang w:val="en-AU"/>
        </w:rPr>
        <w:t>,</w:t>
      </w:r>
      <w:r w:rsidR="007F689A" w:rsidRPr="00C723A9">
        <w:rPr>
          <w:lang w:val="en-AU"/>
        </w:rPr>
        <w:t>633 households</w:t>
      </w:r>
      <w:r w:rsidRPr="00C723A9">
        <w:rPr>
          <w:lang w:val="en-AU"/>
        </w:rPr>
        <w:t>, supply</w:t>
      </w:r>
      <w:r w:rsidR="007F689A" w:rsidRPr="00C723A9">
        <w:rPr>
          <w:lang w:val="en-AU"/>
        </w:rPr>
        <w:t xml:space="preserve"> </w:t>
      </w:r>
      <w:r w:rsidRPr="00C723A9">
        <w:rPr>
          <w:lang w:val="en-AU"/>
        </w:rPr>
        <w:t xml:space="preserve">of chicken </w:t>
      </w:r>
      <w:r w:rsidR="007F689A" w:rsidRPr="00C723A9">
        <w:rPr>
          <w:lang w:val="en-AU"/>
        </w:rPr>
        <w:t>breeders to 970 households</w:t>
      </w:r>
      <w:r w:rsidRPr="00C723A9">
        <w:rPr>
          <w:lang w:val="en-AU"/>
        </w:rPr>
        <w:t>,</w:t>
      </w:r>
      <w:r w:rsidR="007F689A" w:rsidRPr="00C723A9">
        <w:rPr>
          <w:lang w:val="en-AU"/>
        </w:rPr>
        <w:t xml:space="preserve"> </w:t>
      </w:r>
      <w:r w:rsidR="00982A94" w:rsidRPr="00C723A9">
        <w:rPr>
          <w:lang w:val="en-AU"/>
        </w:rPr>
        <w:t xml:space="preserve">and </w:t>
      </w:r>
      <w:r w:rsidR="007F689A" w:rsidRPr="00C723A9">
        <w:rPr>
          <w:lang w:val="en-AU"/>
        </w:rPr>
        <w:t>establishment of food corridors between islands to link fa</w:t>
      </w:r>
      <w:r w:rsidR="00E4469A" w:rsidRPr="00C723A9">
        <w:rPr>
          <w:lang w:val="en-AU"/>
        </w:rPr>
        <w:t>r</w:t>
      </w:r>
      <w:r w:rsidR="007F689A" w:rsidRPr="00C723A9">
        <w:rPr>
          <w:lang w:val="en-AU"/>
        </w:rPr>
        <w:t>mers with markets</w:t>
      </w:r>
      <w:r w:rsidRPr="00C723A9">
        <w:rPr>
          <w:lang w:val="en-AU"/>
        </w:rPr>
        <w:t>.</w:t>
      </w:r>
      <w:r w:rsidR="00D35E3F" w:rsidRPr="00C723A9">
        <w:rPr>
          <w:lang w:val="en-AU"/>
        </w:rPr>
        <w:t xml:space="preserve"> </w:t>
      </w:r>
    </w:p>
    <w:p w14:paraId="140993F2" w14:textId="189B1A94" w:rsidR="00983513" w:rsidRDefault="007F689A" w:rsidP="0092077E">
      <w:pPr>
        <w:pStyle w:val="ListParagraph"/>
        <w:numPr>
          <w:ilvl w:val="0"/>
          <w:numId w:val="39"/>
        </w:numPr>
        <w:rPr>
          <w:lang w:val="en-AU"/>
        </w:rPr>
      </w:pPr>
      <w:r w:rsidRPr="00DE7101">
        <w:rPr>
          <w:lang w:val="en-AU"/>
        </w:rPr>
        <w:t>Australia supported a</w:t>
      </w:r>
      <w:r w:rsidR="00A91230" w:rsidRPr="00DE7101">
        <w:rPr>
          <w:lang w:val="en-AU"/>
        </w:rPr>
        <w:t xml:space="preserve"> nation</w:t>
      </w:r>
      <w:r w:rsidR="00644F75" w:rsidRPr="00DE7101">
        <w:rPr>
          <w:lang w:val="en-AU"/>
        </w:rPr>
        <w:t>wide</w:t>
      </w:r>
      <w:r w:rsidRPr="00DE7101">
        <w:rPr>
          <w:lang w:val="en-AU"/>
        </w:rPr>
        <w:t xml:space="preserve"> home-school radio program</w:t>
      </w:r>
      <w:r w:rsidR="00850896" w:rsidRPr="00DE7101">
        <w:rPr>
          <w:lang w:val="en-AU"/>
        </w:rPr>
        <w:t xml:space="preserve">, </w:t>
      </w:r>
      <w:r w:rsidR="00644F75" w:rsidRPr="00DE7101">
        <w:rPr>
          <w:lang w:val="en-AU"/>
        </w:rPr>
        <w:t>continuing</w:t>
      </w:r>
      <w:r w:rsidR="00850896" w:rsidRPr="00DE7101">
        <w:rPr>
          <w:lang w:val="en-AU"/>
        </w:rPr>
        <w:t xml:space="preserve"> access to education. </w:t>
      </w:r>
      <w:r w:rsidR="00A91230" w:rsidRPr="00DE7101">
        <w:rPr>
          <w:lang w:val="en-AU"/>
        </w:rPr>
        <w:t xml:space="preserve">We also </w:t>
      </w:r>
      <w:r w:rsidR="00114807">
        <w:rPr>
          <w:lang w:val="en-AU"/>
        </w:rPr>
        <w:t>supporte</w:t>
      </w:r>
      <w:r w:rsidR="00DE7101" w:rsidRPr="00DE7101">
        <w:rPr>
          <w:lang w:val="en-AU"/>
        </w:rPr>
        <w:t>d rollout of</w:t>
      </w:r>
      <w:r w:rsidR="00A91230" w:rsidRPr="00DE7101">
        <w:rPr>
          <w:lang w:val="en-AU"/>
        </w:rPr>
        <w:t xml:space="preserve"> a new national Year 5 curriculum, teaching and learning materials to all primary schools</w:t>
      </w:r>
      <w:r w:rsidRPr="00DE7101">
        <w:rPr>
          <w:lang w:val="en-AU"/>
        </w:rPr>
        <w:t xml:space="preserve">. </w:t>
      </w:r>
      <w:r w:rsidR="00850896" w:rsidRPr="00983513">
        <w:rPr>
          <w:lang w:val="en-AU"/>
        </w:rPr>
        <w:t>A further</w:t>
      </w:r>
      <w:r w:rsidRPr="00983513">
        <w:rPr>
          <w:lang w:val="en-AU"/>
        </w:rPr>
        <w:t xml:space="preserve"> $4</w:t>
      </w:r>
      <w:r w:rsidR="00444177" w:rsidRPr="00983513">
        <w:rPr>
          <w:lang w:val="en-AU"/>
        </w:rPr>
        <w:t> </w:t>
      </w:r>
      <w:r w:rsidRPr="00983513">
        <w:rPr>
          <w:lang w:val="en-AU"/>
        </w:rPr>
        <w:t>million</w:t>
      </w:r>
      <w:r w:rsidR="00114807">
        <w:rPr>
          <w:lang w:val="en-AU"/>
        </w:rPr>
        <w:t xml:space="preserve"> for</w:t>
      </w:r>
      <w:r w:rsidR="00850896" w:rsidRPr="00DE7101">
        <w:rPr>
          <w:lang w:val="en-AU"/>
        </w:rPr>
        <w:t xml:space="preserve"> schools and communities</w:t>
      </w:r>
      <w:r w:rsidR="00393F0D" w:rsidRPr="00DE7101">
        <w:rPr>
          <w:lang w:val="en-AU"/>
        </w:rPr>
        <w:t xml:space="preserve"> </w:t>
      </w:r>
      <w:r w:rsidR="00983513">
        <w:rPr>
          <w:lang w:val="en-AU"/>
        </w:rPr>
        <w:t>i</w:t>
      </w:r>
      <w:r w:rsidR="00114807">
        <w:rPr>
          <w:lang w:val="en-AU"/>
        </w:rPr>
        <w:t xml:space="preserve">s providing </w:t>
      </w:r>
      <w:r w:rsidR="00DE7101" w:rsidRPr="00983513">
        <w:rPr>
          <w:lang w:val="en-AU"/>
        </w:rPr>
        <w:t>economic stimulus</w:t>
      </w:r>
      <w:r w:rsidR="00114807">
        <w:rPr>
          <w:lang w:val="en-AU"/>
        </w:rPr>
        <w:t xml:space="preserve"> in response to local needs</w:t>
      </w:r>
      <w:r w:rsidR="00DE7101" w:rsidRPr="00983513">
        <w:rPr>
          <w:lang w:val="en-AU"/>
        </w:rPr>
        <w:t xml:space="preserve">. </w:t>
      </w:r>
    </w:p>
    <w:p w14:paraId="32CD6D20" w14:textId="77777777" w:rsidR="003500CF" w:rsidRPr="00983513" w:rsidRDefault="00651213" w:rsidP="0092077E">
      <w:pPr>
        <w:pStyle w:val="ListParagraph"/>
        <w:rPr>
          <w:b/>
          <w:sz w:val="24"/>
        </w:rPr>
      </w:pPr>
      <w:r w:rsidRPr="00983513">
        <w:rPr>
          <w:b/>
          <w:sz w:val="24"/>
        </w:rPr>
        <w:t>Other program highlights</w:t>
      </w:r>
    </w:p>
    <w:p w14:paraId="6A4B60A1" w14:textId="3BE451AC" w:rsidR="00441845" w:rsidRPr="00C723A9" w:rsidRDefault="00441845" w:rsidP="00441845">
      <w:pPr>
        <w:pStyle w:val="ListParagraph"/>
        <w:numPr>
          <w:ilvl w:val="0"/>
          <w:numId w:val="41"/>
        </w:numPr>
        <w:suppressAutoHyphens w:val="0"/>
        <w:autoSpaceDE w:val="0"/>
        <w:autoSpaceDN w:val="0"/>
        <w:spacing w:before="0" w:after="0" w:line="240" w:lineRule="auto"/>
        <w:contextualSpacing w:val="0"/>
        <w:rPr>
          <w:color w:val="auto"/>
          <w:lang w:val="en-AU"/>
        </w:rPr>
      </w:pPr>
      <w:r w:rsidRPr="00C723A9">
        <w:t>With Australia</w:t>
      </w:r>
      <w:r w:rsidR="00984432" w:rsidRPr="00C723A9">
        <w:t>’s</w:t>
      </w:r>
      <w:r w:rsidRPr="00C723A9">
        <w:t xml:space="preserve"> support, the Government of Vanuatu passed major revisions to its Public Financial Management legislation</w:t>
      </w:r>
      <w:r w:rsidR="002259CA">
        <w:t>,</w:t>
      </w:r>
      <w:r w:rsidR="00984432" w:rsidRPr="00C723A9">
        <w:t xml:space="preserve"> </w:t>
      </w:r>
      <w:r w:rsidR="00381369">
        <w:t>improving</w:t>
      </w:r>
      <w:r w:rsidRPr="00C723A9">
        <w:t xml:space="preserve"> effectiveness of spending, debt management and revenue raising.</w:t>
      </w:r>
    </w:p>
    <w:p w14:paraId="68C6FF0A" w14:textId="77777777" w:rsidR="00F04694" w:rsidRPr="00C723A9" w:rsidRDefault="0043368C" w:rsidP="009360A9">
      <w:pPr>
        <w:pStyle w:val="ListParagraph"/>
        <w:numPr>
          <w:ilvl w:val="0"/>
          <w:numId w:val="41"/>
        </w:numPr>
        <w:suppressAutoHyphens w:val="0"/>
        <w:autoSpaceDE w:val="0"/>
        <w:autoSpaceDN w:val="0"/>
        <w:spacing w:before="0" w:after="0" w:line="240" w:lineRule="auto"/>
        <w:contextualSpacing w:val="0"/>
      </w:pPr>
      <w:r w:rsidRPr="00C723A9">
        <w:t>Over</w:t>
      </w:r>
      <w:r w:rsidR="00F04694" w:rsidRPr="00C723A9">
        <w:t xml:space="preserve"> 1,500km of road</w:t>
      </w:r>
      <w:r w:rsidRPr="00C723A9">
        <w:t xml:space="preserve">s </w:t>
      </w:r>
      <w:r w:rsidR="009360A9" w:rsidRPr="00C723A9">
        <w:t>(1</w:t>
      </w:r>
      <w:r w:rsidR="00505AEF" w:rsidRPr="00C723A9">
        <w:t>,</w:t>
      </w:r>
      <w:r w:rsidR="009360A9" w:rsidRPr="00C723A9">
        <w:t xml:space="preserve">313km rural) </w:t>
      </w:r>
      <w:r w:rsidRPr="00C723A9">
        <w:t>were</w:t>
      </w:r>
      <w:r w:rsidR="00F04694" w:rsidRPr="00C723A9">
        <w:t xml:space="preserve"> </w:t>
      </w:r>
      <w:r w:rsidRPr="00C723A9">
        <w:t xml:space="preserve">maintained </w:t>
      </w:r>
      <w:r w:rsidR="00F04694" w:rsidRPr="00C723A9">
        <w:t xml:space="preserve">and </w:t>
      </w:r>
      <w:r w:rsidRPr="00C723A9">
        <w:t>repaired</w:t>
      </w:r>
      <w:r w:rsidR="00F04694" w:rsidRPr="00C723A9">
        <w:t>, providing local jobs</w:t>
      </w:r>
      <w:r w:rsidRPr="00C723A9">
        <w:t>, economic</w:t>
      </w:r>
      <w:r w:rsidR="00F04694" w:rsidRPr="00C723A9">
        <w:t xml:space="preserve"> stimulus and linking communi</w:t>
      </w:r>
      <w:r w:rsidR="00867D91" w:rsidRPr="00C723A9">
        <w:t>ties to services and markets.</w:t>
      </w:r>
    </w:p>
    <w:p w14:paraId="2093FB46" w14:textId="77777777" w:rsidR="00976055" w:rsidRDefault="00976055" w:rsidP="00976055">
      <w:pPr>
        <w:pStyle w:val="ListParagraph"/>
        <w:suppressAutoHyphens w:val="0"/>
        <w:spacing w:before="0" w:after="0" w:line="254" w:lineRule="auto"/>
        <w:ind w:left="714"/>
      </w:pPr>
    </w:p>
    <w:p w14:paraId="35331AD2" w14:textId="51ED8855" w:rsidR="006936B1" w:rsidRPr="00C723A9" w:rsidRDefault="006936B1" w:rsidP="006936B1">
      <w:pPr>
        <w:pStyle w:val="ListParagraph"/>
        <w:numPr>
          <w:ilvl w:val="0"/>
          <w:numId w:val="41"/>
        </w:numPr>
        <w:suppressAutoHyphens w:val="0"/>
        <w:spacing w:before="0" w:after="0" w:line="254" w:lineRule="auto"/>
        <w:ind w:left="714" w:hanging="357"/>
      </w:pPr>
      <w:r w:rsidRPr="00C723A9">
        <w:t xml:space="preserve">Australia renovated and extended the </w:t>
      </w:r>
      <w:proofErr w:type="spellStart"/>
      <w:r w:rsidRPr="00C723A9">
        <w:t>Luganville</w:t>
      </w:r>
      <w:proofErr w:type="spellEnd"/>
      <w:r w:rsidRPr="00C723A9">
        <w:t xml:space="preserve"> market house,</w:t>
      </w:r>
      <w:r w:rsidR="00DE57F0">
        <w:t xml:space="preserve"> Vanuatu’s</w:t>
      </w:r>
      <w:r w:rsidR="002259CA" w:rsidRPr="00C723A9">
        <w:t xml:space="preserve"> second largest market</w:t>
      </w:r>
      <w:r w:rsidR="002259CA">
        <w:t>,</w:t>
      </w:r>
      <w:r w:rsidR="002259CA" w:rsidRPr="00C723A9">
        <w:t xml:space="preserve"> </w:t>
      </w:r>
      <w:r w:rsidR="002259CA">
        <w:t>with</w:t>
      </w:r>
      <w:r w:rsidRPr="00C723A9">
        <w:t xml:space="preserve"> 3</w:t>
      </w:r>
      <w:r w:rsidR="00505AEF" w:rsidRPr="00C723A9">
        <w:t>,</w:t>
      </w:r>
      <w:r w:rsidRPr="00C723A9">
        <w:t xml:space="preserve">000 registered </w:t>
      </w:r>
      <w:r w:rsidRPr="00C723A9">
        <w:lastRenderedPageBreak/>
        <w:t xml:space="preserve">vendors. The building withstood category 5 Tropical Cyclone </w:t>
      </w:r>
      <w:r w:rsidR="00393F0D">
        <w:t xml:space="preserve">(TC) </w:t>
      </w:r>
      <w:r w:rsidRPr="00C723A9">
        <w:t>Harold, enabling vendors</w:t>
      </w:r>
      <w:r w:rsidR="00C43F03" w:rsidRPr="00C723A9">
        <w:t xml:space="preserve"> -</w:t>
      </w:r>
      <w:r w:rsidRPr="00C723A9">
        <w:t xml:space="preserve"> </w:t>
      </w:r>
      <w:r w:rsidR="006731A4" w:rsidRPr="00C723A9">
        <w:t xml:space="preserve">primarily </w:t>
      </w:r>
      <w:r w:rsidRPr="00C723A9">
        <w:t>women</w:t>
      </w:r>
      <w:r w:rsidR="006731A4" w:rsidRPr="00C723A9">
        <w:t xml:space="preserve"> -</w:t>
      </w:r>
      <w:r w:rsidRPr="00C723A9">
        <w:t xml:space="preserve"> to begin selling produce within a week of the cyclone.</w:t>
      </w:r>
    </w:p>
    <w:p w14:paraId="0498AB41" w14:textId="77777777" w:rsidR="00F04694" w:rsidRPr="00C723A9" w:rsidRDefault="00460D9A" w:rsidP="009C2EBB">
      <w:pPr>
        <w:pStyle w:val="ListParagraph"/>
        <w:numPr>
          <w:ilvl w:val="0"/>
          <w:numId w:val="41"/>
        </w:numPr>
      </w:pPr>
      <w:r w:rsidRPr="00C723A9">
        <w:t>T</w:t>
      </w:r>
      <w:r w:rsidR="009C2EBB" w:rsidRPr="00C723A9">
        <w:t xml:space="preserve">echnical guidance </w:t>
      </w:r>
      <w:r w:rsidRPr="00C723A9">
        <w:t xml:space="preserve">from Australia </w:t>
      </w:r>
      <w:r w:rsidR="009C2EBB" w:rsidRPr="00C723A9">
        <w:t>on agriculture, fisheries and agroforestry</w:t>
      </w:r>
      <w:r w:rsidR="009D17E8" w:rsidRPr="00C723A9">
        <w:t xml:space="preserve"> improved</w:t>
      </w:r>
      <w:r w:rsidRPr="00C723A9">
        <w:t xml:space="preserve"> </w:t>
      </w:r>
      <w:r w:rsidR="009C2EBB" w:rsidRPr="00C723A9">
        <w:t xml:space="preserve">domestic food security, nutrition, and </w:t>
      </w:r>
      <w:r w:rsidRPr="00C723A9">
        <w:t xml:space="preserve">built </w:t>
      </w:r>
      <w:r w:rsidR="009C2EBB" w:rsidRPr="00C723A9">
        <w:t xml:space="preserve">cash and export crop markets for </w:t>
      </w:r>
      <w:r w:rsidR="009D17E8" w:rsidRPr="00C723A9">
        <w:t xml:space="preserve">kava, </w:t>
      </w:r>
      <w:r w:rsidR="00236FD8" w:rsidRPr="00C723A9">
        <w:t xml:space="preserve">copra, </w:t>
      </w:r>
      <w:r w:rsidR="009C2EBB" w:rsidRPr="00C723A9">
        <w:t>cocoa</w:t>
      </w:r>
      <w:r w:rsidR="00236FD8" w:rsidRPr="00C723A9">
        <w:t xml:space="preserve"> </w:t>
      </w:r>
      <w:r w:rsidR="009C2EBB" w:rsidRPr="00C723A9">
        <w:t xml:space="preserve">and other </w:t>
      </w:r>
      <w:r w:rsidR="009D17E8" w:rsidRPr="00C723A9">
        <w:t xml:space="preserve">key </w:t>
      </w:r>
      <w:r w:rsidR="009C2EBB" w:rsidRPr="00C723A9">
        <w:t>crops.</w:t>
      </w:r>
    </w:p>
    <w:p w14:paraId="6FEEA298" w14:textId="12B50A7F" w:rsidR="00F04694" w:rsidRPr="00C723A9" w:rsidRDefault="00550726" w:rsidP="00F04694">
      <w:pPr>
        <w:pStyle w:val="ListParagraph"/>
        <w:numPr>
          <w:ilvl w:val="0"/>
          <w:numId w:val="41"/>
        </w:numPr>
      </w:pPr>
      <w:r>
        <w:t>The</w:t>
      </w:r>
      <w:r w:rsidR="005D0907" w:rsidRPr="00C723A9">
        <w:t xml:space="preserve"> Australia Pacific Technical Coalition</w:t>
      </w:r>
      <w:r>
        <w:t>’s work-ready training</w:t>
      </w:r>
      <w:r w:rsidR="005D0907" w:rsidRPr="00C723A9">
        <w:t xml:space="preserve"> </w:t>
      </w:r>
      <w:r>
        <w:t>helped</w:t>
      </w:r>
      <w:r w:rsidRPr="00C723A9">
        <w:t xml:space="preserve"> </w:t>
      </w:r>
      <w:r w:rsidR="00E03ED3" w:rsidRPr="00C723A9">
        <w:t>6</w:t>
      </w:r>
      <w:r w:rsidR="007E0D4A" w:rsidRPr="00C723A9">
        <w:t>3</w:t>
      </w:r>
      <w:r w:rsidR="00770F14" w:rsidRPr="00C723A9">
        <w:t xml:space="preserve"> labour mobility </w:t>
      </w:r>
      <w:r w:rsidR="006C03DE">
        <w:t>workers</w:t>
      </w:r>
      <w:r w:rsidR="00114807">
        <w:t xml:space="preserve"> prepare to</w:t>
      </w:r>
      <w:r w:rsidR="005D0907" w:rsidRPr="00C723A9">
        <w:t xml:space="preserve"> deploy to Australia</w:t>
      </w:r>
      <w:r w:rsidR="006C03DE">
        <w:t>, while th</w:t>
      </w:r>
      <w:r w:rsidR="00245C42" w:rsidRPr="00C723A9">
        <w:t>e</w:t>
      </w:r>
      <w:r w:rsidR="00770F14" w:rsidRPr="00C723A9">
        <w:t xml:space="preserve"> </w:t>
      </w:r>
      <w:r w:rsidR="00245C42" w:rsidRPr="00C723A9">
        <w:t xml:space="preserve">new </w:t>
      </w:r>
      <w:r w:rsidR="00245C42" w:rsidRPr="00C723A9">
        <w:rPr>
          <w:i/>
        </w:rPr>
        <w:t>Ready for Work</w:t>
      </w:r>
      <w:r w:rsidR="00245C42" w:rsidRPr="00C723A9">
        <w:t xml:space="preserve"> radio series </w:t>
      </w:r>
      <w:r w:rsidR="00E55D46" w:rsidRPr="00C723A9">
        <w:t>is</w:t>
      </w:r>
      <w:r w:rsidR="00245C42" w:rsidRPr="00C723A9">
        <w:t xml:space="preserve"> reach</w:t>
      </w:r>
      <w:r w:rsidR="00E55D46" w:rsidRPr="00C723A9">
        <w:t>ing</w:t>
      </w:r>
      <w:r w:rsidR="00245C42" w:rsidRPr="00C723A9">
        <w:t xml:space="preserve"> prospective workers</w:t>
      </w:r>
      <w:r w:rsidR="00B44CEF" w:rsidRPr="00C723A9">
        <w:t xml:space="preserve"> and </w:t>
      </w:r>
      <w:r>
        <w:t>building</w:t>
      </w:r>
      <w:r w:rsidRPr="00C723A9">
        <w:t xml:space="preserve"> </w:t>
      </w:r>
      <w:r w:rsidR="00B44CEF" w:rsidRPr="00C723A9">
        <w:t>employment skills</w:t>
      </w:r>
      <w:r w:rsidR="00245C42" w:rsidRPr="00C723A9">
        <w:t xml:space="preserve"> across Vanuatu.</w:t>
      </w:r>
      <w:r w:rsidR="005D0907" w:rsidRPr="00C723A9">
        <w:t xml:space="preserve"> </w:t>
      </w:r>
    </w:p>
    <w:p w14:paraId="30E09416" w14:textId="47C19DD6" w:rsidR="00F04694" w:rsidRPr="00C723A9" w:rsidRDefault="00F04694" w:rsidP="00F04694">
      <w:pPr>
        <w:pStyle w:val="ListParagraph"/>
        <w:numPr>
          <w:ilvl w:val="0"/>
          <w:numId w:val="41"/>
        </w:numPr>
        <w:suppressAutoHyphens w:val="0"/>
        <w:spacing w:before="0" w:after="0" w:line="254" w:lineRule="auto"/>
        <w:ind w:left="714" w:hanging="357"/>
      </w:pPr>
      <w:r w:rsidRPr="00C723A9">
        <w:t>Th</w:t>
      </w:r>
      <w:r w:rsidR="00393F0D">
        <w:t>rough th</w:t>
      </w:r>
      <w:r w:rsidRPr="00C723A9">
        <w:t xml:space="preserve">e </w:t>
      </w:r>
      <w:r w:rsidRPr="00C723A9">
        <w:rPr>
          <w:i/>
        </w:rPr>
        <w:t>Right Age, Right Class</w:t>
      </w:r>
      <w:r w:rsidRPr="00C723A9">
        <w:t xml:space="preserve"> public communication campaign, </w:t>
      </w:r>
      <w:r w:rsidR="00393F0D">
        <w:t>we</w:t>
      </w:r>
      <w:r w:rsidRPr="00C723A9">
        <w:t xml:space="preserve"> </w:t>
      </w:r>
      <w:r w:rsidR="00550726">
        <w:t>helped increase</w:t>
      </w:r>
      <w:r w:rsidRPr="00C723A9">
        <w:t xml:space="preserve"> enrolment in early childhood education</w:t>
      </w:r>
      <w:r w:rsidR="00CD09E2" w:rsidRPr="00C723A9">
        <w:t xml:space="preserve"> from 53</w:t>
      </w:r>
      <w:r w:rsidR="00245C42" w:rsidRPr="00C723A9">
        <w:t>%</w:t>
      </w:r>
      <w:r w:rsidRPr="00C723A9">
        <w:t xml:space="preserve"> to 86.6</w:t>
      </w:r>
      <w:r w:rsidR="00245C42" w:rsidRPr="00C723A9">
        <w:t>%</w:t>
      </w:r>
      <w:r w:rsidRPr="00C723A9">
        <w:t xml:space="preserve">, and in primary education </w:t>
      </w:r>
      <w:r w:rsidR="00CD09E2" w:rsidRPr="00C723A9">
        <w:t xml:space="preserve">from </w:t>
      </w:r>
      <w:r w:rsidR="00D21011" w:rsidRPr="00C723A9">
        <w:t>84.6</w:t>
      </w:r>
      <w:r w:rsidR="00245C42" w:rsidRPr="00C723A9">
        <w:t>%</w:t>
      </w:r>
      <w:r w:rsidR="00CD09E2" w:rsidRPr="00C723A9">
        <w:t xml:space="preserve"> </w:t>
      </w:r>
      <w:r w:rsidRPr="00C723A9">
        <w:t>to 96.1</w:t>
      </w:r>
      <w:r w:rsidR="00245C42" w:rsidRPr="00C723A9">
        <w:t>%</w:t>
      </w:r>
      <w:r w:rsidRPr="00C723A9">
        <w:t>.</w:t>
      </w:r>
    </w:p>
    <w:p w14:paraId="6C014600" w14:textId="25A81A66" w:rsidR="00A729E8" w:rsidRPr="00C723A9" w:rsidRDefault="006C03DE" w:rsidP="00A729E8">
      <w:pPr>
        <w:pStyle w:val="ListParagraph"/>
        <w:numPr>
          <w:ilvl w:val="0"/>
          <w:numId w:val="41"/>
        </w:numPr>
        <w:suppressAutoHyphens w:val="0"/>
        <w:spacing w:before="0" w:after="0" w:line="254" w:lineRule="auto"/>
        <w:ind w:left="714" w:hanging="357"/>
      </w:pPr>
      <w:r>
        <w:t>T</w:t>
      </w:r>
      <w:r w:rsidR="00A729E8" w:rsidRPr="00C723A9">
        <w:t>raining of 1</w:t>
      </w:r>
      <w:r w:rsidR="00441845" w:rsidRPr="00C723A9">
        <w:t>08</w:t>
      </w:r>
      <w:r w:rsidR="00FE35D8">
        <w:t xml:space="preserve"> (18 women)</w:t>
      </w:r>
      <w:r w:rsidR="00A729E8" w:rsidRPr="00C723A9">
        <w:t xml:space="preserve"> police recruits increased the total of </w:t>
      </w:r>
      <w:r w:rsidR="004A7931" w:rsidRPr="00C723A9">
        <w:t>Australian</w:t>
      </w:r>
      <w:r w:rsidR="00441845" w:rsidRPr="00C723A9">
        <w:t xml:space="preserve"> </w:t>
      </w:r>
      <w:r>
        <w:t xml:space="preserve">supported </w:t>
      </w:r>
      <w:r w:rsidR="00A729E8" w:rsidRPr="00C723A9">
        <w:t xml:space="preserve">new recruits to the Vanuatu Police Force since 2018 to </w:t>
      </w:r>
      <w:r w:rsidR="00441845" w:rsidRPr="00C723A9">
        <w:t>195</w:t>
      </w:r>
      <w:r w:rsidR="00A729E8" w:rsidRPr="00C723A9">
        <w:t xml:space="preserve"> (</w:t>
      </w:r>
      <w:r w:rsidR="00441845" w:rsidRPr="00C723A9">
        <w:t xml:space="preserve">50 </w:t>
      </w:r>
      <w:r w:rsidR="00A729E8" w:rsidRPr="00C723A9">
        <w:t xml:space="preserve">women). </w:t>
      </w:r>
      <w:r>
        <w:t>Following graduation, many d</w:t>
      </w:r>
      <w:r w:rsidR="00A729E8" w:rsidRPr="00C723A9">
        <w:t xml:space="preserve">eployed to rural areas, expanding access to </w:t>
      </w:r>
      <w:r>
        <w:t>key</w:t>
      </w:r>
      <w:r w:rsidR="00A729E8" w:rsidRPr="00C723A9">
        <w:t xml:space="preserve"> policing services. </w:t>
      </w:r>
    </w:p>
    <w:p w14:paraId="07E76883" w14:textId="0B6A9468" w:rsidR="00D16BFD" w:rsidRPr="00C723A9" w:rsidRDefault="00556B92" w:rsidP="00D16BFD">
      <w:pPr>
        <w:pStyle w:val="ListParagraph"/>
        <w:numPr>
          <w:ilvl w:val="0"/>
          <w:numId w:val="41"/>
        </w:numPr>
        <w:suppressAutoHyphens w:val="0"/>
        <w:spacing w:before="0" w:after="0" w:line="254" w:lineRule="auto"/>
        <w:ind w:left="714" w:hanging="357"/>
      </w:pPr>
      <w:r>
        <w:br w:type="column"/>
      </w:r>
      <w:r w:rsidR="00D16BFD" w:rsidRPr="00C723A9">
        <w:t xml:space="preserve">Australia supported service delivery to over 1,800 unemployed and at-risk youth through Wan </w:t>
      </w:r>
      <w:proofErr w:type="spellStart"/>
      <w:r w:rsidR="00D16BFD" w:rsidRPr="00C723A9">
        <w:t>Smolbag</w:t>
      </w:r>
      <w:proofErr w:type="spellEnd"/>
      <w:r w:rsidR="00D16BFD" w:rsidRPr="00C723A9">
        <w:t xml:space="preserve"> and over 9,000 women and children affected by violence through the Vanuatu Women’s Centre.</w:t>
      </w:r>
    </w:p>
    <w:p w14:paraId="66CDE7E1" w14:textId="7B4881AF" w:rsidR="00D16BFD" w:rsidRPr="00C723A9" w:rsidRDefault="00D16BFD" w:rsidP="00D16BFD">
      <w:pPr>
        <w:pStyle w:val="ListParagraph"/>
        <w:numPr>
          <w:ilvl w:val="0"/>
          <w:numId w:val="41"/>
        </w:numPr>
        <w:suppressAutoHyphens w:val="0"/>
        <w:spacing w:before="0" w:after="0" w:line="254" w:lineRule="auto"/>
        <w:ind w:left="714" w:hanging="357"/>
      </w:pPr>
      <w:r w:rsidRPr="00C723A9">
        <w:t>A</w:t>
      </w:r>
      <w:r w:rsidR="006B6674">
        <w:t xml:space="preserve">s </w:t>
      </w:r>
      <w:r w:rsidRPr="00C723A9">
        <w:t>a first responder to T</w:t>
      </w:r>
      <w:r w:rsidR="00393F0D">
        <w:t>C</w:t>
      </w:r>
      <w:r w:rsidRPr="00C723A9">
        <w:t xml:space="preserve"> Harold (April 2020), </w:t>
      </w:r>
      <w:r w:rsidR="006B6674">
        <w:t xml:space="preserve">Australia </w:t>
      </w:r>
      <w:r w:rsidRPr="00C723A9">
        <w:t>provid</w:t>
      </w:r>
      <w:r w:rsidR="006B6674">
        <w:t>ed</w:t>
      </w:r>
      <w:r w:rsidRPr="00C723A9">
        <w:t xml:space="preserve"> $11 million in immediate support including:</w:t>
      </w:r>
      <w:r w:rsidR="00393F0D">
        <w:t xml:space="preserve"> </w:t>
      </w:r>
      <w:r w:rsidRPr="00C723A9">
        <w:t>over 125 tonnes of humanitarian supplies and  construction</w:t>
      </w:r>
      <w:r w:rsidR="00FE35D8">
        <w:t>,</w:t>
      </w:r>
      <w:r w:rsidRPr="00C723A9">
        <w:t xml:space="preserve"> communications</w:t>
      </w:r>
      <w:r w:rsidR="00FE35D8">
        <w:t xml:space="preserve"> and medical</w:t>
      </w:r>
      <w:r w:rsidRPr="00C723A9">
        <w:t xml:space="preserve"> equipment; fund</w:t>
      </w:r>
      <w:r w:rsidR="00850896">
        <w:t xml:space="preserve">ed </w:t>
      </w:r>
      <w:r w:rsidRPr="00C723A9">
        <w:t>health, education, and social protection services; and reach</w:t>
      </w:r>
      <w:r w:rsidR="006B6674">
        <w:t>ed</w:t>
      </w:r>
      <w:r w:rsidRPr="00C723A9">
        <w:t xml:space="preserve"> over 120,000 people with food</w:t>
      </w:r>
      <w:r w:rsidR="00114807">
        <w:t>, WASH</w:t>
      </w:r>
      <w:r w:rsidRPr="00C723A9">
        <w:t xml:space="preserve"> and livelihood restoration activities. </w:t>
      </w:r>
    </w:p>
    <w:p w14:paraId="04459D1A" w14:textId="27A40F83" w:rsidR="00D16BFD" w:rsidRPr="00C723A9" w:rsidRDefault="006B6674" w:rsidP="00D16BFD">
      <w:pPr>
        <w:pStyle w:val="ListParagraph"/>
        <w:numPr>
          <w:ilvl w:val="0"/>
          <w:numId w:val="41"/>
        </w:numPr>
        <w:suppressAutoHyphens w:val="0"/>
        <w:spacing w:before="0" w:after="0" w:line="254" w:lineRule="auto"/>
        <w:ind w:left="714" w:hanging="357"/>
      </w:pPr>
      <w:r>
        <w:t>We</w:t>
      </w:r>
      <w:r w:rsidR="00D16BFD" w:rsidRPr="00C723A9">
        <w:t xml:space="preserve"> concluded </w:t>
      </w:r>
      <w:r>
        <w:t>our</w:t>
      </w:r>
      <w:r w:rsidR="00D16BFD" w:rsidRPr="00C723A9">
        <w:t xml:space="preserve"> </w:t>
      </w:r>
      <w:r w:rsidR="004A7931" w:rsidRPr="00C723A9">
        <w:t xml:space="preserve">$50 million </w:t>
      </w:r>
      <w:r w:rsidR="006C03DE">
        <w:t xml:space="preserve">(2015-19) </w:t>
      </w:r>
      <w:r w:rsidR="00393F0D">
        <w:t>TC</w:t>
      </w:r>
      <w:r w:rsidR="00D16BFD" w:rsidRPr="00C723A9">
        <w:t xml:space="preserve"> Pam Recovery </w:t>
      </w:r>
      <w:r>
        <w:t>program</w:t>
      </w:r>
      <w:r w:rsidR="00D16BFD" w:rsidRPr="00C723A9">
        <w:t xml:space="preserve"> which saw 397 health, education and other public buildings built back to withstand future hazards, and 87 water systems installed in 125 communities</w:t>
      </w:r>
      <w:r w:rsidR="00FE35D8">
        <w:t>,</w:t>
      </w:r>
      <w:r w:rsidR="00D16BFD" w:rsidRPr="00C723A9">
        <w:t xml:space="preserve"> </w:t>
      </w:r>
      <w:r w:rsidR="00644F75">
        <w:t>helping</w:t>
      </w:r>
      <w:r w:rsidR="00644F75" w:rsidRPr="00C723A9">
        <w:t xml:space="preserve"> </w:t>
      </w:r>
      <w:r w:rsidR="00D16BFD" w:rsidRPr="00C723A9">
        <w:t>over 75,000 people.</w:t>
      </w:r>
    </w:p>
    <w:p w14:paraId="472825A0" w14:textId="77777777" w:rsidR="001C3B3F" w:rsidRDefault="001C3B3F" w:rsidP="009C2EBB">
      <w:pPr>
        <w:sectPr w:rsidR="001C3B3F" w:rsidSect="00C32299">
          <w:headerReference w:type="default" r:id="rId16"/>
          <w:footerReference w:type="default" r:id="rId17"/>
          <w:headerReference w:type="first" r:id="rId18"/>
          <w:footerReference w:type="first" r:id="rId19"/>
          <w:type w:val="continuous"/>
          <w:pgSz w:w="11906" w:h="16838" w:code="9"/>
          <w:pgMar w:top="1701" w:right="1134" w:bottom="1418" w:left="1134" w:header="425" w:footer="493" w:gutter="0"/>
          <w:cols w:num="2" w:space="397"/>
          <w:titlePg/>
          <w:docGrid w:linePitch="360"/>
        </w:sectPr>
      </w:pPr>
    </w:p>
    <w:p w14:paraId="6A384290" w14:textId="77777777" w:rsidR="00B14CB2" w:rsidRDefault="00B14CB2" w:rsidP="00B14CB2">
      <w:pPr>
        <w:pStyle w:val="Heading2"/>
        <w:spacing w:before="360" w:line="300" w:lineRule="exact"/>
        <w:rPr>
          <w:sz w:val="24"/>
          <w:szCs w:val="24"/>
        </w:rPr>
      </w:pPr>
      <w:r>
        <w:lastRenderedPageBreak/>
        <w:t xml:space="preserve">Progress against 2019-20 performance INDICATORS </w:t>
      </w:r>
      <w:r>
        <w:br/>
      </w:r>
    </w:p>
    <w:tbl>
      <w:tblPr>
        <w:tblStyle w:val="TableGrid"/>
        <w:tblW w:w="10490" w:type="dxa"/>
        <w:tblInd w:w="-289" w:type="dxa"/>
        <w:tblLook w:val="04A0" w:firstRow="1" w:lastRow="0" w:firstColumn="1" w:lastColumn="0" w:noHBand="0" w:noVBand="1"/>
        <w:tblCaption w:val="Performance Assessment Framework"/>
        <w:tblDescription w:val="This program has four strategic objectives and thirteen performance benchmark, indicators that are used to measure progress."/>
      </w:tblPr>
      <w:tblGrid>
        <w:gridCol w:w="2127"/>
        <w:gridCol w:w="4394"/>
        <w:gridCol w:w="3969"/>
      </w:tblGrid>
      <w:tr w:rsidR="00B14CB2" w:rsidRPr="004957D4" w14:paraId="6A49118A" w14:textId="77777777" w:rsidTr="00BB1BA1">
        <w:trPr>
          <w:tblHeader/>
        </w:trPr>
        <w:tc>
          <w:tcPr>
            <w:tcW w:w="2127" w:type="dxa"/>
            <w:tcBorders>
              <w:top w:val="single" w:sz="4" w:space="0" w:color="auto"/>
              <w:left w:val="single" w:sz="4" w:space="0" w:color="auto"/>
              <w:bottom w:val="single" w:sz="4" w:space="0" w:color="auto"/>
              <w:right w:val="single" w:sz="4" w:space="0" w:color="auto"/>
            </w:tcBorders>
            <w:shd w:val="clear" w:color="auto" w:fill="C1E7E0" w:themeFill="accent1" w:themeFillTint="66"/>
            <w:hideMark/>
          </w:tcPr>
          <w:p w14:paraId="0B5E8D8B" w14:textId="77777777" w:rsidR="00B14CB2" w:rsidRPr="004957D4" w:rsidRDefault="00B14CB2">
            <w:pPr>
              <w:pStyle w:val="BodyText"/>
              <w:spacing w:before="40" w:after="40" w:line="240" w:lineRule="auto"/>
              <w:rPr>
                <w:rFonts w:asciiTheme="majorHAnsi" w:eastAsiaTheme="majorEastAsia" w:hAnsiTheme="majorHAnsi" w:cstheme="majorHAnsi"/>
                <w:b/>
                <w:caps/>
                <w:sz w:val="20"/>
                <w:szCs w:val="20"/>
              </w:rPr>
            </w:pPr>
            <w:r w:rsidRPr="004957D4">
              <w:rPr>
                <w:rFonts w:asciiTheme="majorHAnsi" w:eastAsiaTheme="majorEastAsia" w:hAnsiTheme="majorHAnsi" w:cstheme="majorHAnsi"/>
                <w:b/>
                <w:caps/>
                <w:sz w:val="20"/>
                <w:szCs w:val="20"/>
              </w:rPr>
              <w:t>title of strategic OBJECTIVE</w:t>
            </w:r>
          </w:p>
        </w:tc>
        <w:tc>
          <w:tcPr>
            <w:tcW w:w="4394" w:type="dxa"/>
            <w:tcBorders>
              <w:top w:val="single" w:sz="4" w:space="0" w:color="auto"/>
              <w:left w:val="single" w:sz="4" w:space="0" w:color="auto"/>
              <w:bottom w:val="single" w:sz="4" w:space="0" w:color="auto"/>
              <w:right w:val="single" w:sz="4" w:space="0" w:color="auto"/>
            </w:tcBorders>
            <w:shd w:val="clear" w:color="auto" w:fill="C1E7E0" w:themeFill="accent1" w:themeFillTint="66"/>
            <w:hideMark/>
          </w:tcPr>
          <w:p w14:paraId="4568D14E" w14:textId="77777777" w:rsidR="00B14CB2" w:rsidRPr="004957D4" w:rsidRDefault="00B14CB2">
            <w:pPr>
              <w:pStyle w:val="BodyText"/>
              <w:spacing w:before="40" w:after="40" w:line="240" w:lineRule="auto"/>
              <w:rPr>
                <w:rFonts w:asciiTheme="majorHAnsi" w:eastAsiaTheme="majorEastAsia" w:hAnsiTheme="majorHAnsi" w:cstheme="majorHAnsi"/>
                <w:b/>
                <w:caps/>
                <w:sz w:val="20"/>
                <w:szCs w:val="20"/>
              </w:rPr>
            </w:pPr>
            <w:r w:rsidRPr="004957D4">
              <w:rPr>
                <w:rFonts w:asciiTheme="majorHAnsi" w:eastAsiaTheme="majorEastAsia" w:hAnsiTheme="majorHAnsi" w:cstheme="majorHAnsi"/>
                <w:b/>
                <w:caps/>
                <w:sz w:val="20"/>
                <w:szCs w:val="20"/>
              </w:rPr>
              <w:t>Performance assessment framework indicator/benchmark</w:t>
            </w:r>
          </w:p>
        </w:tc>
        <w:tc>
          <w:tcPr>
            <w:tcW w:w="3969" w:type="dxa"/>
            <w:tcBorders>
              <w:top w:val="single" w:sz="4" w:space="0" w:color="auto"/>
              <w:left w:val="single" w:sz="4" w:space="0" w:color="auto"/>
              <w:bottom w:val="single" w:sz="4" w:space="0" w:color="auto"/>
              <w:right w:val="single" w:sz="4" w:space="0" w:color="auto"/>
            </w:tcBorders>
            <w:shd w:val="clear" w:color="auto" w:fill="C1E7E0" w:themeFill="accent1" w:themeFillTint="66"/>
            <w:hideMark/>
          </w:tcPr>
          <w:p w14:paraId="613285EF" w14:textId="77777777" w:rsidR="00B14CB2" w:rsidRPr="004957D4" w:rsidRDefault="00B14CB2">
            <w:pPr>
              <w:pStyle w:val="BodyText"/>
              <w:spacing w:before="40" w:after="40" w:line="240" w:lineRule="auto"/>
              <w:rPr>
                <w:rFonts w:asciiTheme="majorHAnsi" w:eastAsiaTheme="majorEastAsia" w:hAnsiTheme="majorHAnsi" w:cstheme="majorHAnsi"/>
                <w:b/>
                <w:caps/>
                <w:sz w:val="20"/>
                <w:szCs w:val="20"/>
              </w:rPr>
            </w:pPr>
            <w:r w:rsidRPr="004957D4">
              <w:rPr>
                <w:rFonts w:asciiTheme="majorHAnsi" w:eastAsiaTheme="majorEastAsia" w:hAnsiTheme="majorHAnsi" w:cstheme="majorHAnsi"/>
                <w:b/>
                <w:caps/>
                <w:sz w:val="20"/>
                <w:szCs w:val="20"/>
              </w:rPr>
              <w:t>Brief summary of progress against indicator/benchmark</w:t>
            </w:r>
          </w:p>
        </w:tc>
      </w:tr>
      <w:tr w:rsidR="004D7A2A" w:rsidRPr="004957D4" w14:paraId="746AE8F2" w14:textId="77777777" w:rsidTr="003E6401">
        <w:tc>
          <w:tcPr>
            <w:tcW w:w="2127" w:type="dxa"/>
            <w:tcBorders>
              <w:top w:val="single" w:sz="4" w:space="0" w:color="auto"/>
              <w:left w:val="single" w:sz="4" w:space="0" w:color="auto"/>
              <w:right w:val="single" w:sz="4" w:space="0" w:color="auto"/>
            </w:tcBorders>
          </w:tcPr>
          <w:p w14:paraId="0B8459B2" w14:textId="77777777" w:rsidR="003E6401" w:rsidRDefault="004D7A2A" w:rsidP="00236FD8">
            <w:pPr>
              <w:pStyle w:val="BodyText"/>
              <w:spacing w:before="40" w:after="40" w:line="240" w:lineRule="auto"/>
              <w:rPr>
                <w:rFonts w:eastAsiaTheme="majorEastAsia" w:cstheme="minorHAnsi"/>
                <w:b/>
                <w:sz w:val="20"/>
                <w:szCs w:val="20"/>
              </w:rPr>
            </w:pPr>
            <w:r w:rsidRPr="004957D4">
              <w:rPr>
                <w:rFonts w:eastAsiaTheme="majorEastAsia" w:cstheme="minorHAnsi"/>
                <w:b/>
                <w:sz w:val="20"/>
                <w:szCs w:val="20"/>
              </w:rPr>
              <w:t>Objective 1</w:t>
            </w:r>
            <w:r w:rsidR="003E6401">
              <w:rPr>
                <w:rFonts w:eastAsiaTheme="majorEastAsia" w:cstheme="minorHAnsi"/>
                <w:b/>
                <w:sz w:val="20"/>
                <w:szCs w:val="20"/>
              </w:rPr>
              <w:t>.</w:t>
            </w:r>
          </w:p>
          <w:p w14:paraId="1032D4AB" w14:textId="6366BE4E" w:rsidR="004D7A2A" w:rsidRPr="004957D4" w:rsidRDefault="004D7A2A" w:rsidP="00236FD8">
            <w:pPr>
              <w:pStyle w:val="BodyText"/>
              <w:spacing w:before="40" w:after="40" w:line="240" w:lineRule="auto"/>
              <w:rPr>
                <w:rFonts w:eastAsiaTheme="majorEastAsia" w:cstheme="minorHAnsi"/>
                <w:b/>
                <w:caps/>
                <w:sz w:val="20"/>
                <w:szCs w:val="20"/>
              </w:rPr>
            </w:pPr>
            <w:r w:rsidRPr="004957D4">
              <w:rPr>
                <w:rFonts w:eastAsiaTheme="majorEastAsia" w:cstheme="minorHAnsi"/>
                <w:b/>
                <w:sz w:val="20"/>
                <w:szCs w:val="20"/>
              </w:rPr>
              <w:t>Build better infrastructure and an environment for economic opportunity</w:t>
            </w:r>
            <w:r w:rsidRPr="004957D4">
              <w:rPr>
                <w:rStyle w:val="EndnoteReference"/>
                <w:rFonts w:eastAsiaTheme="majorEastAsia" w:cstheme="minorHAnsi"/>
                <w:b/>
                <w:sz w:val="20"/>
                <w:szCs w:val="20"/>
              </w:rPr>
              <w:endnoteReference w:id="1"/>
            </w:r>
          </w:p>
          <w:p w14:paraId="09156F6D" w14:textId="77777777" w:rsidR="004D7A2A" w:rsidRPr="004957D4" w:rsidRDefault="004D7A2A" w:rsidP="00236FD8">
            <w:pPr>
              <w:pStyle w:val="BodyText"/>
              <w:spacing w:before="40" w:after="40" w:line="240" w:lineRule="auto"/>
              <w:rPr>
                <w:rFonts w:eastAsiaTheme="majorEastAsia" w:cstheme="minorHAnsi"/>
                <w:sz w:val="20"/>
                <w:szCs w:val="20"/>
              </w:rPr>
            </w:pPr>
          </w:p>
          <w:p w14:paraId="16607122" w14:textId="77777777" w:rsidR="004D7A2A" w:rsidRPr="004957D4" w:rsidRDefault="004D7A2A" w:rsidP="00236FD8">
            <w:pPr>
              <w:pStyle w:val="BodyText"/>
              <w:spacing w:before="40" w:after="40" w:line="240" w:lineRule="auto"/>
              <w:rPr>
                <w:rFonts w:eastAsiaTheme="majorEastAsia" w:cstheme="minorHAnsi"/>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4E127B82" w14:textId="155E195C" w:rsidR="004D7A2A"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1.1</w:t>
            </w:r>
            <w:r>
              <w:rPr>
                <w:rFonts w:eastAsiaTheme="majorEastAsia" w:cstheme="minorHAnsi"/>
                <w:sz w:val="20"/>
                <w:szCs w:val="20"/>
              </w:rPr>
              <w:t xml:space="preserve"> </w:t>
            </w:r>
            <w:r w:rsidR="004D7A2A" w:rsidRPr="004957D4">
              <w:rPr>
                <w:rFonts w:eastAsiaTheme="majorEastAsia" w:cstheme="minorHAnsi"/>
                <w:sz w:val="20"/>
                <w:szCs w:val="20"/>
              </w:rPr>
              <w:t>Financial Action Task Force listing for Vanuatu counter-terrorism financing and anti-money laundering systems – Target White Lis</w:t>
            </w:r>
            <w:r w:rsidR="004D7A2A" w:rsidRPr="003E6401">
              <w:rPr>
                <w:rFonts w:eastAsiaTheme="majorEastAsia" w:cstheme="minorHAnsi"/>
                <w:sz w:val="20"/>
                <w:szCs w:val="20"/>
              </w:rPr>
              <w:t>t</w:t>
            </w:r>
            <w:r w:rsidR="003E6401">
              <w:rPr>
                <w:rFonts w:eastAsiaTheme="majorEastAsia" w:cstheme="minorHAnsi"/>
                <w:sz w:val="20"/>
                <w:szCs w:val="20"/>
              </w:rPr>
              <w:t xml:space="preserve">. </w:t>
            </w:r>
          </w:p>
          <w:p w14:paraId="5417363A" w14:textId="7A86A3C8" w:rsid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1.2</w:t>
            </w:r>
            <w:r>
              <w:rPr>
                <w:rFonts w:eastAsiaTheme="majorEastAsia" w:cstheme="minorHAnsi"/>
                <w:sz w:val="20"/>
                <w:szCs w:val="20"/>
              </w:rPr>
              <w:t xml:space="preserve"> </w:t>
            </w:r>
            <w:r w:rsidR="003E6401" w:rsidRPr="004957D4">
              <w:rPr>
                <w:rFonts w:eastAsiaTheme="majorEastAsia" w:cstheme="minorHAnsi"/>
                <w:sz w:val="20"/>
                <w:szCs w:val="20"/>
              </w:rPr>
              <w:t>Vanuatu Rural Access Index</w:t>
            </w:r>
            <w:r w:rsidR="003E6401" w:rsidRPr="004957D4">
              <w:rPr>
                <w:rStyle w:val="EndnoteReference"/>
                <w:rFonts w:eastAsiaTheme="majorEastAsia" w:cstheme="minorHAnsi"/>
                <w:sz w:val="20"/>
                <w:szCs w:val="20"/>
              </w:rPr>
              <w:endnoteReference w:id="2"/>
            </w:r>
            <w:r w:rsidR="003E6401" w:rsidRPr="004957D4">
              <w:rPr>
                <w:rFonts w:eastAsiaTheme="majorEastAsia" w:cstheme="minorHAnsi"/>
                <w:sz w:val="20"/>
                <w:szCs w:val="20"/>
              </w:rPr>
              <w:t xml:space="preserve"> (RAI) and Length of rural roads maintained or repaired (km) – Target 56% RAI and 680km of rural roads</w:t>
            </w:r>
            <w:r w:rsidR="003E6401">
              <w:rPr>
                <w:rFonts w:eastAsiaTheme="majorEastAsia" w:cstheme="minorHAnsi"/>
                <w:sz w:val="20"/>
                <w:szCs w:val="20"/>
              </w:rPr>
              <w:t>.</w:t>
            </w:r>
          </w:p>
          <w:p w14:paraId="45F11983" w14:textId="6411F03A" w:rsid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1.3</w:t>
            </w:r>
            <w:r>
              <w:rPr>
                <w:rFonts w:eastAsiaTheme="majorEastAsia" w:cstheme="minorHAnsi"/>
                <w:sz w:val="20"/>
                <w:szCs w:val="20"/>
              </w:rPr>
              <w:t xml:space="preserve"> </w:t>
            </w:r>
            <w:r w:rsidR="003E6401" w:rsidRPr="004957D4">
              <w:rPr>
                <w:rFonts w:eastAsiaTheme="majorEastAsia" w:cstheme="minorHAnsi"/>
                <w:sz w:val="20"/>
                <w:szCs w:val="20"/>
              </w:rPr>
              <w:t>Proportion of road procurement contracts issued for Island Based Contractors (IBC) &amp; Community Based Contractors (CBC) – Target IBC 75%, CBC – 25%</w:t>
            </w:r>
            <w:r w:rsidR="003E6401">
              <w:rPr>
                <w:rFonts w:eastAsiaTheme="majorEastAsia" w:cstheme="minorHAnsi"/>
                <w:sz w:val="20"/>
                <w:szCs w:val="20"/>
              </w:rPr>
              <w:t>.</w:t>
            </w:r>
          </w:p>
          <w:p w14:paraId="6D5A1F73" w14:textId="71077225" w:rsid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1.4</w:t>
            </w:r>
            <w:r>
              <w:rPr>
                <w:rFonts w:eastAsiaTheme="majorEastAsia" w:cstheme="minorHAnsi"/>
                <w:sz w:val="20"/>
                <w:szCs w:val="20"/>
              </w:rPr>
              <w:t xml:space="preserve"> </w:t>
            </w:r>
            <w:r w:rsidR="003E6401" w:rsidRPr="004957D4">
              <w:rPr>
                <w:rFonts w:eastAsiaTheme="majorEastAsia" w:cstheme="minorHAnsi"/>
                <w:sz w:val="20"/>
                <w:szCs w:val="20"/>
              </w:rPr>
              <w:t>Number of ni-Vanuatu women and men engaged in Seasonal Worker Programme – Target 750F | 3,500M</w:t>
            </w:r>
            <w:r w:rsidR="003E6401" w:rsidRPr="004957D4">
              <w:rPr>
                <w:rStyle w:val="EndnoteReference"/>
                <w:rFonts w:eastAsiaTheme="majorEastAsia" w:cstheme="minorHAnsi"/>
                <w:sz w:val="20"/>
                <w:szCs w:val="20"/>
              </w:rPr>
              <w:endnoteReference w:id="3"/>
            </w:r>
            <w:r w:rsidR="003E6401">
              <w:rPr>
                <w:rFonts w:eastAsiaTheme="majorEastAsia" w:cstheme="minorHAnsi"/>
                <w:sz w:val="20"/>
                <w:szCs w:val="20"/>
              </w:rPr>
              <w:t>.</w:t>
            </w:r>
          </w:p>
          <w:p w14:paraId="0CE0D23D" w14:textId="6C64B91D" w:rsidR="003E6401" w:rsidRP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1.5</w:t>
            </w:r>
            <w:r>
              <w:rPr>
                <w:rFonts w:eastAsiaTheme="majorEastAsia" w:cstheme="minorHAnsi"/>
                <w:sz w:val="20"/>
                <w:szCs w:val="20"/>
              </w:rPr>
              <w:t xml:space="preserve"> </w:t>
            </w:r>
            <w:r w:rsidR="003E6401" w:rsidRPr="004957D4">
              <w:rPr>
                <w:rFonts w:eastAsiaTheme="majorEastAsia" w:cstheme="minorHAnsi"/>
                <w:sz w:val="20"/>
                <w:szCs w:val="20"/>
              </w:rPr>
              <w:t>Proportion of Vanuatu Skills Partnership clients who increase their income following training – Target 80%F | 80%M</w:t>
            </w:r>
            <w:r w:rsidR="003E6401">
              <w:rPr>
                <w:rFonts w:eastAsiaTheme="majorEastAsia" w:cstheme="minorHAnsi"/>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14:paraId="2A208238" w14:textId="77777777" w:rsidR="004D7A2A" w:rsidRDefault="003E6401" w:rsidP="00236FD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DA1BC2" w:rsidRPr="004957D4">
              <w:rPr>
                <w:rFonts w:eastAsiaTheme="majorEastAsia" w:cstheme="minorHAnsi"/>
                <w:sz w:val="20"/>
                <w:szCs w:val="20"/>
              </w:rPr>
              <w:t>T</w:t>
            </w:r>
            <w:r w:rsidR="004D7A2A" w:rsidRPr="004957D4">
              <w:rPr>
                <w:rFonts w:eastAsiaTheme="majorEastAsia" w:cstheme="minorHAnsi"/>
                <w:sz w:val="20"/>
                <w:szCs w:val="20"/>
              </w:rPr>
              <w:t xml:space="preserve">hrough governance support, Australia helped Vanuatu maintain its ‘white list’ status by the Financial Action Task Force </w:t>
            </w:r>
            <w:r>
              <w:rPr>
                <w:rFonts w:eastAsiaTheme="majorEastAsia" w:cstheme="minorHAnsi"/>
                <w:sz w:val="20"/>
                <w:szCs w:val="20"/>
              </w:rPr>
              <w:t>.</w:t>
            </w:r>
          </w:p>
          <w:p w14:paraId="6D5DADA5"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RAI – 57% and 1,313km rural roads maintained or repaired</w:t>
            </w:r>
            <w:r w:rsidRPr="004957D4">
              <w:rPr>
                <w:rStyle w:val="EndnoteReference"/>
                <w:rFonts w:eastAsiaTheme="majorEastAsia" w:cstheme="minorHAnsi"/>
                <w:sz w:val="20"/>
                <w:szCs w:val="20"/>
              </w:rPr>
              <w:endnoteReference w:id="4"/>
            </w:r>
            <w:r>
              <w:rPr>
                <w:rFonts w:eastAsiaTheme="majorEastAsia" w:cstheme="minorHAnsi"/>
                <w:sz w:val="20"/>
                <w:szCs w:val="20"/>
              </w:rPr>
              <w:t>.</w:t>
            </w:r>
          </w:p>
          <w:p w14:paraId="1660F3D1"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Island Based Contractors</w:t>
            </w:r>
            <w:r w:rsidRPr="004957D4">
              <w:rPr>
                <w:rStyle w:val="EndnoteReference"/>
                <w:rFonts w:eastAsiaTheme="majorEastAsia" w:cstheme="minorHAnsi"/>
                <w:sz w:val="20"/>
                <w:szCs w:val="20"/>
              </w:rPr>
              <w:endnoteReference w:id="5"/>
            </w:r>
            <w:r w:rsidRPr="004957D4">
              <w:rPr>
                <w:rFonts w:eastAsiaTheme="majorEastAsia" w:cstheme="minorHAnsi"/>
                <w:sz w:val="20"/>
                <w:szCs w:val="20"/>
              </w:rPr>
              <w:t> – 84%; Community Based Contractors – 16%</w:t>
            </w:r>
            <w:r>
              <w:rPr>
                <w:rFonts w:eastAsiaTheme="majorEastAsia" w:cstheme="minorHAnsi"/>
                <w:sz w:val="20"/>
                <w:szCs w:val="20"/>
              </w:rPr>
              <w:t>.</w:t>
            </w:r>
          </w:p>
          <w:p w14:paraId="28940BFB"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911F | M: 4,039</w:t>
            </w:r>
            <w:r w:rsidRPr="004957D4">
              <w:rPr>
                <w:rStyle w:val="EndnoteReference"/>
                <w:rFonts w:eastAsiaTheme="majorEastAsia" w:cstheme="minorHAnsi"/>
                <w:sz w:val="20"/>
                <w:szCs w:val="20"/>
              </w:rPr>
              <w:endnoteReference w:id="6"/>
            </w:r>
            <w:r w:rsidRPr="004957D4">
              <w:rPr>
                <w:rFonts w:eastAsiaTheme="majorEastAsia" w:cstheme="minorHAnsi"/>
                <w:sz w:val="20"/>
                <w:szCs w:val="20"/>
              </w:rPr>
              <w:t xml:space="preserve"> engaged in Pacific labour mobility schemes in Australia</w:t>
            </w:r>
            <w:r>
              <w:rPr>
                <w:rFonts w:eastAsiaTheme="majorEastAsia" w:cstheme="minorHAnsi"/>
                <w:sz w:val="20"/>
                <w:szCs w:val="20"/>
              </w:rPr>
              <w:t>.</w:t>
            </w:r>
          </w:p>
          <w:p w14:paraId="0A22AD8F"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56% of clients reported increased incomes in July 2019 – January 2020</w:t>
            </w:r>
            <w:r w:rsidRPr="004957D4">
              <w:rPr>
                <w:rStyle w:val="EndnoteReference"/>
                <w:rFonts w:eastAsiaTheme="majorEastAsia" w:cstheme="minorHAnsi"/>
                <w:sz w:val="20"/>
                <w:szCs w:val="20"/>
              </w:rPr>
              <w:endnoteReference w:id="7"/>
            </w:r>
            <w:r w:rsidRPr="004957D4">
              <w:rPr>
                <w:rFonts w:eastAsiaTheme="majorEastAsia" w:cstheme="minorHAnsi"/>
                <w:sz w:val="20"/>
                <w:szCs w:val="20"/>
              </w:rPr>
              <w:t>, an increase from 47% in 2018-19</w:t>
            </w:r>
            <w:r>
              <w:rPr>
                <w:rFonts w:eastAsiaTheme="majorEastAsia" w:cstheme="minorHAnsi"/>
                <w:sz w:val="20"/>
                <w:szCs w:val="20"/>
              </w:rPr>
              <w:t>.</w:t>
            </w:r>
          </w:p>
          <w:p w14:paraId="27EE1A12" w14:textId="7C4CD1FB" w:rsidR="003E6401" w:rsidRPr="004957D4" w:rsidRDefault="003E6401" w:rsidP="00236FD8">
            <w:pPr>
              <w:pStyle w:val="BodyText"/>
              <w:spacing w:before="40" w:after="40" w:line="240" w:lineRule="auto"/>
              <w:rPr>
                <w:rFonts w:eastAsiaTheme="majorEastAsia" w:cstheme="minorHAnsi"/>
                <w:sz w:val="20"/>
                <w:szCs w:val="20"/>
              </w:rPr>
            </w:pPr>
          </w:p>
        </w:tc>
      </w:tr>
      <w:tr w:rsidR="00236FD8" w:rsidRPr="004957D4" w14:paraId="50176D72" w14:textId="77777777" w:rsidTr="003E6401">
        <w:tc>
          <w:tcPr>
            <w:tcW w:w="2127" w:type="dxa"/>
            <w:tcBorders>
              <w:top w:val="single" w:sz="4" w:space="0" w:color="auto"/>
              <w:left w:val="single" w:sz="4" w:space="0" w:color="auto"/>
              <w:bottom w:val="single" w:sz="4" w:space="0" w:color="auto"/>
              <w:right w:val="single" w:sz="4" w:space="0" w:color="auto"/>
            </w:tcBorders>
            <w:hideMark/>
          </w:tcPr>
          <w:p w14:paraId="6007B167" w14:textId="77777777" w:rsidR="003E6401" w:rsidRDefault="00236FD8" w:rsidP="00236FD8">
            <w:pPr>
              <w:pStyle w:val="BodyText"/>
              <w:spacing w:before="40" w:after="40" w:line="240" w:lineRule="auto"/>
              <w:rPr>
                <w:rFonts w:eastAsiaTheme="majorEastAsia" w:cstheme="minorHAnsi"/>
                <w:b/>
                <w:sz w:val="20"/>
                <w:szCs w:val="20"/>
              </w:rPr>
            </w:pPr>
            <w:r w:rsidRPr="004957D4">
              <w:rPr>
                <w:rFonts w:eastAsiaTheme="majorEastAsia" w:cstheme="minorHAnsi"/>
                <w:b/>
                <w:sz w:val="20"/>
                <w:szCs w:val="20"/>
              </w:rPr>
              <w:t>Objective 2</w:t>
            </w:r>
            <w:r w:rsidR="003E6401">
              <w:rPr>
                <w:rFonts w:eastAsiaTheme="majorEastAsia" w:cstheme="minorHAnsi"/>
                <w:b/>
                <w:sz w:val="20"/>
                <w:szCs w:val="20"/>
              </w:rPr>
              <w:t>.</w:t>
            </w:r>
          </w:p>
          <w:p w14:paraId="3667C179" w14:textId="10D03CF9" w:rsidR="00236FD8" w:rsidRPr="004957D4" w:rsidRDefault="00236FD8" w:rsidP="00236FD8">
            <w:pPr>
              <w:pStyle w:val="BodyText"/>
              <w:spacing w:before="40" w:after="40" w:line="240" w:lineRule="auto"/>
              <w:rPr>
                <w:rFonts w:eastAsiaTheme="majorEastAsia" w:cstheme="minorHAnsi"/>
                <w:b/>
                <w:caps/>
                <w:sz w:val="20"/>
                <w:szCs w:val="20"/>
              </w:rPr>
            </w:pPr>
            <w:r w:rsidRPr="004957D4">
              <w:rPr>
                <w:rFonts w:eastAsiaTheme="majorEastAsia" w:cstheme="minorHAnsi"/>
                <w:b/>
                <w:sz w:val="20"/>
                <w:szCs w:val="20"/>
              </w:rPr>
              <w:t>Improve early education and essential health services</w:t>
            </w:r>
            <w:r w:rsidRPr="004957D4">
              <w:rPr>
                <w:rStyle w:val="EndnoteReference"/>
                <w:rFonts w:eastAsiaTheme="majorEastAsia" w:cstheme="minorHAnsi"/>
                <w:b/>
                <w:sz w:val="20"/>
                <w:szCs w:val="20"/>
              </w:rPr>
              <w:endnoteReference w:id="8"/>
            </w:r>
          </w:p>
        </w:tc>
        <w:tc>
          <w:tcPr>
            <w:tcW w:w="4394" w:type="dxa"/>
            <w:tcBorders>
              <w:top w:val="single" w:sz="4" w:space="0" w:color="auto"/>
              <w:left w:val="single" w:sz="4" w:space="0" w:color="auto"/>
              <w:bottom w:val="single" w:sz="4" w:space="0" w:color="auto"/>
              <w:right w:val="single" w:sz="4" w:space="0" w:color="auto"/>
            </w:tcBorders>
            <w:hideMark/>
          </w:tcPr>
          <w:p w14:paraId="4576150D" w14:textId="10E8C4F7" w:rsidR="00236FD8" w:rsidRDefault="003E6401" w:rsidP="003E6401">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2.1</w:t>
            </w:r>
            <w:r>
              <w:rPr>
                <w:rFonts w:eastAsiaTheme="majorEastAsia" w:cstheme="minorHAnsi"/>
                <w:sz w:val="20"/>
                <w:szCs w:val="20"/>
              </w:rPr>
              <w:t xml:space="preserve"> </w:t>
            </w:r>
            <w:r w:rsidR="00236FD8" w:rsidRPr="004957D4">
              <w:rPr>
                <w:rFonts w:eastAsiaTheme="majorEastAsia" w:cstheme="minorHAnsi"/>
                <w:sz w:val="20"/>
                <w:szCs w:val="20"/>
              </w:rPr>
              <w:t>Proportion of Year 4 students (girls/boys) meeting national literacy &amp; numeracy standards</w:t>
            </w:r>
            <w:r w:rsidR="00236FD8" w:rsidRPr="004957D4">
              <w:rPr>
                <w:rStyle w:val="EndnoteReference"/>
                <w:rFonts w:eastAsiaTheme="majorEastAsia" w:cstheme="minorHAnsi"/>
                <w:sz w:val="20"/>
                <w:szCs w:val="20"/>
              </w:rPr>
              <w:endnoteReference w:id="9"/>
            </w:r>
            <w:r w:rsidR="00236FD8" w:rsidRPr="004957D4">
              <w:rPr>
                <w:rFonts w:eastAsiaTheme="majorEastAsia" w:cstheme="minorHAnsi"/>
                <w:sz w:val="20"/>
                <w:szCs w:val="20"/>
              </w:rPr>
              <w:t xml:space="preserve"> (%) – Target TBC</w:t>
            </w:r>
            <w:r>
              <w:rPr>
                <w:rFonts w:eastAsiaTheme="majorEastAsia" w:cstheme="minorHAnsi"/>
                <w:sz w:val="20"/>
                <w:szCs w:val="20"/>
              </w:rPr>
              <w:t>.</w:t>
            </w:r>
          </w:p>
          <w:p w14:paraId="1054A336" w14:textId="5F77DDC9" w:rsidR="003E6401" w:rsidRDefault="003E6401" w:rsidP="003E6401">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2.2</w:t>
            </w:r>
            <w:r>
              <w:rPr>
                <w:rFonts w:eastAsiaTheme="majorEastAsia" w:cstheme="minorHAnsi"/>
                <w:sz w:val="20"/>
                <w:szCs w:val="20"/>
              </w:rPr>
              <w:t xml:space="preserve"> </w:t>
            </w:r>
            <w:r w:rsidRPr="004957D4">
              <w:rPr>
                <w:rFonts w:eastAsiaTheme="majorEastAsia" w:cstheme="minorHAnsi"/>
                <w:sz w:val="20"/>
                <w:szCs w:val="20"/>
              </w:rPr>
              <w:t>Proportion of schools complying with the school grant acquittal process (%)</w:t>
            </w:r>
            <w:r w:rsidRPr="004957D4">
              <w:rPr>
                <w:rStyle w:val="EndnoteReference"/>
                <w:rFonts w:eastAsiaTheme="majorEastAsia" w:cstheme="minorHAnsi"/>
                <w:sz w:val="20"/>
                <w:szCs w:val="20"/>
              </w:rPr>
              <w:endnoteReference w:id="10"/>
            </w:r>
            <w:r>
              <w:rPr>
                <w:rFonts w:eastAsiaTheme="majorEastAsia" w:cstheme="minorHAnsi"/>
                <w:sz w:val="20"/>
                <w:szCs w:val="20"/>
              </w:rPr>
              <w:t>.</w:t>
            </w:r>
          </w:p>
          <w:p w14:paraId="3E7E438A" w14:textId="0751685A" w:rsidR="003E6401" w:rsidRPr="003E6401" w:rsidRDefault="003E6401" w:rsidP="003E6401">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2.3</w:t>
            </w:r>
            <w:r>
              <w:rPr>
                <w:rFonts w:eastAsiaTheme="majorEastAsia" w:cstheme="minorHAnsi"/>
                <w:sz w:val="20"/>
                <w:szCs w:val="20"/>
              </w:rPr>
              <w:t xml:space="preserve"> </w:t>
            </w:r>
            <w:r w:rsidRPr="003E6401">
              <w:rPr>
                <w:rFonts w:eastAsiaTheme="majorEastAsia" w:cstheme="minorHAnsi"/>
                <w:sz w:val="20"/>
                <w:szCs w:val="20"/>
              </w:rPr>
              <w:t># of women and men trained with Australian support and working in front-line positions where they deliver public education and health services – Target 800F | 550M.</w:t>
            </w:r>
          </w:p>
          <w:p w14:paraId="5E12623F" w14:textId="77777777" w:rsidR="00236FD8" w:rsidRPr="004957D4" w:rsidRDefault="00236FD8" w:rsidP="00236FD8">
            <w:pPr>
              <w:pStyle w:val="BodyText"/>
              <w:spacing w:before="40" w:after="40" w:line="240" w:lineRule="auto"/>
              <w:rPr>
                <w:rFonts w:eastAsiaTheme="majorEastAsia" w:cstheme="minorHAnsi"/>
                <w:sz w:val="20"/>
                <w:szCs w:val="20"/>
              </w:rPr>
            </w:pPr>
          </w:p>
        </w:tc>
        <w:tc>
          <w:tcPr>
            <w:tcW w:w="3969" w:type="dxa"/>
            <w:tcBorders>
              <w:top w:val="single" w:sz="4" w:space="0" w:color="auto"/>
              <w:left w:val="single" w:sz="4" w:space="0" w:color="auto"/>
              <w:bottom w:val="single" w:sz="4" w:space="0" w:color="auto"/>
              <w:right w:val="single" w:sz="4" w:space="0" w:color="auto"/>
            </w:tcBorders>
            <w:hideMark/>
          </w:tcPr>
          <w:p w14:paraId="70B35CF4" w14:textId="77777777" w:rsidR="00236FD8" w:rsidRDefault="003E6401" w:rsidP="00DA1BC2">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DA1BC2" w:rsidRPr="004957D4">
              <w:rPr>
                <w:rFonts w:eastAsiaTheme="majorEastAsia" w:cstheme="minorHAnsi"/>
                <w:sz w:val="20"/>
                <w:szCs w:val="20"/>
              </w:rPr>
              <w:t>A</w:t>
            </w:r>
            <w:r w:rsidR="00236FD8" w:rsidRPr="004957D4">
              <w:rPr>
                <w:rFonts w:eastAsiaTheme="majorEastAsia" w:cstheme="minorHAnsi"/>
                <w:sz w:val="20"/>
                <w:szCs w:val="20"/>
              </w:rPr>
              <w:t>gainst 2017 baseline – Year 4 English Literacy – 57%</w:t>
            </w:r>
            <w:r w:rsidR="00236FD8" w:rsidRPr="004957D4">
              <w:rPr>
                <w:rStyle w:val="EndnoteReference"/>
                <w:rFonts w:eastAsiaTheme="majorEastAsia" w:cstheme="minorHAnsi"/>
                <w:sz w:val="20"/>
                <w:szCs w:val="20"/>
              </w:rPr>
              <w:endnoteReference w:id="11"/>
            </w:r>
            <w:r w:rsidR="00236FD8" w:rsidRPr="004957D4">
              <w:rPr>
                <w:rFonts w:eastAsiaTheme="majorEastAsia" w:cstheme="minorHAnsi"/>
                <w:sz w:val="20"/>
                <w:szCs w:val="20"/>
              </w:rPr>
              <w:t>; Year 4 French Literacy – 55%; Year 4 Numeracy – 85%</w:t>
            </w:r>
            <w:r>
              <w:rPr>
                <w:rFonts w:eastAsiaTheme="majorEastAsia" w:cstheme="minorHAnsi"/>
                <w:sz w:val="20"/>
                <w:szCs w:val="20"/>
              </w:rPr>
              <w:t>.</w:t>
            </w:r>
          </w:p>
          <w:p w14:paraId="75CD31B6" w14:textId="77777777" w:rsidR="003E6401" w:rsidRDefault="003E6401" w:rsidP="003E6401">
            <w:pPr>
              <w:pStyle w:val="BodyText"/>
              <w:spacing w:before="40" w:after="40" w:line="240" w:lineRule="auto"/>
              <w:rPr>
                <w:rFonts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Data not yet available</w:t>
            </w:r>
            <w:r>
              <w:rPr>
                <w:rFonts w:eastAsiaTheme="majorEastAsia" w:cstheme="minorHAnsi"/>
                <w:sz w:val="20"/>
                <w:szCs w:val="20"/>
              </w:rPr>
              <w:t xml:space="preserve"> due to CVID-19 restrictions and TC Harold</w:t>
            </w:r>
            <w:r w:rsidRPr="004957D4">
              <w:rPr>
                <w:rStyle w:val="FootnoteReference"/>
                <w:rFonts w:eastAsiaTheme="majorEastAsia" w:cstheme="minorHAnsi"/>
                <w:sz w:val="20"/>
                <w:szCs w:val="20"/>
              </w:rPr>
              <w:footnoteReference w:id="1"/>
            </w:r>
            <w:r w:rsidRPr="004957D4">
              <w:rPr>
                <w:rStyle w:val="FootnoteReference"/>
                <w:rFonts w:cstheme="minorHAnsi"/>
                <w:sz w:val="20"/>
                <w:szCs w:val="20"/>
              </w:rPr>
              <w:t xml:space="preserve"> </w:t>
            </w:r>
            <w:r>
              <w:rPr>
                <w:rFonts w:cstheme="minorHAnsi"/>
                <w:sz w:val="20"/>
                <w:szCs w:val="20"/>
              </w:rPr>
              <w:t>.</w:t>
            </w:r>
          </w:p>
          <w:p w14:paraId="677120F9"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Education – 140</w:t>
            </w:r>
            <w:r w:rsidRPr="004957D4">
              <w:rPr>
                <w:rStyle w:val="EndnoteReference"/>
                <w:rFonts w:eastAsiaTheme="majorEastAsia" w:cstheme="minorHAnsi"/>
                <w:sz w:val="20"/>
                <w:szCs w:val="20"/>
              </w:rPr>
              <w:endnoteReference w:id="12"/>
            </w:r>
            <w:r w:rsidRPr="004957D4">
              <w:rPr>
                <w:rFonts w:eastAsiaTheme="majorEastAsia" w:cstheme="minorHAnsi"/>
                <w:sz w:val="20"/>
                <w:szCs w:val="20"/>
              </w:rPr>
              <w:t xml:space="preserve"> (47F); Health – 328</w:t>
            </w:r>
            <w:r w:rsidRPr="004957D4">
              <w:rPr>
                <w:rStyle w:val="EndnoteReference"/>
                <w:rFonts w:eastAsiaTheme="majorEastAsia" w:cstheme="minorHAnsi"/>
                <w:sz w:val="20"/>
                <w:szCs w:val="20"/>
              </w:rPr>
              <w:endnoteReference w:id="13"/>
            </w:r>
            <w:r w:rsidRPr="004957D4">
              <w:rPr>
                <w:rFonts w:eastAsiaTheme="majorEastAsia" w:cstheme="minorHAnsi"/>
                <w:sz w:val="20"/>
                <w:szCs w:val="20"/>
              </w:rPr>
              <w:t xml:space="preserve"> (134F</w:t>
            </w:r>
            <w:r w:rsidRPr="004957D4">
              <w:rPr>
                <w:rStyle w:val="EndnoteReference"/>
                <w:rFonts w:eastAsiaTheme="majorEastAsia" w:cstheme="minorHAnsi"/>
                <w:sz w:val="20"/>
                <w:szCs w:val="20"/>
              </w:rPr>
              <w:endnoteReference w:id="14"/>
            </w:r>
            <w:r w:rsidRPr="004957D4">
              <w:rPr>
                <w:rFonts w:eastAsiaTheme="majorEastAsia" w:cstheme="minorHAnsi"/>
                <w:sz w:val="20"/>
                <w:szCs w:val="20"/>
              </w:rPr>
              <w:t>)</w:t>
            </w:r>
            <w:r>
              <w:rPr>
                <w:rFonts w:eastAsiaTheme="majorEastAsia" w:cstheme="minorHAnsi"/>
                <w:sz w:val="20"/>
                <w:szCs w:val="20"/>
              </w:rPr>
              <w:t>.</w:t>
            </w:r>
          </w:p>
          <w:p w14:paraId="024FF284" w14:textId="77DCE7BE" w:rsidR="003E6401" w:rsidRPr="004957D4" w:rsidRDefault="003E6401" w:rsidP="00DA1BC2">
            <w:pPr>
              <w:pStyle w:val="BodyText"/>
              <w:spacing w:before="40" w:after="40" w:line="240" w:lineRule="auto"/>
              <w:rPr>
                <w:rFonts w:eastAsiaTheme="majorEastAsia" w:cstheme="minorHAnsi"/>
                <w:sz w:val="20"/>
                <w:szCs w:val="20"/>
              </w:rPr>
            </w:pPr>
          </w:p>
        </w:tc>
      </w:tr>
      <w:tr w:rsidR="00236FD8" w:rsidRPr="004957D4" w14:paraId="0A5DBACE" w14:textId="77777777" w:rsidTr="003E6401">
        <w:tc>
          <w:tcPr>
            <w:tcW w:w="2127" w:type="dxa"/>
            <w:tcBorders>
              <w:top w:val="single" w:sz="4" w:space="0" w:color="auto"/>
              <w:left w:val="single" w:sz="4" w:space="0" w:color="auto"/>
              <w:bottom w:val="single" w:sz="4" w:space="0" w:color="auto"/>
              <w:right w:val="single" w:sz="4" w:space="0" w:color="auto"/>
            </w:tcBorders>
            <w:hideMark/>
          </w:tcPr>
          <w:p w14:paraId="512160ED" w14:textId="77777777" w:rsidR="003E6401" w:rsidRDefault="00236FD8" w:rsidP="00236FD8">
            <w:pPr>
              <w:pStyle w:val="BodyText"/>
              <w:spacing w:before="40" w:after="40" w:line="240" w:lineRule="auto"/>
              <w:rPr>
                <w:rFonts w:eastAsiaTheme="majorEastAsia" w:cstheme="minorHAnsi"/>
                <w:b/>
                <w:sz w:val="20"/>
                <w:szCs w:val="20"/>
              </w:rPr>
            </w:pPr>
            <w:r w:rsidRPr="004957D4">
              <w:rPr>
                <w:rFonts w:eastAsiaTheme="majorEastAsia" w:cstheme="minorHAnsi"/>
                <w:b/>
                <w:sz w:val="20"/>
                <w:szCs w:val="20"/>
              </w:rPr>
              <w:t>Objective 3</w:t>
            </w:r>
            <w:r w:rsidR="003E6401">
              <w:rPr>
                <w:rFonts w:eastAsiaTheme="majorEastAsia" w:cstheme="minorHAnsi"/>
                <w:b/>
                <w:sz w:val="20"/>
                <w:szCs w:val="20"/>
              </w:rPr>
              <w:t>.</w:t>
            </w:r>
          </w:p>
          <w:p w14:paraId="1AA901A7" w14:textId="1AAB2F35" w:rsidR="00236FD8" w:rsidRPr="004957D4" w:rsidRDefault="00236FD8" w:rsidP="00236FD8">
            <w:pPr>
              <w:pStyle w:val="BodyText"/>
              <w:spacing w:before="40" w:after="40" w:line="240" w:lineRule="auto"/>
              <w:rPr>
                <w:rFonts w:eastAsiaTheme="majorEastAsia" w:cstheme="minorHAnsi"/>
                <w:b/>
                <w:caps/>
                <w:sz w:val="20"/>
                <w:szCs w:val="20"/>
              </w:rPr>
            </w:pPr>
            <w:r w:rsidRPr="004957D4">
              <w:rPr>
                <w:rFonts w:eastAsiaTheme="majorEastAsia" w:cstheme="minorHAnsi"/>
                <w:b/>
                <w:sz w:val="20"/>
                <w:szCs w:val="20"/>
              </w:rPr>
              <w:t>Improve community safety and resilience</w:t>
            </w:r>
          </w:p>
        </w:tc>
        <w:tc>
          <w:tcPr>
            <w:tcW w:w="4394" w:type="dxa"/>
            <w:tcBorders>
              <w:top w:val="single" w:sz="4" w:space="0" w:color="auto"/>
              <w:left w:val="single" w:sz="4" w:space="0" w:color="auto"/>
              <w:bottom w:val="single" w:sz="4" w:space="0" w:color="auto"/>
              <w:right w:val="single" w:sz="4" w:space="0" w:color="auto"/>
            </w:tcBorders>
            <w:hideMark/>
          </w:tcPr>
          <w:p w14:paraId="7C44E797" w14:textId="02DC11BA" w:rsidR="00236FD8"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3.1</w:t>
            </w:r>
            <w:r>
              <w:rPr>
                <w:rFonts w:eastAsiaTheme="majorEastAsia" w:cstheme="minorHAnsi"/>
                <w:sz w:val="20"/>
                <w:szCs w:val="20"/>
              </w:rPr>
              <w:t xml:space="preserve"> </w:t>
            </w:r>
            <w:r w:rsidR="00236FD8" w:rsidRPr="004957D4">
              <w:rPr>
                <w:rFonts w:eastAsiaTheme="majorEastAsia" w:cstheme="minorHAnsi"/>
                <w:sz w:val="20"/>
                <w:szCs w:val="20"/>
              </w:rPr>
              <w:t>Average number of days for completion of a criminal matter through the State Prosecutions</w:t>
            </w:r>
            <w:r>
              <w:rPr>
                <w:rFonts w:eastAsiaTheme="majorEastAsia" w:cstheme="minorHAnsi"/>
                <w:sz w:val="20"/>
                <w:szCs w:val="20"/>
              </w:rPr>
              <w:t xml:space="preserve"> </w:t>
            </w:r>
            <w:r w:rsidR="00236FD8" w:rsidRPr="004957D4">
              <w:rPr>
                <w:rFonts w:eastAsiaTheme="majorEastAsia" w:cstheme="minorHAnsi"/>
                <w:sz w:val="20"/>
                <w:szCs w:val="20"/>
              </w:rPr>
              <w:t>/Magistrates Court – Target 250 days</w:t>
            </w:r>
            <w:r w:rsidR="003E6401">
              <w:rPr>
                <w:rFonts w:eastAsiaTheme="majorEastAsia" w:cstheme="minorHAnsi"/>
                <w:sz w:val="20"/>
                <w:szCs w:val="20"/>
              </w:rPr>
              <w:t>.</w:t>
            </w:r>
          </w:p>
          <w:p w14:paraId="4B6B0655" w14:textId="0467EEBF" w:rsid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3.2</w:t>
            </w:r>
            <w:r>
              <w:rPr>
                <w:rFonts w:eastAsiaTheme="majorEastAsia" w:cstheme="minorHAnsi"/>
                <w:sz w:val="20"/>
                <w:szCs w:val="20"/>
              </w:rPr>
              <w:t xml:space="preserve"> </w:t>
            </w:r>
            <w:r w:rsidR="003E6401" w:rsidRPr="004957D4">
              <w:rPr>
                <w:rFonts w:eastAsiaTheme="majorEastAsia" w:cstheme="minorHAnsi"/>
                <w:sz w:val="20"/>
                <w:szCs w:val="20"/>
              </w:rPr>
              <w:t>Number of women and children survivors of violence provided counselling support, legal services and/or police services – Target 7,750</w:t>
            </w:r>
            <w:r w:rsidR="003E6401">
              <w:rPr>
                <w:rFonts w:eastAsiaTheme="majorEastAsia" w:cstheme="minorHAnsi"/>
                <w:sz w:val="20"/>
                <w:szCs w:val="20"/>
              </w:rPr>
              <w:t>.</w:t>
            </w:r>
          </w:p>
          <w:p w14:paraId="4EFDA6D2" w14:textId="097A4AC6" w:rsidR="003E6401"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3.3</w:t>
            </w:r>
            <w:r>
              <w:rPr>
                <w:rFonts w:eastAsiaTheme="majorEastAsia" w:cstheme="minorHAnsi"/>
                <w:sz w:val="20"/>
                <w:szCs w:val="20"/>
              </w:rPr>
              <w:t xml:space="preserve"> </w:t>
            </w:r>
            <w:r w:rsidR="003E6401" w:rsidRPr="003E6401">
              <w:rPr>
                <w:rFonts w:eastAsiaTheme="majorEastAsia" w:cstheme="minorHAnsi"/>
                <w:sz w:val="20"/>
                <w:szCs w:val="20"/>
              </w:rPr>
              <w:t>Proportion of population with access to technologies that convey early warnings of natural disasters</w:t>
            </w:r>
            <w:r w:rsidR="003E6401" w:rsidRPr="004957D4">
              <w:rPr>
                <w:rStyle w:val="EndnoteReference"/>
                <w:rFonts w:eastAsiaTheme="majorEastAsia" w:cstheme="minorHAnsi"/>
                <w:sz w:val="20"/>
                <w:szCs w:val="20"/>
              </w:rPr>
              <w:endnoteReference w:id="15"/>
            </w:r>
            <w:r w:rsidR="003E6401" w:rsidRPr="003E6401">
              <w:rPr>
                <w:rFonts w:eastAsiaTheme="majorEastAsia" w:cstheme="minorHAnsi"/>
                <w:sz w:val="20"/>
                <w:szCs w:val="20"/>
              </w:rPr>
              <w:t xml:space="preserve"> – Target 85%.</w:t>
            </w:r>
          </w:p>
          <w:p w14:paraId="60B1168B" w14:textId="243DD713" w:rsidR="003E6401" w:rsidRPr="004957D4" w:rsidRDefault="00F73639" w:rsidP="00F73639">
            <w:pPr>
              <w:pStyle w:val="BodyText"/>
              <w:spacing w:before="40" w:after="40" w:line="240" w:lineRule="auto"/>
              <w:rPr>
                <w:rFonts w:eastAsiaTheme="majorEastAsia" w:cstheme="minorHAnsi"/>
                <w:sz w:val="20"/>
                <w:szCs w:val="20"/>
              </w:rPr>
            </w:pPr>
            <w:r w:rsidRPr="00F73639">
              <w:rPr>
                <w:rFonts w:asciiTheme="majorHAnsi" w:eastAsiaTheme="majorEastAsia" w:hAnsiTheme="majorHAnsi" w:cstheme="majorHAnsi"/>
                <w:sz w:val="20"/>
                <w:szCs w:val="20"/>
              </w:rPr>
              <w:t>3.4</w:t>
            </w:r>
            <w:r>
              <w:rPr>
                <w:rFonts w:eastAsiaTheme="majorEastAsia" w:cstheme="minorHAnsi"/>
                <w:sz w:val="20"/>
                <w:szCs w:val="20"/>
              </w:rPr>
              <w:t xml:space="preserve"> </w:t>
            </w:r>
            <w:r w:rsidR="003E6401" w:rsidRPr="004957D4">
              <w:rPr>
                <w:rFonts w:eastAsiaTheme="majorEastAsia" w:cstheme="minorHAnsi"/>
                <w:sz w:val="20"/>
                <w:szCs w:val="20"/>
              </w:rPr>
              <w:t>Number of women and men trained with Australian support and working in front-line positions where they deliver law and justice services – Target not set</w:t>
            </w:r>
            <w:r w:rsidR="003E6401" w:rsidRPr="004957D4">
              <w:rPr>
                <w:rStyle w:val="EndnoteReference"/>
                <w:rFonts w:eastAsiaTheme="majorEastAsia" w:cstheme="minorHAnsi"/>
                <w:sz w:val="20"/>
                <w:szCs w:val="20"/>
              </w:rPr>
              <w:endnoteReference w:id="16"/>
            </w:r>
            <w:r w:rsidR="003E6401" w:rsidRPr="004957D4">
              <w:rPr>
                <w:rFonts w:eastAsiaTheme="majorEastAsia" w:cstheme="minorHAnsi"/>
                <w:sz w:val="20"/>
                <w:szCs w:val="20"/>
              </w:rPr>
              <w:t xml:space="preserve"> </w:t>
            </w:r>
            <w:r w:rsidR="003E6401">
              <w:rPr>
                <w:rFonts w:eastAsiaTheme="majorEastAsia" w:cstheme="minorHAnsi"/>
                <w:sz w:val="20"/>
                <w:szCs w:val="20"/>
              </w:rPr>
              <w:t>.</w:t>
            </w:r>
          </w:p>
        </w:tc>
        <w:tc>
          <w:tcPr>
            <w:tcW w:w="3969" w:type="dxa"/>
            <w:tcBorders>
              <w:top w:val="single" w:sz="4" w:space="0" w:color="auto"/>
              <w:left w:val="single" w:sz="4" w:space="0" w:color="auto"/>
              <w:bottom w:val="single" w:sz="4" w:space="0" w:color="auto"/>
              <w:right w:val="single" w:sz="4" w:space="0" w:color="auto"/>
            </w:tcBorders>
            <w:hideMark/>
          </w:tcPr>
          <w:p w14:paraId="2F2658DB" w14:textId="21C8F74A" w:rsidR="00236FD8" w:rsidRDefault="003E6401" w:rsidP="00236FD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236FD8" w:rsidRPr="004957D4">
              <w:rPr>
                <w:rFonts w:eastAsiaTheme="majorEastAsia" w:cstheme="minorHAnsi"/>
                <w:sz w:val="20"/>
                <w:szCs w:val="20"/>
              </w:rPr>
              <w:t>233 days</w:t>
            </w:r>
            <w:r w:rsidR="00236FD8" w:rsidRPr="004957D4">
              <w:rPr>
                <w:rStyle w:val="EndnoteReference"/>
                <w:rFonts w:eastAsiaTheme="majorEastAsia" w:cstheme="minorHAnsi"/>
                <w:sz w:val="20"/>
                <w:szCs w:val="20"/>
              </w:rPr>
              <w:endnoteReference w:id="17"/>
            </w:r>
            <w:r>
              <w:rPr>
                <w:rFonts w:eastAsiaTheme="majorEastAsia" w:cstheme="minorHAnsi"/>
                <w:sz w:val="20"/>
                <w:szCs w:val="20"/>
              </w:rPr>
              <w:t>.</w:t>
            </w:r>
          </w:p>
          <w:p w14:paraId="2E9CAFF0"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9,056 women and children survivors of violence accessed counselling, information or legal services from</w:t>
            </w:r>
            <w:r>
              <w:rPr>
                <w:rFonts w:eastAsiaTheme="majorEastAsia" w:cstheme="minorHAnsi"/>
                <w:sz w:val="20"/>
                <w:szCs w:val="20"/>
              </w:rPr>
              <w:t xml:space="preserve"> Vanuatu Women’s Centre.</w:t>
            </w:r>
          </w:p>
          <w:p w14:paraId="19186022"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92% mobile cellular coverage and penetration rate</w:t>
            </w:r>
            <w:r w:rsidRPr="004957D4">
              <w:rPr>
                <w:rStyle w:val="EndnoteReference"/>
                <w:rFonts w:eastAsiaTheme="majorEastAsia" w:cstheme="minorHAnsi"/>
                <w:sz w:val="20"/>
                <w:szCs w:val="20"/>
              </w:rPr>
              <w:endnoteReference w:id="18"/>
            </w:r>
            <w:r>
              <w:rPr>
                <w:rFonts w:eastAsiaTheme="majorEastAsia" w:cstheme="minorHAnsi"/>
                <w:sz w:val="20"/>
                <w:szCs w:val="20"/>
              </w:rPr>
              <w:t>.</w:t>
            </w:r>
          </w:p>
          <w:p w14:paraId="440224EA" w14:textId="77777777" w:rsidR="003E6401" w:rsidRDefault="003E6401" w:rsidP="003E6401">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259F | 425M delivering law and justice services</w:t>
            </w:r>
            <w:r w:rsidRPr="004957D4">
              <w:rPr>
                <w:rStyle w:val="EndnoteReference"/>
                <w:rFonts w:eastAsiaTheme="majorEastAsia" w:cstheme="minorHAnsi"/>
                <w:sz w:val="20"/>
                <w:szCs w:val="20"/>
              </w:rPr>
              <w:endnoteReference w:id="19"/>
            </w:r>
            <w:r>
              <w:rPr>
                <w:rFonts w:eastAsiaTheme="majorEastAsia" w:cstheme="minorHAnsi"/>
                <w:sz w:val="20"/>
                <w:szCs w:val="20"/>
              </w:rPr>
              <w:t>.</w:t>
            </w:r>
          </w:p>
          <w:p w14:paraId="04BAB927" w14:textId="2F496EA4" w:rsidR="003E6401" w:rsidRPr="004957D4" w:rsidRDefault="003E6401" w:rsidP="00236FD8">
            <w:pPr>
              <w:pStyle w:val="BodyText"/>
              <w:spacing w:before="40" w:after="40" w:line="240" w:lineRule="auto"/>
              <w:rPr>
                <w:rFonts w:eastAsiaTheme="majorEastAsia" w:cstheme="minorHAnsi"/>
                <w:sz w:val="20"/>
                <w:szCs w:val="20"/>
              </w:rPr>
            </w:pPr>
          </w:p>
        </w:tc>
      </w:tr>
      <w:tr w:rsidR="00D800E9" w:rsidRPr="004957D4" w14:paraId="7751343C" w14:textId="77777777" w:rsidTr="00596690">
        <w:tc>
          <w:tcPr>
            <w:tcW w:w="2127" w:type="dxa"/>
            <w:tcBorders>
              <w:top w:val="single" w:sz="4" w:space="0" w:color="auto"/>
              <w:left w:val="single" w:sz="4" w:space="0" w:color="auto"/>
              <w:right w:val="single" w:sz="4" w:space="0" w:color="auto"/>
            </w:tcBorders>
            <w:hideMark/>
          </w:tcPr>
          <w:p w14:paraId="44E5FA89" w14:textId="77777777" w:rsidR="00D800E9" w:rsidRDefault="00D800E9" w:rsidP="00236FD8">
            <w:pPr>
              <w:pStyle w:val="BodyText"/>
              <w:spacing w:before="40" w:after="40" w:line="240" w:lineRule="auto"/>
              <w:rPr>
                <w:rFonts w:eastAsiaTheme="majorEastAsia" w:cstheme="minorHAnsi"/>
                <w:b/>
                <w:sz w:val="20"/>
                <w:szCs w:val="20"/>
              </w:rPr>
            </w:pPr>
            <w:r w:rsidRPr="004957D4">
              <w:rPr>
                <w:rFonts w:eastAsiaTheme="majorEastAsia" w:cstheme="minorHAnsi"/>
                <w:b/>
                <w:sz w:val="20"/>
                <w:szCs w:val="20"/>
              </w:rPr>
              <w:t>Objective 4</w:t>
            </w:r>
            <w:r>
              <w:rPr>
                <w:rFonts w:eastAsiaTheme="majorEastAsia" w:cstheme="minorHAnsi"/>
                <w:b/>
                <w:sz w:val="20"/>
                <w:szCs w:val="20"/>
              </w:rPr>
              <w:t>.</w:t>
            </w:r>
          </w:p>
          <w:p w14:paraId="66881A25" w14:textId="631C7852" w:rsidR="00D800E9" w:rsidRPr="004957D4" w:rsidRDefault="00D800E9" w:rsidP="00236FD8">
            <w:pPr>
              <w:pStyle w:val="BodyText"/>
              <w:spacing w:before="40" w:after="40" w:line="240" w:lineRule="auto"/>
              <w:rPr>
                <w:rFonts w:eastAsiaTheme="majorEastAsia" w:cstheme="minorHAnsi"/>
                <w:b/>
                <w:caps/>
                <w:sz w:val="20"/>
                <w:szCs w:val="20"/>
              </w:rPr>
            </w:pPr>
            <w:r w:rsidRPr="004957D4">
              <w:rPr>
                <w:rFonts w:eastAsiaTheme="majorEastAsia" w:cstheme="minorHAnsi"/>
                <w:b/>
                <w:sz w:val="20"/>
                <w:szCs w:val="20"/>
              </w:rPr>
              <w:t>Support cyclone recovery and reconstruction</w:t>
            </w:r>
          </w:p>
        </w:tc>
        <w:tc>
          <w:tcPr>
            <w:tcW w:w="4394" w:type="dxa"/>
            <w:tcBorders>
              <w:top w:val="single" w:sz="4" w:space="0" w:color="auto"/>
              <w:left w:val="single" w:sz="4" w:space="0" w:color="auto"/>
              <w:bottom w:val="single" w:sz="4" w:space="0" w:color="auto"/>
              <w:right w:val="single" w:sz="4" w:space="0" w:color="auto"/>
            </w:tcBorders>
            <w:hideMark/>
          </w:tcPr>
          <w:p w14:paraId="0E5FDE41" w14:textId="481F7A73" w:rsidR="00D800E9" w:rsidRPr="004957D4" w:rsidRDefault="00D800E9" w:rsidP="00236FD8">
            <w:pPr>
              <w:pStyle w:val="BodyText"/>
              <w:spacing w:before="40" w:after="40" w:line="240" w:lineRule="auto"/>
              <w:rPr>
                <w:rFonts w:eastAsiaTheme="majorEastAsia" w:cstheme="minorHAnsi"/>
                <w:caps/>
                <w:sz w:val="20"/>
                <w:szCs w:val="20"/>
              </w:rPr>
            </w:pPr>
            <w:r w:rsidRPr="00F73639">
              <w:rPr>
                <w:rFonts w:asciiTheme="majorHAnsi" w:eastAsiaTheme="majorEastAsia" w:hAnsiTheme="majorHAnsi" w:cstheme="majorHAnsi"/>
                <w:sz w:val="20"/>
                <w:szCs w:val="20"/>
              </w:rPr>
              <w:t>4.1</w:t>
            </w:r>
            <w:r>
              <w:rPr>
                <w:rFonts w:eastAsiaTheme="majorEastAsia" w:cstheme="minorHAnsi"/>
                <w:sz w:val="20"/>
                <w:szCs w:val="20"/>
              </w:rPr>
              <w:t xml:space="preserve"> </w:t>
            </w:r>
            <w:r w:rsidRPr="004957D4">
              <w:rPr>
                <w:rFonts w:eastAsiaTheme="majorEastAsia" w:cstheme="minorHAnsi"/>
                <w:sz w:val="20"/>
                <w:szCs w:val="20"/>
              </w:rPr>
              <w:t>Number of public service delivery facilities reconstructed or repaired (cumulative) – Target 330 (over the life of the TC Pam recovery program)</w:t>
            </w:r>
          </w:p>
        </w:tc>
        <w:tc>
          <w:tcPr>
            <w:tcW w:w="3969" w:type="dxa"/>
            <w:tcBorders>
              <w:top w:val="single" w:sz="4" w:space="0" w:color="auto"/>
              <w:left w:val="single" w:sz="4" w:space="0" w:color="auto"/>
              <w:bottom w:val="single" w:sz="4" w:space="0" w:color="auto"/>
              <w:right w:val="single" w:sz="4" w:space="0" w:color="auto"/>
            </w:tcBorders>
            <w:hideMark/>
          </w:tcPr>
          <w:p w14:paraId="0EDE0ACE" w14:textId="579F1DF2" w:rsidR="00D800E9" w:rsidRPr="004957D4" w:rsidRDefault="00D800E9" w:rsidP="00236FD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4957D4">
              <w:rPr>
                <w:rFonts w:eastAsiaTheme="majorEastAsia" w:cstheme="minorHAnsi"/>
                <w:sz w:val="20"/>
                <w:szCs w:val="20"/>
              </w:rPr>
              <w:t>397 facilities including education and health facilities, other public buildings, cooperatives and local tourism bungalows</w:t>
            </w:r>
            <w:r>
              <w:rPr>
                <w:rFonts w:eastAsiaTheme="majorEastAsia" w:cstheme="minorHAnsi"/>
                <w:sz w:val="20"/>
                <w:szCs w:val="20"/>
              </w:rPr>
              <w:t>.</w:t>
            </w:r>
          </w:p>
        </w:tc>
      </w:tr>
      <w:tr w:rsidR="00D800E9" w:rsidRPr="004957D4" w14:paraId="4F51D208" w14:textId="77777777" w:rsidTr="00596690">
        <w:tc>
          <w:tcPr>
            <w:tcW w:w="2127" w:type="dxa"/>
            <w:tcBorders>
              <w:left w:val="single" w:sz="4" w:space="0" w:color="auto"/>
              <w:bottom w:val="single" w:sz="4" w:space="0" w:color="auto"/>
              <w:right w:val="single" w:sz="4" w:space="0" w:color="auto"/>
            </w:tcBorders>
            <w:vAlign w:val="center"/>
            <w:hideMark/>
          </w:tcPr>
          <w:p w14:paraId="014DD2DE" w14:textId="77777777" w:rsidR="00D800E9" w:rsidRPr="004957D4" w:rsidRDefault="00D800E9" w:rsidP="00236FD8">
            <w:pPr>
              <w:suppressAutoHyphens w:val="0"/>
              <w:spacing w:before="0" w:after="0" w:line="240" w:lineRule="auto"/>
              <w:rPr>
                <w:rFonts w:eastAsiaTheme="majorEastAsia" w:cstheme="minorHAnsi"/>
                <w:b/>
                <w:caps/>
                <w:sz w:val="20"/>
                <w:szCs w:val="20"/>
              </w:rPr>
            </w:pPr>
          </w:p>
        </w:tc>
        <w:tc>
          <w:tcPr>
            <w:tcW w:w="4394" w:type="dxa"/>
            <w:tcBorders>
              <w:top w:val="single" w:sz="4" w:space="0" w:color="auto"/>
              <w:left w:val="single" w:sz="4" w:space="0" w:color="auto"/>
              <w:bottom w:val="single" w:sz="4" w:space="0" w:color="auto"/>
              <w:right w:val="single" w:sz="4" w:space="0" w:color="auto"/>
            </w:tcBorders>
            <w:hideMark/>
          </w:tcPr>
          <w:p w14:paraId="219F45DF" w14:textId="77777777" w:rsidR="00D800E9" w:rsidRPr="004957D4" w:rsidRDefault="00D800E9" w:rsidP="00236FD8">
            <w:pPr>
              <w:pStyle w:val="BodyText"/>
              <w:spacing w:before="40" w:after="40" w:line="240" w:lineRule="auto"/>
              <w:rPr>
                <w:rFonts w:eastAsiaTheme="majorEastAsia" w:cstheme="minorHAnsi"/>
                <w:caps/>
                <w:sz w:val="20"/>
                <w:szCs w:val="20"/>
              </w:rPr>
            </w:pPr>
            <w:r w:rsidRPr="004957D4">
              <w:rPr>
                <w:rFonts w:eastAsiaTheme="majorEastAsia" w:cstheme="minorHAnsi"/>
                <w:sz w:val="20"/>
                <w:szCs w:val="20"/>
              </w:rPr>
              <w:t>Proportion of communities with current support plans for coordination, planning, preparedness, response and recovery – Target 15%</w:t>
            </w:r>
          </w:p>
        </w:tc>
        <w:tc>
          <w:tcPr>
            <w:tcW w:w="3969" w:type="dxa"/>
            <w:tcBorders>
              <w:top w:val="single" w:sz="4" w:space="0" w:color="auto"/>
              <w:left w:val="single" w:sz="4" w:space="0" w:color="auto"/>
              <w:bottom w:val="single" w:sz="4" w:space="0" w:color="auto"/>
              <w:right w:val="single" w:sz="4" w:space="0" w:color="auto"/>
            </w:tcBorders>
            <w:hideMark/>
          </w:tcPr>
          <w:p w14:paraId="764850D4" w14:textId="2FE3AADB" w:rsidR="00D800E9" w:rsidRPr="004957D4" w:rsidRDefault="00D800E9" w:rsidP="00236FD8">
            <w:pPr>
              <w:pStyle w:val="BodyText"/>
              <w:spacing w:before="40" w:after="40" w:line="240" w:lineRule="auto"/>
              <w:rPr>
                <w:rFonts w:eastAsiaTheme="majorEastAsia" w:cstheme="minorHAnsi"/>
                <w:sz w:val="20"/>
                <w:szCs w:val="20"/>
              </w:rPr>
            </w:pPr>
            <w:r w:rsidRPr="004957D4">
              <w:rPr>
                <w:rFonts w:eastAsiaTheme="majorEastAsia" w:cstheme="minorHAnsi"/>
                <w:sz w:val="20"/>
                <w:szCs w:val="20"/>
              </w:rPr>
              <w:t>Data not yet available</w:t>
            </w:r>
            <w:r>
              <w:rPr>
                <w:rFonts w:eastAsiaTheme="majorEastAsia" w:cstheme="minorHAnsi"/>
                <w:sz w:val="20"/>
                <w:szCs w:val="20"/>
              </w:rPr>
              <w:t xml:space="preserve"> due to COVID-19 restrictions and TC Harold</w:t>
            </w:r>
            <w:r w:rsidRPr="004957D4">
              <w:rPr>
                <w:rStyle w:val="EndnoteReference"/>
                <w:rFonts w:eastAsiaTheme="majorEastAsia" w:cstheme="minorHAnsi"/>
                <w:sz w:val="20"/>
                <w:szCs w:val="20"/>
              </w:rPr>
              <w:t xml:space="preserve"> </w:t>
            </w:r>
            <w:r w:rsidRPr="004957D4">
              <w:rPr>
                <w:rStyle w:val="EndnoteReference"/>
                <w:rFonts w:eastAsiaTheme="majorEastAsia" w:cstheme="minorHAnsi"/>
                <w:sz w:val="20"/>
                <w:szCs w:val="20"/>
              </w:rPr>
              <w:endnoteReference w:id="20"/>
            </w:r>
          </w:p>
        </w:tc>
      </w:tr>
    </w:tbl>
    <w:p w14:paraId="10F36CA1" w14:textId="77777777" w:rsidR="00B14CB2" w:rsidRDefault="00B14CB2" w:rsidP="00B14CB2">
      <w:pPr>
        <w:suppressAutoHyphens w:val="0"/>
        <w:spacing w:before="0" w:after="0" w:line="240" w:lineRule="auto"/>
        <w:rPr>
          <w:rFonts w:asciiTheme="majorHAnsi" w:eastAsiaTheme="majorEastAsia" w:hAnsiTheme="majorHAnsi" w:cstheme="majorBidi"/>
          <w:caps/>
          <w:sz w:val="38"/>
          <w:szCs w:val="26"/>
        </w:rPr>
        <w:sectPr w:rsidR="00B14CB2">
          <w:endnotePr>
            <w:numFmt w:val="decimal"/>
          </w:endnotePr>
          <w:pgSz w:w="11906" w:h="16838"/>
          <w:pgMar w:top="1701" w:right="1134" w:bottom="1418" w:left="1134" w:header="425" w:footer="493" w:gutter="0"/>
          <w:cols w:space="720"/>
        </w:sectPr>
      </w:pPr>
    </w:p>
    <w:p w14:paraId="659B094B" w14:textId="77777777" w:rsidR="001A642E" w:rsidRPr="00B927C4" w:rsidRDefault="001A642E" w:rsidP="001A642E">
      <w:pPr>
        <w:pStyle w:val="Heading2Numbered"/>
        <w:numPr>
          <w:ilvl w:val="0"/>
          <w:numId w:val="0"/>
        </w:numPr>
        <w:spacing w:before="240" w:after="240"/>
        <w:rPr>
          <w:sz w:val="28"/>
          <w:szCs w:val="28"/>
        </w:rPr>
      </w:pPr>
      <w:r w:rsidRPr="00B927C4">
        <w:rPr>
          <w:sz w:val="28"/>
          <w:szCs w:val="28"/>
        </w:rPr>
        <w:lastRenderedPageBreak/>
        <w:t>ANNEX A: Program Quality</w:t>
      </w:r>
    </w:p>
    <w:p w14:paraId="07C073EB" w14:textId="77777777" w:rsidR="001A642E" w:rsidRDefault="001A642E" w:rsidP="001A642E">
      <w:pPr>
        <w:pStyle w:val="NoSpacing"/>
        <w:rPr>
          <w:rFonts w:asciiTheme="majorHAnsi" w:eastAsiaTheme="majorEastAsia" w:hAnsiTheme="majorHAnsi" w:cstheme="majorBidi"/>
          <w:bCs/>
          <w:sz w:val="30"/>
          <w:szCs w:val="26"/>
        </w:rPr>
      </w:pPr>
      <w:r w:rsidRPr="00DA59FC">
        <w:rPr>
          <w:rFonts w:asciiTheme="majorHAnsi" w:eastAsiaTheme="majorEastAsia" w:hAnsiTheme="majorHAnsi" w:cstheme="majorBidi"/>
          <w:bCs/>
          <w:sz w:val="30"/>
          <w:szCs w:val="26"/>
        </w:rPr>
        <w:t>Investment Monitoring Report ratings</w:t>
      </w:r>
    </w:p>
    <w:p w14:paraId="084A3579" w14:textId="0628CDE1" w:rsidR="001A642E" w:rsidRDefault="001A642E" w:rsidP="001A642E">
      <w:pPr>
        <w:pStyle w:val="NoSpacing"/>
      </w:pPr>
    </w:p>
    <w:tbl>
      <w:tblPr>
        <w:tblStyle w:val="APPR"/>
        <w:tblW w:w="4384" w:type="pct"/>
        <w:tblBorders>
          <w:top w:val="single" w:sz="12" w:space="0" w:color="auto"/>
          <w:bottom w:val="single" w:sz="12" w:space="0" w:color="auto"/>
        </w:tblBorders>
        <w:tblLook w:val="0020" w:firstRow="1" w:lastRow="0" w:firstColumn="0" w:lastColumn="0" w:noHBand="0" w:noVBand="0"/>
      </w:tblPr>
      <w:tblGrid>
        <w:gridCol w:w="4190"/>
        <w:gridCol w:w="956"/>
        <w:gridCol w:w="1281"/>
        <w:gridCol w:w="670"/>
        <w:gridCol w:w="670"/>
        <w:gridCol w:w="684"/>
      </w:tblGrid>
      <w:tr w:rsidR="00D113A1" w:rsidRPr="00812509" w14:paraId="1E308305" w14:textId="77777777" w:rsidTr="00A96EE5">
        <w:trPr>
          <w:cnfStyle w:val="100000000000" w:firstRow="1" w:lastRow="0" w:firstColumn="0" w:lastColumn="0" w:oddVBand="0" w:evenVBand="0" w:oddHBand="0" w:evenHBand="0" w:firstRowFirstColumn="0" w:firstRowLastColumn="0" w:lastRowFirstColumn="0" w:lastRowLastColumn="0"/>
          <w:trHeight w:val="1413"/>
        </w:trPr>
        <w:tc>
          <w:tcPr>
            <w:tcW w:w="2454" w:type="pct"/>
            <w:tcBorders>
              <w:top w:val="none" w:sz="0" w:space="0" w:color="auto"/>
              <w:bottom w:val="none" w:sz="0" w:space="0" w:color="auto"/>
            </w:tcBorders>
          </w:tcPr>
          <w:p w14:paraId="006906AE"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68480" behindDoc="0" locked="0" layoutInCell="1" allowOverlap="1" wp14:anchorId="21AD1D39" wp14:editId="0946CCA8">
                  <wp:simplePos x="0" y="0"/>
                  <wp:positionH relativeFrom="column">
                    <wp:posOffset>0</wp:posOffset>
                  </wp:positionH>
                  <wp:positionV relativeFrom="paragraph">
                    <wp:posOffset>0</wp:posOffset>
                  </wp:positionV>
                  <wp:extent cx="1857375" cy="228600"/>
                  <wp:effectExtent l="0" t="0" r="9525" b="0"/>
                  <wp:wrapNone/>
                  <wp:docPr id="3" name="Picture 3"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12509">
              <w:rPr>
                <w:rFonts w:asciiTheme="minorHAnsi" w:eastAsia="Times New Roman" w:hAnsiTheme="minorHAnsi"/>
                <w:iCs/>
                <w:szCs w:val="17"/>
                <w:lang w:eastAsia="en-US"/>
              </w:rPr>
              <w:t>Investment name</w:t>
            </w:r>
          </w:p>
        </w:tc>
        <w:tc>
          <w:tcPr>
            <w:tcW w:w="549" w:type="pct"/>
            <w:tcBorders>
              <w:top w:val="none" w:sz="0" w:space="0" w:color="auto"/>
              <w:bottom w:val="none" w:sz="0" w:space="0" w:color="auto"/>
            </w:tcBorders>
            <w:textDirection w:val="btLr"/>
          </w:tcPr>
          <w:p w14:paraId="5831F091"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741" w:type="pct"/>
            <w:tcBorders>
              <w:top w:val="none" w:sz="0" w:space="0" w:color="auto"/>
              <w:bottom w:val="none" w:sz="0" w:space="0" w:color="auto"/>
            </w:tcBorders>
            <w:textDirection w:val="btLr"/>
          </w:tcPr>
          <w:p w14:paraId="0EE6BCBA"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80" w:type="pct"/>
            <w:tcBorders>
              <w:top w:val="none" w:sz="0" w:space="0" w:color="auto"/>
              <w:bottom w:val="none" w:sz="0" w:space="0" w:color="auto"/>
            </w:tcBorders>
            <w:textDirection w:val="btLr"/>
          </w:tcPr>
          <w:p w14:paraId="44E2E976"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80" w:type="pct"/>
            <w:tcBorders>
              <w:top w:val="none" w:sz="0" w:space="0" w:color="auto"/>
              <w:bottom w:val="none" w:sz="0" w:space="0" w:color="auto"/>
            </w:tcBorders>
            <w:textDirection w:val="btLr"/>
          </w:tcPr>
          <w:p w14:paraId="50232F0E"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80" w:type="pct"/>
            <w:tcBorders>
              <w:top w:val="none" w:sz="0" w:space="0" w:color="auto"/>
              <w:bottom w:val="none" w:sz="0" w:space="0" w:color="auto"/>
            </w:tcBorders>
            <w:textDirection w:val="btLr"/>
          </w:tcPr>
          <w:p w14:paraId="70D10818" w14:textId="77777777" w:rsidR="00D113A1" w:rsidRPr="00812509" w:rsidRDefault="00D113A1" w:rsidP="00DB777C">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D113A1" w:rsidRPr="00812509" w14:paraId="3E7F3EEB" w14:textId="77777777" w:rsidTr="00A96EE5">
        <w:trPr>
          <w:cnfStyle w:val="100000000000" w:firstRow="1" w:lastRow="0" w:firstColumn="0" w:lastColumn="0" w:oddVBand="0" w:evenVBand="0" w:oddHBand="0" w:evenHBand="0" w:firstRowFirstColumn="0" w:firstRowLastColumn="0" w:lastRowFirstColumn="0" w:lastRowLastColumn="0"/>
          <w:trHeight w:val="463"/>
        </w:trPr>
        <w:tc>
          <w:tcPr>
            <w:tcW w:w="2454" w:type="pct"/>
            <w:tcBorders>
              <w:top w:val="single" w:sz="2" w:space="0" w:color="65C5B4" w:themeColor="accent1"/>
            </w:tcBorders>
            <w:vAlign w:val="center"/>
          </w:tcPr>
          <w:p w14:paraId="461F2BDC" w14:textId="24811798"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Vanuatu Education Support Program Phase 2</w:t>
            </w:r>
          </w:p>
        </w:tc>
        <w:tc>
          <w:tcPr>
            <w:tcW w:w="549" w:type="pct"/>
            <w:tcBorders>
              <w:top w:val="single" w:sz="2" w:space="0" w:color="65C5B4" w:themeColor="accent1"/>
            </w:tcBorders>
            <w:vAlign w:val="center"/>
          </w:tcPr>
          <w:p w14:paraId="34E276FB" w14:textId="4D71588B" w:rsidR="00D113A1" w:rsidRPr="00497C12" w:rsidRDefault="00D113A1" w:rsidP="00A96EE5">
            <w:pPr>
              <w:keepLines/>
              <w:spacing w:before="0" w:after="0" w:line="240" w:lineRule="auto"/>
              <w:rPr>
                <w:rFonts w:asciiTheme="minorHAnsi" w:eastAsia="Times New Roman" w:hAnsiTheme="minorHAnsi"/>
                <w:iCs/>
                <w:szCs w:val="17"/>
                <w:lang w:eastAsia="en-US"/>
              </w:rPr>
            </w:pPr>
            <w:r w:rsidRPr="00A96EE5">
              <w:rPr>
                <w:rFonts w:asciiTheme="minorHAnsi" w:eastAsia="Times New Roman" w:hAnsiTheme="minorHAnsi"/>
                <w:iCs/>
                <w:szCs w:val="17"/>
                <w:lang w:eastAsia="en-US"/>
              </w:rPr>
              <w:t>$20.3m</w:t>
            </w:r>
          </w:p>
        </w:tc>
        <w:tc>
          <w:tcPr>
            <w:tcW w:w="741" w:type="pct"/>
            <w:tcBorders>
              <w:top w:val="single" w:sz="2" w:space="0" w:color="65C5B4" w:themeColor="accent1"/>
            </w:tcBorders>
          </w:tcPr>
          <w:p w14:paraId="6EFB4FC6" w14:textId="77777777" w:rsidR="00D113A1" w:rsidRPr="00812509" w:rsidRDefault="00D113A1" w:rsidP="00A96EE5">
            <w:pPr>
              <w:keepLines/>
              <w:spacing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top w:val="single" w:sz="2" w:space="0" w:color="65C5B4" w:themeColor="accent1"/>
            </w:tcBorders>
            <w:shd w:val="clear" w:color="auto" w:fill="auto"/>
            <w:noWrap/>
          </w:tcPr>
          <w:p w14:paraId="3A3061E8" w14:textId="56FA213C" w:rsidR="00D113A1" w:rsidRPr="00812509" w:rsidRDefault="00A96EE5" w:rsidP="00A96EE5">
            <w:pPr>
              <w:keepLines/>
              <w:spacing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6D28C83C" w14:textId="51ED6D23" w:rsidR="00D113A1" w:rsidRPr="00812509" w:rsidRDefault="00A96EE5" w:rsidP="00A96EE5">
            <w:pPr>
              <w:keepLines/>
              <w:spacing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5096A686" w14:textId="1BBB3942" w:rsidR="00D113A1" w:rsidRPr="00812509" w:rsidRDefault="00A96EE5" w:rsidP="00A96EE5">
            <w:pPr>
              <w:keepLines/>
              <w:spacing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r>
      <w:tr w:rsidR="00D113A1" w:rsidRPr="00812509" w14:paraId="1DCC169E"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single" w:sz="2" w:space="0" w:color="65C5B4" w:themeColor="accent1"/>
            </w:tcBorders>
            <w:vAlign w:val="center"/>
          </w:tcPr>
          <w:p w14:paraId="329D87DA"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Borders>
              <w:bottom w:val="single" w:sz="2" w:space="0" w:color="65C5B4" w:themeColor="accent1"/>
            </w:tcBorders>
            <w:vAlign w:val="center"/>
          </w:tcPr>
          <w:p w14:paraId="60717ECD" w14:textId="7ED6804B" w:rsidR="00D113A1" w:rsidRPr="00497C12" w:rsidRDefault="00D113A1" w:rsidP="00A96EE5">
            <w:pPr>
              <w:keepLines/>
              <w:spacing w:before="40" w:after="40" w:line="200" w:lineRule="atLeast"/>
              <w:rPr>
                <w:rFonts w:asciiTheme="minorHAnsi" w:eastAsia="Times New Roman" w:hAnsiTheme="minorHAnsi"/>
                <w:iCs/>
                <w:szCs w:val="17"/>
                <w:lang w:eastAsia="en-US"/>
              </w:rPr>
            </w:pPr>
            <w:r w:rsidRPr="00A96EE5">
              <w:rPr>
                <w:rFonts w:asciiTheme="minorHAnsi" w:eastAsia="Times New Roman" w:hAnsiTheme="minorHAnsi"/>
                <w:iCs/>
                <w:szCs w:val="17"/>
                <w:lang w:eastAsia="en-US"/>
              </w:rPr>
              <w:t>2019 – 21</w:t>
            </w:r>
          </w:p>
        </w:tc>
        <w:tc>
          <w:tcPr>
            <w:tcW w:w="741" w:type="pct"/>
            <w:tcBorders>
              <w:bottom w:val="single" w:sz="2" w:space="0" w:color="65C5B4" w:themeColor="accent1"/>
            </w:tcBorders>
          </w:tcPr>
          <w:p w14:paraId="7D1A58AF"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Pr>
                <w:rFonts w:asciiTheme="minorHAnsi" w:eastAsia="Times New Roman" w:hAnsiTheme="minorHAnsi"/>
                <w:iCs/>
                <w:szCs w:val="17"/>
                <w:lang w:eastAsia="en-US"/>
              </w:rPr>
              <w:t>2020</w:t>
            </w:r>
            <w:r w:rsidRPr="00812509">
              <w:rPr>
                <w:rFonts w:asciiTheme="minorHAnsi" w:eastAsia="Times New Roman" w:hAnsiTheme="minorHAnsi"/>
                <w:iCs/>
                <w:szCs w:val="17"/>
                <w:lang w:eastAsia="en-US"/>
              </w:rPr>
              <w:t xml:space="preserve"> AQC</w:t>
            </w:r>
          </w:p>
        </w:tc>
        <w:tc>
          <w:tcPr>
            <w:tcW w:w="380" w:type="pct"/>
            <w:tcBorders>
              <w:bottom w:val="single" w:sz="2" w:space="0" w:color="65C5B4" w:themeColor="accent1"/>
            </w:tcBorders>
            <w:shd w:val="clear" w:color="auto" w:fill="auto"/>
            <w:noWrap/>
          </w:tcPr>
          <w:p w14:paraId="76C92616" w14:textId="315CCE08" w:rsidR="00D113A1" w:rsidRPr="0030340D"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single" w:sz="2" w:space="0" w:color="65C5B4" w:themeColor="accent1"/>
            </w:tcBorders>
            <w:shd w:val="clear" w:color="auto" w:fill="auto"/>
            <w:noWrap/>
          </w:tcPr>
          <w:p w14:paraId="1DC70538" w14:textId="5058DBC7" w:rsidR="00D113A1" w:rsidRPr="0030340D"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single" w:sz="2" w:space="0" w:color="65C5B4" w:themeColor="accent1"/>
            </w:tcBorders>
            <w:shd w:val="clear" w:color="auto" w:fill="auto"/>
            <w:noWrap/>
          </w:tcPr>
          <w:p w14:paraId="771FE61E" w14:textId="7BF43715"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2DAB6FF4"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398C7FD8" w14:textId="5807A8CE" w:rsidR="00D113A1" w:rsidRPr="00812509" w:rsidRDefault="00D113A1" w:rsidP="00DB777C">
            <w:pPr>
              <w:keepLines/>
              <w:spacing w:before="40" w:after="40" w:line="200" w:lineRule="atLeast"/>
              <w:rPr>
                <w:rFonts w:asciiTheme="minorHAnsi" w:eastAsia="Times New Roman" w:hAnsiTheme="minorHAnsi"/>
                <w:iCs/>
                <w:szCs w:val="17"/>
                <w:lang w:eastAsia="en-US"/>
              </w:rPr>
            </w:pPr>
            <w:r w:rsidRPr="00306266">
              <w:rPr>
                <w:rFonts w:asciiTheme="minorHAnsi" w:eastAsia="Times New Roman" w:hAnsiTheme="minorHAnsi"/>
                <w:iCs/>
                <w:szCs w:val="17"/>
                <w:lang w:eastAsia="en-US"/>
              </w:rPr>
              <w:t>Governance for Growth Phase 3</w:t>
            </w:r>
          </w:p>
        </w:tc>
        <w:tc>
          <w:tcPr>
            <w:tcW w:w="549" w:type="pct"/>
            <w:tcBorders>
              <w:bottom w:val="none" w:sz="0" w:space="0" w:color="auto"/>
            </w:tcBorders>
            <w:vAlign w:val="center"/>
          </w:tcPr>
          <w:p w14:paraId="5E115024" w14:textId="26E69167" w:rsidR="00D113A1" w:rsidRPr="007B5EAB" w:rsidRDefault="00D113A1" w:rsidP="00D113A1">
            <w:pPr>
              <w:keepLines/>
              <w:spacing w:before="40" w:after="40" w:line="200" w:lineRule="atLeast"/>
              <w:rPr>
                <w:rFonts w:asciiTheme="minorHAnsi" w:hAnsiTheme="minorHAnsi" w:cs="Franklin Gothic Book"/>
                <w:szCs w:val="17"/>
              </w:rPr>
            </w:pPr>
            <w:r w:rsidRPr="00306266">
              <w:rPr>
                <w:rFonts w:asciiTheme="minorHAnsi" w:eastAsia="Times New Roman" w:hAnsiTheme="minorHAnsi"/>
                <w:iCs/>
                <w:szCs w:val="17"/>
                <w:lang w:eastAsia="en-US"/>
              </w:rPr>
              <w:t>$20m</w:t>
            </w:r>
          </w:p>
        </w:tc>
        <w:tc>
          <w:tcPr>
            <w:tcW w:w="741" w:type="pct"/>
            <w:tcBorders>
              <w:bottom w:val="none" w:sz="0" w:space="0" w:color="auto"/>
            </w:tcBorders>
          </w:tcPr>
          <w:p w14:paraId="593C6AA4"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bottom w:val="none" w:sz="0" w:space="0" w:color="auto"/>
            </w:tcBorders>
            <w:shd w:val="clear" w:color="auto" w:fill="auto"/>
            <w:noWrap/>
          </w:tcPr>
          <w:p w14:paraId="7DD3EF30" w14:textId="62F2200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none" w:sz="0" w:space="0" w:color="auto"/>
            </w:tcBorders>
            <w:shd w:val="clear" w:color="auto" w:fill="auto"/>
            <w:noWrap/>
          </w:tcPr>
          <w:p w14:paraId="468C0DEE" w14:textId="7DC2BE78"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none" w:sz="0" w:space="0" w:color="auto"/>
            </w:tcBorders>
            <w:shd w:val="clear" w:color="auto" w:fill="auto"/>
            <w:noWrap/>
          </w:tcPr>
          <w:p w14:paraId="05FF494B" w14:textId="3312085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6C1DE980"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24F2B5D7"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Borders>
              <w:bottom w:val="none" w:sz="0" w:space="0" w:color="auto"/>
            </w:tcBorders>
            <w:vAlign w:val="center"/>
          </w:tcPr>
          <w:p w14:paraId="0E36B68D" w14:textId="6F7DB5C0" w:rsidR="00D113A1" w:rsidRPr="007B5EAB" w:rsidRDefault="00D113A1" w:rsidP="00DB777C">
            <w:pPr>
              <w:autoSpaceDE w:val="0"/>
              <w:autoSpaceDN w:val="0"/>
              <w:adjustRightInd w:val="0"/>
              <w:spacing w:before="0" w:after="0" w:line="240" w:lineRule="auto"/>
              <w:rPr>
                <w:rFonts w:asciiTheme="minorHAnsi" w:hAnsiTheme="minorHAnsi" w:cs="Franklin Gothic Book"/>
                <w:szCs w:val="17"/>
              </w:rPr>
            </w:pPr>
            <w:r w:rsidRPr="00306266">
              <w:rPr>
                <w:rFonts w:asciiTheme="minorHAnsi" w:eastAsia="Times New Roman" w:hAnsiTheme="minorHAnsi"/>
                <w:iCs/>
                <w:szCs w:val="17"/>
                <w:lang w:eastAsia="en-US"/>
              </w:rPr>
              <w:t>2017 – 21</w:t>
            </w:r>
          </w:p>
        </w:tc>
        <w:tc>
          <w:tcPr>
            <w:tcW w:w="741" w:type="pct"/>
            <w:tcBorders>
              <w:bottom w:val="none" w:sz="0" w:space="0" w:color="auto"/>
            </w:tcBorders>
          </w:tcPr>
          <w:p w14:paraId="6405F099"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Pr>
                <w:rFonts w:asciiTheme="minorHAnsi" w:eastAsia="Times New Roman" w:hAnsiTheme="minorHAnsi"/>
                <w:iCs/>
                <w:szCs w:val="17"/>
                <w:lang w:eastAsia="en-US"/>
              </w:rPr>
              <w:t xml:space="preserve">2020 </w:t>
            </w:r>
            <w:r w:rsidRPr="00812509">
              <w:rPr>
                <w:rFonts w:asciiTheme="minorHAnsi" w:eastAsia="Times New Roman" w:hAnsiTheme="minorHAnsi"/>
                <w:iCs/>
                <w:szCs w:val="17"/>
                <w:lang w:eastAsia="en-US"/>
              </w:rPr>
              <w:t>AQC</w:t>
            </w:r>
          </w:p>
        </w:tc>
        <w:tc>
          <w:tcPr>
            <w:tcW w:w="380" w:type="pct"/>
            <w:tcBorders>
              <w:bottom w:val="none" w:sz="0" w:space="0" w:color="auto"/>
            </w:tcBorders>
            <w:shd w:val="clear" w:color="auto" w:fill="auto"/>
            <w:noWrap/>
          </w:tcPr>
          <w:p w14:paraId="52EC1252" w14:textId="55D5D5AE"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none" w:sz="0" w:space="0" w:color="auto"/>
            </w:tcBorders>
            <w:shd w:val="clear" w:color="auto" w:fill="auto"/>
            <w:noWrap/>
          </w:tcPr>
          <w:p w14:paraId="4587AD7A" w14:textId="07734E47"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none" w:sz="0" w:space="0" w:color="auto"/>
            </w:tcBorders>
            <w:shd w:val="clear" w:color="auto" w:fill="auto"/>
            <w:noWrap/>
          </w:tcPr>
          <w:p w14:paraId="01170B6C" w14:textId="6D8EBA0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7DED5B00"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top w:val="single" w:sz="2" w:space="0" w:color="65C5B4" w:themeColor="accent1"/>
            </w:tcBorders>
            <w:vAlign w:val="center"/>
          </w:tcPr>
          <w:p w14:paraId="5293C757" w14:textId="664555A4"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Vanuatu Skills for Economic Growth Phase 4</w:t>
            </w:r>
          </w:p>
        </w:tc>
        <w:tc>
          <w:tcPr>
            <w:tcW w:w="549" w:type="pct"/>
            <w:tcBorders>
              <w:top w:val="single" w:sz="2" w:space="0" w:color="65C5B4" w:themeColor="accent1"/>
            </w:tcBorders>
            <w:vAlign w:val="center"/>
          </w:tcPr>
          <w:p w14:paraId="0A5332F2" w14:textId="5F7124FE" w:rsidR="00D113A1" w:rsidRPr="007B5EAB" w:rsidRDefault="00D113A1" w:rsidP="00D113A1">
            <w:pPr>
              <w:keepLines/>
              <w:spacing w:before="40" w:after="40" w:line="200" w:lineRule="atLeast"/>
              <w:rPr>
                <w:rFonts w:asciiTheme="minorHAnsi" w:hAnsiTheme="minorHAnsi" w:cs="Franklin Gothic Book"/>
                <w:szCs w:val="17"/>
              </w:rPr>
            </w:pPr>
            <w:r>
              <w:rPr>
                <w:rFonts w:asciiTheme="minorHAnsi" w:eastAsia="Times New Roman" w:hAnsiTheme="minorHAnsi"/>
                <w:iCs/>
                <w:szCs w:val="17"/>
                <w:lang w:eastAsia="en-US"/>
              </w:rPr>
              <w:t>$21.3m</w:t>
            </w:r>
          </w:p>
        </w:tc>
        <w:tc>
          <w:tcPr>
            <w:tcW w:w="741" w:type="pct"/>
            <w:tcBorders>
              <w:top w:val="single" w:sz="2" w:space="0" w:color="65C5B4" w:themeColor="accent1"/>
            </w:tcBorders>
          </w:tcPr>
          <w:p w14:paraId="34D61554"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top w:val="single" w:sz="2" w:space="0" w:color="65C5B4" w:themeColor="accent1"/>
            </w:tcBorders>
            <w:shd w:val="clear" w:color="auto" w:fill="auto"/>
            <w:noWrap/>
          </w:tcPr>
          <w:p w14:paraId="13FCFFD3" w14:textId="6605841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top w:val="single" w:sz="2" w:space="0" w:color="65C5B4" w:themeColor="accent1"/>
            </w:tcBorders>
            <w:shd w:val="clear" w:color="auto" w:fill="auto"/>
            <w:noWrap/>
          </w:tcPr>
          <w:p w14:paraId="6BEEFFFE" w14:textId="7CA86E5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top w:val="single" w:sz="2" w:space="0" w:color="65C5B4" w:themeColor="accent1"/>
            </w:tcBorders>
            <w:shd w:val="clear" w:color="auto" w:fill="auto"/>
            <w:noWrap/>
          </w:tcPr>
          <w:p w14:paraId="4ADF91E8" w14:textId="649D1A13"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113A1" w:rsidRPr="00812509" w14:paraId="28DDA176"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single" w:sz="2" w:space="0" w:color="65C5B4" w:themeColor="accent1"/>
            </w:tcBorders>
            <w:vAlign w:val="center"/>
          </w:tcPr>
          <w:p w14:paraId="15C91A85"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Borders>
              <w:bottom w:val="single" w:sz="2" w:space="0" w:color="65C5B4" w:themeColor="accent1"/>
            </w:tcBorders>
            <w:vAlign w:val="center"/>
          </w:tcPr>
          <w:p w14:paraId="5F0B1C2F" w14:textId="76AB93FA" w:rsidR="00D113A1" w:rsidRPr="007B5EAB" w:rsidRDefault="00D113A1" w:rsidP="00DB777C">
            <w:pPr>
              <w:autoSpaceDE w:val="0"/>
              <w:autoSpaceDN w:val="0"/>
              <w:adjustRightInd w:val="0"/>
              <w:spacing w:before="0" w:after="0" w:line="240" w:lineRule="auto"/>
              <w:rPr>
                <w:rFonts w:asciiTheme="minorHAnsi" w:hAnsiTheme="minorHAnsi" w:cs="Franklin Gothic Book"/>
                <w:szCs w:val="17"/>
              </w:rPr>
            </w:pPr>
            <w:r>
              <w:rPr>
                <w:rFonts w:asciiTheme="minorHAnsi" w:eastAsia="Times New Roman" w:hAnsiTheme="minorHAnsi"/>
                <w:iCs/>
                <w:szCs w:val="17"/>
                <w:lang w:eastAsia="en-US"/>
              </w:rPr>
              <w:t>2016 – 22</w:t>
            </w:r>
          </w:p>
        </w:tc>
        <w:tc>
          <w:tcPr>
            <w:tcW w:w="741" w:type="pct"/>
            <w:tcBorders>
              <w:bottom w:val="single" w:sz="2" w:space="0" w:color="65C5B4" w:themeColor="accent1"/>
            </w:tcBorders>
          </w:tcPr>
          <w:p w14:paraId="484515EF"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tcBorders>
              <w:bottom w:val="single" w:sz="2" w:space="0" w:color="65C5B4" w:themeColor="accent1"/>
            </w:tcBorders>
            <w:shd w:val="clear" w:color="auto" w:fill="auto"/>
            <w:noWrap/>
          </w:tcPr>
          <w:p w14:paraId="1D674A04" w14:textId="79FE4675" w:rsidR="00D113A1" w:rsidRPr="0030340D"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single" w:sz="2" w:space="0" w:color="65C5B4" w:themeColor="accent1"/>
            </w:tcBorders>
            <w:shd w:val="clear" w:color="auto" w:fill="auto"/>
            <w:noWrap/>
          </w:tcPr>
          <w:p w14:paraId="1E8F4D47" w14:textId="2AE1E480" w:rsidR="00D113A1" w:rsidRPr="0030340D"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single" w:sz="2" w:space="0" w:color="65C5B4" w:themeColor="accent1"/>
            </w:tcBorders>
            <w:shd w:val="clear" w:color="auto" w:fill="auto"/>
            <w:noWrap/>
          </w:tcPr>
          <w:p w14:paraId="7A945DC1" w14:textId="3707CEDA" w:rsidR="00D113A1" w:rsidRPr="0030340D"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113A1" w:rsidRPr="00812509" w14:paraId="03838BE4"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5987F885" w14:textId="5CE49E7E"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Vanuatu Australia Policing and Justice</w:t>
            </w:r>
            <w:r>
              <w:rPr>
                <w:rFonts w:asciiTheme="minorHAnsi" w:eastAsia="Times New Roman" w:hAnsiTheme="minorHAnsi"/>
                <w:iCs/>
                <w:szCs w:val="17"/>
                <w:lang w:eastAsia="en-US"/>
              </w:rPr>
              <w:t xml:space="preserve"> Program</w:t>
            </w:r>
          </w:p>
        </w:tc>
        <w:tc>
          <w:tcPr>
            <w:tcW w:w="549" w:type="pct"/>
            <w:tcBorders>
              <w:bottom w:val="none" w:sz="0" w:space="0" w:color="auto"/>
            </w:tcBorders>
            <w:vAlign w:val="center"/>
          </w:tcPr>
          <w:p w14:paraId="5055D930" w14:textId="2D75C913" w:rsidR="00D113A1" w:rsidRPr="007B5EAB" w:rsidRDefault="00D113A1" w:rsidP="00D113A1">
            <w:pPr>
              <w:keepLines/>
              <w:spacing w:before="40" w:after="40" w:line="200" w:lineRule="atLeast"/>
              <w:rPr>
                <w:rFonts w:asciiTheme="minorHAnsi" w:hAnsiTheme="minorHAnsi" w:cs="Franklin Gothic Book"/>
                <w:szCs w:val="17"/>
              </w:rPr>
            </w:pPr>
            <w:r>
              <w:rPr>
                <w:rFonts w:asciiTheme="minorHAnsi" w:eastAsia="Times New Roman" w:hAnsiTheme="minorHAnsi"/>
                <w:iCs/>
                <w:szCs w:val="17"/>
                <w:lang w:eastAsia="en-US"/>
              </w:rPr>
              <w:t>$24.6m</w:t>
            </w:r>
          </w:p>
        </w:tc>
        <w:tc>
          <w:tcPr>
            <w:tcW w:w="741" w:type="pct"/>
            <w:tcBorders>
              <w:bottom w:val="none" w:sz="0" w:space="0" w:color="auto"/>
            </w:tcBorders>
          </w:tcPr>
          <w:p w14:paraId="0879DC3C"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bottom w:val="none" w:sz="0" w:space="0" w:color="auto"/>
            </w:tcBorders>
            <w:shd w:val="clear" w:color="auto" w:fill="auto"/>
            <w:noWrap/>
          </w:tcPr>
          <w:p w14:paraId="46029C73" w14:textId="6CAEC44E"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6D38B986" w14:textId="07ADCA78"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34322A0A" w14:textId="313D00E3"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6179C553"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689A5D87"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Borders>
              <w:bottom w:val="none" w:sz="0" w:space="0" w:color="auto"/>
            </w:tcBorders>
            <w:vAlign w:val="center"/>
          </w:tcPr>
          <w:p w14:paraId="0502EAA0" w14:textId="3CC2795C" w:rsidR="00D113A1" w:rsidRPr="007B5EAB" w:rsidRDefault="00D113A1" w:rsidP="00DB777C">
            <w:pPr>
              <w:autoSpaceDE w:val="0"/>
              <w:autoSpaceDN w:val="0"/>
              <w:adjustRightInd w:val="0"/>
              <w:spacing w:before="0" w:after="0" w:line="240" w:lineRule="auto"/>
              <w:rPr>
                <w:rFonts w:asciiTheme="minorHAnsi" w:hAnsiTheme="minorHAnsi" w:cs="Franklin Gothic Book"/>
                <w:szCs w:val="17"/>
              </w:rPr>
            </w:pPr>
            <w:r>
              <w:rPr>
                <w:rFonts w:asciiTheme="minorHAnsi" w:eastAsia="Times New Roman" w:hAnsiTheme="minorHAnsi"/>
                <w:iCs/>
                <w:szCs w:val="17"/>
                <w:lang w:eastAsia="en-US"/>
              </w:rPr>
              <w:t>2016 – 20</w:t>
            </w:r>
          </w:p>
        </w:tc>
        <w:tc>
          <w:tcPr>
            <w:tcW w:w="741" w:type="pct"/>
            <w:tcBorders>
              <w:bottom w:val="none" w:sz="0" w:space="0" w:color="auto"/>
            </w:tcBorders>
          </w:tcPr>
          <w:p w14:paraId="5BEFA2C9"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tcBorders>
              <w:bottom w:val="none" w:sz="0" w:space="0" w:color="auto"/>
            </w:tcBorders>
            <w:shd w:val="clear" w:color="auto" w:fill="auto"/>
            <w:noWrap/>
          </w:tcPr>
          <w:p w14:paraId="1344EEBC" w14:textId="0C57CD26"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5687637C" w14:textId="1F65E5A0"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230066F0" w14:textId="2326F528"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96EE5" w:rsidRPr="00812509" w14:paraId="0541F182"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top w:val="single" w:sz="2" w:space="0" w:color="65C5B4" w:themeColor="accent1"/>
            </w:tcBorders>
            <w:vAlign w:val="center"/>
          </w:tcPr>
          <w:p w14:paraId="1793ED94" w14:textId="058F449C" w:rsidR="00A96EE5" w:rsidRPr="00AC75D5" w:rsidRDefault="00A96EE5" w:rsidP="00A96EE5">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Roads for Development Phase 2</w:t>
            </w:r>
          </w:p>
        </w:tc>
        <w:tc>
          <w:tcPr>
            <w:tcW w:w="549" w:type="pct"/>
            <w:tcBorders>
              <w:top w:val="single" w:sz="2" w:space="0" w:color="65C5B4" w:themeColor="accent1"/>
            </w:tcBorders>
            <w:vAlign w:val="center"/>
          </w:tcPr>
          <w:p w14:paraId="210DF3E0" w14:textId="070D64ED" w:rsidR="00A96EE5" w:rsidRPr="00C95B80" w:rsidRDefault="00A96EE5" w:rsidP="00A96EE5">
            <w:pPr>
              <w:keepLines/>
              <w:spacing w:before="40" w:after="40" w:line="200" w:lineRule="atLeast"/>
              <w:rPr>
                <w:rFonts w:asciiTheme="minorHAnsi" w:hAnsiTheme="minorHAnsi" w:cs="Franklin Gothic Book"/>
                <w:szCs w:val="17"/>
              </w:rPr>
            </w:pPr>
            <w:r>
              <w:rPr>
                <w:rFonts w:asciiTheme="minorHAnsi" w:eastAsia="Times New Roman" w:hAnsiTheme="minorHAnsi"/>
                <w:iCs/>
                <w:szCs w:val="17"/>
                <w:lang w:eastAsia="en-US"/>
              </w:rPr>
              <w:t>$35m</w:t>
            </w:r>
          </w:p>
        </w:tc>
        <w:tc>
          <w:tcPr>
            <w:tcW w:w="741" w:type="pct"/>
            <w:tcBorders>
              <w:top w:val="single" w:sz="2" w:space="0" w:color="65C5B4" w:themeColor="accent1"/>
            </w:tcBorders>
          </w:tcPr>
          <w:p w14:paraId="2F519930" w14:textId="77777777" w:rsidR="00A96EE5" w:rsidRPr="00812509" w:rsidRDefault="00A96EE5" w:rsidP="00A96EE5">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top w:val="single" w:sz="2" w:space="0" w:color="65C5B4" w:themeColor="accent1"/>
            </w:tcBorders>
            <w:shd w:val="clear" w:color="auto" w:fill="auto"/>
            <w:noWrap/>
          </w:tcPr>
          <w:p w14:paraId="686EA4D8" w14:textId="412CB5CF" w:rsidR="00A96EE5" w:rsidRPr="0030340D" w:rsidRDefault="00A96EE5" w:rsidP="00A96EE5">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77B6ED93" w14:textId="6B478F07" w:rsidR="00A96EE5" w:rsidRPr="0030340D" w:rsidRDefault="00A96EE5" w:rsidP="00A96EE5">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3FC50AF3" w14:textId="3346EEAA" w:rsidR="00A96EE5" w:rsidRPr="0030340D" w:rsidRDefault="00A96EE5" w:rsidP="00A96EE5">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Na.</w:t>
            </w:r>
            <w:bookmarkStart w:id="0" w:name="_GoBack"/>
            <w:bookmarkEnd w:id="0"/>
          </w:p>
        </w:tc>
      </w:tr>
      <w:tr w:rsidR="00D113A1" w:rsidRPr="00812509" w14:paraId="7AF07191"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single" w:sz="2" w:space="0" w:color="65C5B4" w:themeColor="accent1"/>
            </w:tcBorders>
            <w:vAlign w:val="center"/>
          </w:tcPr>
          <w:p w14:paraId="4DDACAEA" w14:textId="77777777" w:rsidR="00D113A1" w:rsidRPr="00CE6E20" w:rsidRDefault="00D113A1" w:rsidP="00DB777C">
            <w:pPr>
              <w:keepLines/>
              <w:spacing w:before="40" w:after="40" w:line="200" w:lineRule="atLeast"/>
              <w:rPr>
                <w:rFonts w:eastAsia="Times New Roman"/>
                <w:i/>
                <w:iCs/>
                <w:szCs w:val="17"/>
              </w:rPr>
            </w:pPr>
          </w:p>
        </w:tc>
        <w:tc>
          <w:tcPr>
            <w:tcW w:w="549" w:type="pct"/>
            <w:tcBorders>
              <w:bottom w:val="single" w:sz="2" w:space="0" w:color="65C5B4" w:themeColor="accent1"/>
            </w:tcBorders>
            <w:vAlign w:val="center"/>
          </w:tcPr>
          <w:p w14:paraId="5DA73FCF" w14:textId="395032F9" w:rsidR="00D113A1" w:rsidRPr="007B5EAB" w:rsidRDefault="00D113A1" w:rsidP="00DB777C">
            <w:pPr>
              <w:autoSpaceDE w:val="0"/>
              <w:autoSpaceDN w:val="0"/>
              <w:adjustRightInd w:val="0"/>
              <w:spacing w:before="0" w:after="0" w:line="240" w:lineRule="auto"/>
              <w:rPr>
                <w:rFonts w:asciiTheme="minorHAnsi" w:hAnsiTheme="minorHAnsi" w:cs="Franklin Gothic Book"/>
                <w:szCs w:val="17"/>
              </w:rPr>
            </w:pPr>
            <w:r>
              <w:rPr>
                <w:rFonts w:asciiTheme="minorHAnsi" w:eastAsia="Times New Roman" w:hAnsiTheme="minorHAnsi"/>
                <w:iCs/>
                <w:szCs w:val="17"/>
                <w:lang w:eastAsia="en-US"/>
              </w:rPr>
              <w:t>2019 – 23</w:t>
            </w:r>
          </w:p>
        </w:tc>
        <w:tc>
          <w:tcPr>
            <w:tcW w:w="741" w:type="pct"/>
            <w:tcBorders>
              <w:bottom w:val="single" w:sz="2" w:space="0" w:color="65C5B4" w:themeColor="accent1"/>
            </w:tcBorders>
          </w:tcPr>
          <w:p w14:paraId="7447C901" w14:textId="77777777" w:rsidR="00D113A1" w:rsidRPr="00812509" w:rsidRDefault="00D113A1" w:rsidP="00DB777C">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tcBorders>
              <w:bottom w:val="single" w:sz="2" w:space="0" w:color="65C5B4" w:themeColor="accent1"/>
            </w:tcBorders>
            <w:shd w:val="clear" w:color="auto" w:fill="auto"/>
            <w:noWrap/>
          </w:tcPr>
          <w:p w14:paraId="00F71F48" w14:textId="4824A9D3" w:rsidR="00D113A1" w:rsidRPr="0030340D" w:rsidRDefault="00DC781D"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single" w:sz="2" w:space="0" w:color="65C5B4" w:themeColor="accent1"/>
            </w:tcBorders>
            <w:shd w:val="clear" w:color="auto" w:fill="auto"/>
            <w:noWrap/>
          </w:tcPr>
          <w:p w14:paraId="2377C0A2" w14:textId="630F00A3" w:rsidR="00D113A1" w:rsidRPr="0030340D" w:rsidRDefault="00DC781D"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single" w:sz="2" w:space="0" w:color="65C5B4" w:themeColor="accent1"/>
            </w:tcBorders>
            <w:shd w:val="clear" w:color="auto" w:fill="auto"/>
            <w:noWrap/>
          </w:tcPr>
          <w:p w14:paraId="4425D886" w14:textId="5F0C5AA7" w:rsidR="00D113A1" w:rsidRPr="0030340D" w:rsidRDefault="00DC781D"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75CB4B1F"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7541CAF2" w14:textId="128792C7"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Pacific Women (Vanuatu)</w:t>
            </w:r>
          </w:p>
        </w:tc>
        <w:tc>
          <w:tcPr>
            <w:tcW w:w="549" w:type="pct"/>
            <w:tcBorders>
              <w:bottom w:val="none" w:sz="0" w:space="0" w:color="auto"/>
            </w:tcBorders>
            <w:vAlign w:val="center"/>
          </w:tcPr>
          <w:p w14:paraId="7813AF1B" w14:textId="5A898606" w:rsidR="00D113A1" w:rsidRPr="007B5EAB" w:rsidRDefault="00D113A1" w:rsidP="00D113A1">
            <w:pPr>
              <w:keepLines/>
              <w:spacing w:before="40" w:after="40" w:line="200" w:lineRule="atLeast"/>
              <w:rPr>
                <w:rFonts w:asciiTheme="minorHAnsi" w:hAnsiTheme="minorHAnsi" w:cs="Franklin Gothic Book"/>
                <w:szCs w:val="17"/>
              </w:rPr>
            </w:pPr>
            <w:r>
              <w:rPr>
                <w:rFonts w:asciiTheme="minorHAnsi" w:eastAsia="Times New Roman" w:hAnsiTheme="minorHAnsi"/>
                <w:iCs/>
                <w:szCs w:val="17"/>
                <w:lang w:eastAsia="en-US"/>
              </w:rPr>
              <w:t>$6.5</w:t>
            </w:r>
            <w:r>
              <w:rPr>
                <w:rFonts w:asciiTheme="minorHAnsi" w:eastAsia="Times New Roman" w:hAnsiTheme="minorHAnsi"/>
                <w:iCs/>
                <w:szCs w:val="17"/>
                <w:lang w:eastAsia="en-US"/>
              </w:rPr>
              <w:t>m</w:t>
            </w:r>
          </w:p>
        </w:tc>
        <w:tc>
          <w:tcPr>
            <w:tcW w:w="741" w:type="pct"/>
            <w:tcBorders>
              <w:bottom w:val="none" w:sz="0" w:space="0" w:color="auto"/>
            </w:tcBorders>
          </w:tcPr>
          <w:p w14:paraId="26318F21"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bottom w:val="none" w:sz="0" w:space="0" w:color="auto"/>
            </w:tcBorders>
            <w:shd w:val="clear" w:color="auto" w:fill="auto"/>
            <w:noWrap/>
          </w:tcPr>
          <w:p w14:paraId="564CA341" w14:textId="699D72B3"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551FCC47" w14:textId="3834C690"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3FECAD90" w14:textId="01571BF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113A1" w:rsidRPr="00812509" w14:paraId="63B73370"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bottom w:val="none" w:sz="0" w:space="0" w:color="auto"/>
            </w:tcBorders>
            <w:vAlign w:val="center"/>
          </w:tcPr>
          <w:p w14:paraId="130DCDFD"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Borders>
              <w:bottom w:val="none" w:sz="0" w:space="0" w:color="auto"/>
            </w:tcBorders>
            <w:vAlign w:val="center"/>
          </w:tcPr>
          <w:p w14:paraId="13A421C7" w14:textId="27673EAC" w:rsidR="00D113A1" w:rsidRPr="007B5EAB" w:rsidRDefault="00D113A1" w:rsidP="00DB777C">
            <w:pPr>
              <w:autoSpaceDE w:val="0"/>
              <w:autoSpaceDN w:val="0"/>
              <w:adjustRightInd w:val="0"/>
              <w:spacing w:before="0" w:after="0" w:line="240" w:lineRule="auto"/>
              <w:rPr>
                <w:rFonts w:asciiTheme="minorHAnsi" w:hAnsiTheme="minorHAnsi" w:cs="Franklin Gothic Book"/>
                <w:szCs w:val="17"/>
              </w:rPr>
            </w:pPr>
            <w:r>
              <w:rPr>
                <w:rFonts w:asciiTheme="minorHAnsi" w:eastAsia="Times New Roman" w:hAnsiTheme="minorHAnsi"/>
                <w:iCs/>
                <w:szCs w:val="17"/>
                <w:lang w:eastAsia="en-US"/>
              </w:rPr>
              <w:t>2016 – 21</w:t>
            </w:r>
          </w:p>
        </w:tc>
        <w:tc>
          <w:tcPr>
            <w:tcW w:w="741" w:type="pct"/>
            <w:tcBorders>
              <w:bottom w:val="none" w:sz="0" w:space="0" w:color="auto"/>
            </w:tcBorders>
          </w:tcPr>
          <w:p w14:paraId="1AB091FB"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tcBorders>
              <w:bottom w:val="none" w:sz="0" w:space="0" w:color="auto"/>
            </w:tcBorders>
            <w:shd w:val="clear" w:color="auto" w:fill="auto"/>
            <w:noWrap/>
          </w:tcPr>
          <w:p w14:paraId="02DD16FD" w14:textId="58463D87"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80" w:type="pct"/>
            <w:tcBorders>
              <w:bottom w:val="none" w:sz="0" w:space="0" w:color="auto"/>
            </w:tcBorders>
            <w:shd w:val="clear" w:color="auto" w:fill="auto"/>
            <w:noWrap/>
          </w:tcPr>
          <w:p w14:paraId="76C7A25A" w14:textId="5BB26657"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bottom w:val="none" w:sz="0" w:space="0" w:color="auto"/>
            </w:tcBorders>
            <w:shd w:val="clear" w:color="auto" w:fill="auto"/>
            <w:noWrap/>
          </w:tcPr>
          <w:p w14:paraId="63AC4A9C" w14:textId="05D7A5BA"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D113A1" w:rsidRPr="00812509" w14:paraId="73DDADEA"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top w:val="single" w:sz="2" w:space="0" w:color="65C5B4" w:themeColor="accent1"/>
            </w:tcBorders>
            <w:vAlign w:val="center"/>
          </w:tcPr>
          <w:p w14:paraId="063D37B1" w14:textId="089FE1CA"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 xml:space="preserve">Wan </w:t>
            </w:r>
            <w:proofErr w:type="spellStart"/>
            <w:r>
              <w:rPr>
                <w:rFonts w:asciiTheme="minorHAnsi" w:eastAsia="Times New Roman" w:hAnsiTheme="minorHAnsi"/>
                <w:iCs/>
                <w:szCs w:val="17"/>
                <w:lang w:eastAsia="en-US"/>
              </w:rPr>
              <w:t>Smolbag</w:t>
            </w:r>
            <w:proofErr w:type="spellEnd"/>
            <w:r>
              <w:rPr>
                <w:rFonts w:asciiTheme="minorHAnsi" w:eastAsia="Times New Roman" w:hAnsiTheme="minorHAnsi"/>
                <w:iCs/>
                <w:szCs w:val="17"/>
                <w:lang w:eastAsia="en-US"/>
              </w:rPr>
              <w:t xml:space="preserve"> Theatre Community Partnership</w:t>
            </w:r>
          </w:p>
        </w:tc>
        <w:tc>
          <w:tcPr>
            <w:tcW w:w="549" w:type="pct"/>
            <w:tcBorders>
              <w:top w:val="single" w:sz="2" w:space="0" w:color="65C5B4" w:themeColor="accent1"/>
            </w:tcBorders>
            <w:vAlign w:val="center"/>
          </w:tcPr>
          <w:p w14:paraId="758E3945" w14:textId="474D7D74" w:rsidR="00D113A1" w:rsidRPr="00497C12" w:rsidRDefault="00D113A1" w:rsidP="00D113A1">
            <w:pPr>
              <w:keepLines/>
              <w:spacing w:before="40" w:after="40" w:line="200" w:lineRule="atLeast"/>
              <w:rPr>
                <w:rFonts w:asciiTheme="minorHAnsi" w:eastAsia="Times New Roman" w:hAnsiTheme="minorHAnsi"/>
                <w:iCs/>
                <w:szCs w:val="17"/>
                <w:lang w:eastAsia="en-US"/>
              </w:rPr>
            </w:pPr>
            <w:r w:rsidRPr="00453731">
              <w:rPr>
                <w:rFonts w:asciiTheme="minorHAnsi" w:eastAsia="Times New Roman" w:hAnsiTheme="minorHAnsi"/>
                <w:iCs/>
                <w:szCs w:val="17"/>
                <w:lang w:eastAsia="en-US"/>
              </w:rPr>
              <w:t>$</w:t>
            </w:r>
            <w:r>
              <w:rPr>
                <w:rFonts w:asciiTheme="minorHAnsi" w:eastAsia="Times New Roman" w:hAnsiTheme="minorHAnsi"/>
                <w:iCs/>
                <w:szCs w:val="17"/>
                <w:lang w:eastAsia="en-US"/>
              </w:rPr>
              <w:t>17.2</w:t>
            </w:r>
            <w:r w:rsidRPr="00453731">
              <w:rPr>
                <w:rFonts w:asciiTheme="minorHAnsi" w:eastAsia="Times New Roman" w:hAnsiTheme="minorHAnsi"/>
                <w:iCs/>
                <w:szCs w:val="17"/>
                <w:lang w:eastAsia="en-US"/>
              </w:rPr>
              <w:t>m</w:t>
            </w:r>
          </w:p>
        </w:tc>
        <w:tc>
          <w:tcPr>
            <w:tcW w:w="741" w:type="pct"/>
            <w:tcBorders>
              <w:top w:val="single" w:sz="2" w:space="0" w:color="65C5B4" w:themeColor="accent1"/>
            </w:tcBorders>
          </w:tcPr>
          <w:p w14:paraId="6C380034"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top w:val="single" w:sz="2" w:space="0" w:color="65C5B4" w:themeColor="accent1"/>
            </w:tcBorders>
            <w:shd w:val="clear" w:color="auto" w:fill="auto"/>
            <w:noWrap/>
          </w:tcPr>
          <w:p w14:paraId="3B6CB9B6" w14:textId="19B35197"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top w:val="single" w:sz="2" w:space="0" w:color="65C5B4" w:themeColor="accent1"/>
            </w:tcBorders>
            <w:shd w:val="clear" w:color="auto" w:fill="auto"/>
            <w:noWrap/>
          </w:tcPr>
          <w:p w14:paraId="551D4778" w14:textId="660D0440"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tcBorders>
              <w:top w:val="single" w:sz="2" w:space="0" w:color="65C5B4" w:themeColor="accent1"/>
            </w:tcBorders>
            <w:shd w:val="clear" w:color="auto" w:fill="auto"/>
            <w:noWrap/>
          </w:tcPr>
          <w:p w14:paraId="5F4BA3F4" w14:textId="3CFD7463"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D113A1" w:rsidRPr="00812509" w14:paraId="5C9D82BB"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Pr>
          <w:p w14:paraId="1A65E7E4" w14:textId="77777777" w:rsidR="00D113A1" w:rsidRPr="00812509" w:rsidRDefault="00D113A1" w:rsidP="00DB777C">
            <w:pPr>
              <w:keepLines/>
              <w:spacing w:before="40" w:after="40" w:line="200" w:lineRule="atLeast"/>
              <w:rPr>
                <w:rFonts w:asciiTheme="minorHAnsi" w:eastAsia="Times New Roman" w:hAnsiTheme="minorHAnsi"/>
                <w:iCs/>
                <w:szCs w:val="17"/>
                <w:lang w:eastAsia="en-US"/>
              </w:rPr>
            </w:pPr>
          </w:p>
        </w:tc>
        <w:tc>
          <w:tcPr>
            <w:tcW w:w="549" w:type="pct"/>
          </w:tcPr>
          <w:p w14:paraId="527DCF4C" w14:textId="1ED4CD7E" w:rsidR="00D113A1" w:rsidRPr="00812509" w:rsidRDefault="00D113A1" w:rsidP="00DB777C">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2009</w:t>
            </w:r>
            <w:r w:rsidRPr="00453731">
              <w:rPr>
                <w:rFonts w:asciiTheme="minorHAnsi" w:eastAsia="Times New Roman" w:hAnsiTheme="minorHAnsi"/>
                <w:iCs/>
                <w:szCs w:val="17"/>
                <w:lang w:eastAsia="en-US"/>
              </w:rPr>
              <w:t xml:space="preserve"> –</w:t>
            </w:r>
            <w:r>
              <w:rPr>
                <w:rFonts w:asciiTheme="minorHAnsi" w:eastAsia="Times New Roman" w:hAnsiTheme="minorHAnsi"/>
                <w:iCs/>
                <w:szCs w:val="17"/>
                <w:lang w:eastAsia="en-US"/>
              </w:rPr>
              <w:t xml:space="preserve"> 21</w:t>
            </w:r>
          </w:p>
        </w:tc>
        <w:tc>
          <w:tcPr>
            <w:tcW w:w="741" w:type="pct"/>
          </w:tcPr>
          <w:p w14:paraId="3F867CA9" w14:textId="77777777" w:rsidR="00D113A1" w:rsidRPr="00812509" w:rsidRDefault="00D113A1" w:rsidP="00DB777C">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shd w:val="clear" w:color="auto" w:fill="auto"/>
            <w:noWrap/>
          </w:tcPr>
          <w:p w14:paraId="2569485F" w14:textId="0F4DD6C4"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shd w:val="clear" w:color="auto" w:fill="auto"/>
            <w:noWrap/>
          </w:tcPr>
          <w:p w14:paraId="530A2A58" w14:textId="1C68F3A1"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80" w:type="pct"/>
            <w:shd w:val="clear" w:color="auto" w:fill="auto"/>
            <w:noWrap/>
          </w:tcPr>
          <w:p w14:paraId="480756E6" w14:textId="6266D88E" w:rsidR="00D113A1" w:rsidRPr="00812509" w:rsidRDefault="00A96EE5" w:rsidP="00DB777C">
            <w:pPr>
              <w:keepLines/>
              <w:spacing w:before="0" w:after="0" w:line="240" w:lineRule="auto"/>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A96EE5" w:rsidRPr="00812509" w14:paraId="2A9E289F"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Borders>
              <w:top w:val="single" w:sz="2" w:space="0" w:color="65C5B4" w:themeColor="accent1"/>
            </w:tcBorders>
          </w:tcPr>
          <w:p w14:paraId="6C7BDA3A" w14:textId="6EB6C39C" w:rsidR="00A96EE5" w:rsidRPr="00812509" w:rsidRDefault="00A96EE5" w:rsidP="00A96EE5">
            <w:pPr>
              <w:keepLines/>
              <w:spacing w:before="40" w:after="40" w:line="200" w:lineRule="atLeast"/>
              <w:rPr>
                <w:rFonts w:eastAsia="Times New Roman"/>
                <w:iCs/>
                <w:szCs w:val="17"/>
              </w:rPr>
            </w:pPr>
            <w:r>
              <w:rPr>
                <w:rFonts w:asciiTheme="minorHAnsi" w:eastAsia="Times New Roman" w:hAnsiTheme="minorHAnsi"/>
                <w:iCs/>
                <w:szCs w:val="17"/>
                <w:lang w:eastAsia="en-US"/>
              </w:rPr>
              <w:t>Volcano Recovery Program 2019 – 2022</w:t>
            </w:r>
          </w:p>
        </w:tc>
        <w:tc>
          <w:tcPr>
            <w:tcW w:w="549" w:type="pct"/>
            <w:tcBorders>
              <w:top w:val="single" w:sz="2" w:space="0" w:color="65C5B4" w:themeColor="accent1"/>
            </w:tcBorders>
          </w:tcPr>
          <w:p w14:paraId="666FCC7E" w14:textId="1495864A" w:rsidR="00A96EE5" w:rsidRPr="00497C12" w:rsidRDefault="00A96EE5" w:rsidP="00A96EE5">
            <w:pPr>
              <w:keepLines/>
              <w:spacing w:before="40" w:after="40" w:line="200" w:lineRule="atLeast"/>
              <w:rPr>
                <w:rFonts w:eastAsia="Times New Roman"/>
                <w:iCs/>
                <w:szCs w:val="17"/>
              </w:rPr>
            </w:pPr>
            <w:r w:rsidRPr="00453731">
              <w:rPr>
                <w:rFonts w:asciiTheme="minorHAnsi" w:eastAsia="Times New Roman" w:hAnsiTheme="minorHAnsi"/>
                <w:iCs/>
                <w:szCs w:val="17"/>
                <w:lang w:eastAsia="en-US"/>
              </w:rPr>
              <w:t>$</w:t>
            </w:r>
            <w:r>
              <w:rPr>
                <w:rFonts w:asciiTheme="minorHAnsi" w:eastAsia="Times New Roman" w:hAnsiTheme="minorHAnsi"/>
                <w:iCs/>
                <w:szCs w:val="17"/>
                <w:lang w:eastAsia="en-US"/>
              </w:rPr>
              <w:t>5</w:t>
            </w:r>
            <w:r w:rsidRPr="00453731">
              <w:rPr>
                <w:rFonts w:asciiTheme="minorHAnsi" w:eastAsia="Times New Roman" w:hAnsiTheme="minorHAnsi"/>
                <w:iCs/>
                <w:szCs w:val="17"/>
                <w:lang w:eastAsia="en-US"/>
              </w:rPr>
              <w:t>m</w:t>
            </w:r>
          </w:p>
        </w:tc>
        <w:tc>
          <w:tcPr>
            <w:tcW w:w="741" w:type="pct"/>
            <w:tcBorders>
              <w:top w:val="single" w:sz="2" w:space="0" w:color="65C5B4" w:themeColor="accent1"/>
            </w:tcBorders>
          </w:tcPr>
          <w:p w14:paraId="6A04ED7D" w14:textId="74030BC2" w:rsidR="00A96EE5" w:rsidRPr="00812509" w:rsidRDefault="00A96EE5" w:rsidP="00A96EE5">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9</w:t>
            </w:r>
            <w:r w:rsidRPr="00812509">
              <w:rPr>
                <w:rFonts w:asciiTheme="minorHAnsi" w:eastAsia="Times New Roman" w:hAnsiTheme="minorHAnsi"/>
                <w:iCs/>
                <w:szCs w:val="17"/>
                <w:lang w:eastAsia="en-US"/>
              </w:rPr>
              <w:t xml:space="preserve"> AQC</w:t>
            </w:r>
          </w:p>
        </w:tc>
        <w:tc>
          <w:tcPr>
            <w:tcW w:w="380" w:type="pct"/>
            <w:tcBorders>
              <w:top w:val="single" w:sz="2" w:space="0" w:color="65C5B4" w:themeColor="accent1"/>
            </w:tcBorders>
            <w:shd w:val="clear" w:color="auto" w:fill="auto"/>
            <w:noWrap/>
          </w:tcPr>
          <w:p w14:paraId="5A17CDF1" w14:textId="3AD18FB7" w:rsidR="00A96EE5" w:rsidRPr="00A96EE5" w:rsidRDefault="00A96EE5" w:rsidP="00A96EE5">
            <w:pPr>
              <w:keepLines/>
              <w:spacing w:before="0" w:after="0" w:line="240" w:lineRule="auto"/>
              <w:jc w:val="center"/>
              <w:rPr>
                <w:rFonts w:asciiTheme="minorHAnsi" w:eastAsia="Times New Roman" w:hAnsiTheme="minorHAnsi"/>
                <w:iCs/>
                <w:szCs w:val="17"/>
                <w:lang w:eastAsia="en-US"/>
              </w:rPr>
            </w:pPr>
            <w:r w:rsidRPr="00A96EE5">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5E448837" w14:textId="561A5974" w:rsidR="00A96EE5" w:rsidRPr="00A96EE5" w:rsidRDefault="00A96EE5" w:rsidP="00A96EE5">
            <w:pPr>
              <w:keepLines/>
              <w:spacing w:before="0" w:after="0" w:line="240" w:lineRule="auto"/>
              <w:jc w:val="center"/>
              <w:rPr>
                <w:rFonts w:asciiTheme="minorHAnsi" w:eastAsia="Times New Roman" w:hAnsiTheme="minorHAnsi"/>
                <w:iCs/>
                <w:szCs w:val="17"/>
                <w:lang w:eastAsia="en-US"/>
              </w:rPr>
            </w:pPr>
            <w:r w:rsidRPr="00A96EE5">
              <w:rPr>
                <w:rFonts w:asciiTheme="minorHAnsi" w:eastAsia="Times New Roman" w:hAnsiTheme="minorHAnsi"/>
                <w:iCs/>
                <w:szCs w:val="17"/>
                <w:lang w:eastAsia="en-US"/>
              </w:rPr>
              <w:t>Na.</w:t>
            </w:r>
          </w:p>
        </w:tc>
        <w:tc>
          <w:tcPr>
            <w:tcW w:w="380" w:type="pct"/>
            <w:tcBorders>
              <w:top w:val="single" w:sz="2" w:space="0" w:color="65C5B4" w:themeColor="accent1"/>
            </w:tcBorders>
            <w:shd w:val="clear" w:color="auto" w:fill="auto"/>
            <w:noWrap/>
          </w:tcPr>
          <w:p w14:paraId="062A94E1" w14:textId="099A78FF" w:rsidR="00A96EE5" w:rsidRPr="00A96EE5" w:rsidRDefault="00A96EE5" w:rsidP="00A96EE5">
            <w:pPr>
              <w:keepLines/>
              <w:spacing w:before="0" w:after="0" w:line="240" w:lineRule="auto"/>
              <w:jc w:val="center"/>
              <w:rPr>
                <w:rFonts w:asciiTheme="minorHAnsi" w:eastAsia="Times New Roman" w:hAnsiTheme="minorHAnsi"/>
                <w:iCs/>
                <w:szCs w:val="17"/>
                <w:lang w:eastAsia="en-US"/>
              </w:rPr>
            </w:pPr>
            <w:r w:rsidRPr="00A96EE5">
              <w:rPr>
                <w:rFonts w:asciiTheme="minorHAnsi" w:eastAsia="Times New Roman" w:hAnsiTheme="minorHAnsi"/>
                <w:iCs/>
                <w:szCs w:val="17"/>
                <w:lang w:eastAsia="en-US"/>
              </w:rPr>
              <w:t>Na.</w:t>
            </w:r>
          </w:p>
        </w:tc>
      </w:tr>
      <w:tr w:rsidR="00A96EE5" w:rsidRPr="00812509" w14:paraId="52DF993F" w14:textId="77777777" w:rsidTr="00A96EE5">
        <w:trPr>
          <w:cnfStyle w:val="100000000000" w:firstRow="1" w:lastRow="0" w:firstColumn="0" w:lastColumn="0" w:oddVBand="0" w:evenVBand="0" w:oddHBand="0" w:evenHBand="0" w:firstRowFirstColumn="0" w:firstRowLastColumn="0" w:lastRowFirstColumn="0" w:lastRowLastColumn="0"/>
          <w:trHeight w:val="284"/>
        </w:trPr>
        <w:tc>
          <w:tcPr>
            <w:tcW w:w="2454" w:type="pct"/>
          </w:tcPr>
          <w:p w14:paraId="469E546D" w14:textId="77777777" w:rsidR="00A96EE5" w:rsidRPr="00812509" w:rsidRDefault="00A96EE5" w:rsidP="00A96EE5">
            <w:pPr>
              <w:keepLines/>
              <w:spacing w:before="40" w:after="40" w:line="200" w:lineRule="atLeast"/>
              <w:rPr>
                <w:rFonts w:eastAsia="Times New Roman"/>
                <w:iCs/>
                <w:szCs w:val="17"/>
              </w:rPr>
            </w:pPr>
          </w:p>
        </w:tc>
        <w:tc>
          <w:tcPr>
            <w:tcW w:w="549" w:type="pct"/>
          </w:tcPr>
          <w:p w14:paraId="4319B396" w14:textId="3318EE98" w:rsidR="00A96EE5" w:rsidRPr="00497C12" w:rsidRDefault="00A96EE5" w:rsidP="00A96EE5">
            <w:pPr>
              <w:keepLines/>
              <w:spacing w:before="40" w:after="40" w:line="200" w:lineRule="atLeast"/>
              <w:rPr>
                <w:rFonts w:eastAsia="Times New Roman"/>
                <w:iCs/>
                <w:szCs w:val="17"/>
              </w:rPr>
            </w:pPr>
            <w:r w:rsidRPr="00453731">
              <w:rPr>
                <w:rFonts w:asciiTheme="minorHAnsi" w:eastAsia="Times New Roman" w:hAnsiTheme="minorHAnsi"/>
                <w:iCs/>
                <w:szCs w:val="17"/>
                <w:lang w:eastAsia="en-US"/>
              </w:rPr>
              <w:t>2019 –</w:t>
            </w:r>
            <w:r>
              <w:rPr>
                <w:rFonts w:asciiTheme="minorHAnsi" w:eastAsia="Times New Roman" w:hAnsiTheme="minorHAnsi"/>
                <w:iCs/>
                <w:szCs w:val="17"/>
                <w:lang w:eastAsia="en-US"/>
              </w:rPr>
              <w:t xml:space="preserve"> </w:t>
            </w:r>
            <w:r w:rsidRPr="00453731">
              <w:rPr>
                <w:rFonts w:asciiTheme="minorHAnsi" w:eastAsia="Times New Roman" w:hAnsiTheme="minorHAnsi"/>
                <w:iCs/>
                <w:szCs w:val="17"/>
                <w:lang w:eastAsia="en-US"/>
              </w:rPr>
              <w:t>2</w:t>
            </w:r>
            <w:r>
              <w:rPr>
                <w:rFonts w:asciiTheme="minorHAnsi" w:eastAsia="Times New Roman" w:hAnsiTheme="minorHAnsi"/>
                <w:iCs/>
                <w:szCs w:val="17"/>
                <w:lang w:eastAsia="en-US"/>
              </w:rPr>
              <w:t>2</w:t>
            </w:r>
          </w:p>
        </w:tc>
        <w:tc>
          <w:tcPr>
            <w:tcW w:w="741" w:type="pct"/>
          </w:tcPr>
          <w:p w14:paraId="4C0B611A" w14:textId="33E706AA" w:rsidR="00A96EE5" w:rsidRPr="00812509" w:rsidRDefault="00A96EE5" w:rsidP="00A96EE5">
            <w:pPr>
              <w:keepLines/>
              <w:spacing w:before="0" w:after="0" w:line="240" w:lineRule="auto"/>
              <w:rPr>
                <w:rFonts w:eastAsia="Times New Roman"/>
                <w:iCs/>
                <w:szCs w:val="17"/>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20</w:t>
            </w:r>
            <w:r w:rsidRPr="00812509">
              <w:rPr>
                <w:rFonts w:asciiTheme="minorHAnsi" w:eastAsia="Times New Roman" w:hAnsiTheme="minorHAnsi"/>
                <w:iCs/>
                <w:szCs w:val="17"/>
                <w:lang w:eastAsia="en-US"/>
              </w:rPr>
              <w:t xml:space="preserve"> AQC</w:t>
            </w:r>
          </w:p>
        </w:tc>
        <w:tc>
          <w:tcPr>
            <w:tcW w:w="380" w:type="pct"/>
            <w:shd w:val="clear" w:color="auto" w:fill="auto"/>
            <w:noWrap/>
          </w:tcPr>
          <w:p w14:paraId="6B98F397" w14:textId="06208F4E" w:rsidR="00A96EE5" w:rsidRPr="00AA00CC" w:rsidRDefault="00A96EE5" w:rsidP="00A96EE5">
            <w:pPr>
              <w:keepLines/>
              <w:spacing w:before="0" w:after="0" w:line="240" w:lineRule="auto"/>
              <w:jc w:val="center"/>
              <w:rPr>
                <w:rFonts w:asciiTheme="minorHAnsi" w:eastAsia="Times New Roman" w:hAnsiTheme="minorHAnsi" w:cstheme="minorHAnsi"/>
                <w:b w:val="0"/>
                <w:bCs/>
                <w:iCs/>
                <w:szCs w:val="17"/>
              </w:rPr>
            </w:pPr>
            <w:r w:rsidRPr="00AA00CC">
              <w:rPr>
                <w:rFonts w:asciiTheme="minorHAnsi" w:eastAsia="Times New Roman" w:hAnsiTheme="minorHAnsi" w:cstheme="minorHAnsi"/>
                <w:b w:val="0"/>
                <w:bCs/>
                <w:iCs/>
                <w:szCs w:val="17"/>
              </w:rPr>
              <w:t>4</w:t>
            </w:r>
          </w:p>
        </w:tc>
        <w:tc>
          <w:tcPr>
            <w:tcW w:w="380" w:type="pct"/>
            <w:shd w:val="clear" w:color="auto" w:fill="auto"/>
            <w:noWrap/>
          </w:tcPr>
          <w:p w14:paraId="65C5DD31" w14:textId="2A264D73" w:rsidR="00A96EE5" w:rsidRPr="00AA00CC" w:rsidRDefault="00A96EE5" w:rsidP="00A96EE5">
            <w:pPr>
              <w:keepLines/>
              <w:spacing w:before="0" w:after="0" w:line="240" w:lineRule="auto"/>
              <w:jc w:val="center"/>
              <w:rPr>
                <w:rFonts w:asciiTheme="minorHAnsi" w:eastAsia="Times New Roman" w:hAnsiTheme="minorHAnsi" w:cstheme="minorHAnsi"/>
                <w:b w:val="0"/>
                <w:bCs/>
                <w:iCs/>
                <w:szCs w:val="17"/>
              </w:rPr>
            </w:pPr>
            <w:r w:rsidRPr="00AA00CC">
              <w:rPr>
                <w:rFonts w:asciiTheme="minorHAnsi" w:eastAsia="Times New Roman" w:hAnsiTheme="minorHAnsi" w:cstheme="minorHAnsi"/>
                <w:b w:val="0"/>
                <w:bCs/>
                <w:iCs/>
                <w:szCs w:val="17"/>
              </w:rPr>
              <w:t>5</w:t>
            </w:r>
          </w:p>
        </w:tc>
        <w:tc>
          <w:tcPr>
            <w:tcW w:w="380" w:type="pct"/>
            <w:shd w:val="clear" w:color="auto" w:fill="auto"/>
            <w:noWrap/>
          </w:tcPr>
          <w:p w14:paraId="72C38C05" w14:textId="1A75EB67" w:rsidR="00A96EE5" w:rsidRPr="00AA00CC" w:rsidRDefault="00A96EE5" w:rsidP="00A96EE5">
            <w:pPr>
              <w:keepLines/>
              <w:spacing w:before="0" w:after="0" w:line="240" w:lineRule="auto"/>
              <w:jc w:val="center"/>
              <w:rPr>
                <w:rFonts w:asciiTheme="minorHAnsi" w:eastAsia="Times New Roman" w:hAnsiTheme="minorHAnsi" w:cstheme="minorHAnsi"/>
                <w:b w:val="0"/>
                <w:bCs/>
                <w:iCs/>
                <w:szCs w:val="17"/>
              </w:rPr>
            </w:pPr>
            <w:r w:rsidRPr="00AA00CC">
              <w:rPr>
                <w:rFonts w:asciiTheme="minorHAnsi" w:eastAsia="Times New Roman" w:hAnsiTheme="minorHAnsi" w:cstheme="minorHAnsi"/>
                <w:b w:val="0"/>
                <w:bCs/>
                <w:iCs/>
                <w:szCs w:val="17"/>
              </w:rPr>
              <w:t>4</w:t>
            </w:r>
          </w:p>
        </w:tc>
      </w:tr>
    </w:tbl>
    <w:p w14:paraId="666EE569" w14:textId="4763E195" w:rsidR="00D113A1" w:rsidRDefault="00D113A1" w:rsidP="001A642E">
      <w:pPr>
        <w:pStyle w:val="NoSpacing"/>
      </w:pPr>
    </w:p>
    <w:p w14:paraId="5DD1F54E" w14:textId="5ABCABEB" w:rsidR="00D113A1" w:rsidRDefault="00D113A1" w:rsidP="001A642E">
      <w:pPr>
        <w:pStyle w:val="NoSpacing"/>
      </w:pPr>
    </w:p>
    <w:p w14:paraId="5D148BDC" w14:textId="77777777" w:rsidR="001A642E" w:rsidRDefault="001A642E" w:rsidP="001A642E">
      <w:pPr>
        <w:pStyle w:val="NoSpacing"/>
        <w:rPr>
          <w:rFonts w:asciiTheme="majorHAnsi" w:eastAsiaTheme="majorEastAsia" w:hAnsiTheme="majorHAnsi" w:cstheme="majorBidi"/>
          <w:bCs/>
          <w:sz w:val="30"/>
          <w:szCs w:val="26"/>
        </w:rPr>
      </w:pPr>
      <w:r w:rsidRPr="00DA59FC">
        <w:rPr>
          <w:rFonts w:asciiTheme="majorHAnsi" w:eastAsiaTheme="majorEastAsia" w:hAnsiTheme="majorHAnsi" w:cstheme="majorBidi"/>
          <w:bCs/>
          <w:sz w:val="30"/>
          <w:szCs w:val="26"/>
        </w:rPr>
        <w:t xml:space="preserve">Final Investment Monitoring Report ratings </w:t>
      </w:r>
    </w:p>
    <w:p w14:paraId="784662E4" w14:textId="77777777" w:rsidR="001A642E" w:rsidRPr="006F53AF" w:rsidRDefault="001A642E" w:rsidP="001A642E">
      <w:pPr>
        <w:pStyle w:val="NoSpacing"/>
        <w:rPr>
          <w:rFonts w:asciiTheme="majorHAnsi" w:eastAsiaTheme="majorEastAsia" w:hAnsiTheme="majorHAnsi" w:cstheme="majorBidi"/>
          <w:bCs/>
          <w:sz w:val="10"/>
          <w:szCs w:val="10"/>
        </w:rPr>
      </w:pPr>
    </w:p>
    <w:tbl>
      <w:tblPr>
        <w:tblStyle w:val="APPR"/>
        <w:tblW w:w="5472" w:type="pct"/>
        <w:tblLook w:val="0020" w:firstRow="1" w:lastRow="0" w:firstColumn="0" w:lastColumn="0" w:noHBand="0" w:noVBand="0"/>
      </w:tblPr>
      <w:tblGrid>
        <w:gridCol w:w="4110"/>
        <w:gridCol w:w="1098"/>
        <w:gridCol w:w="623"/>
        <w:gridCol w:w="641"/>
        <w:gridCol w:w="628"/>
        <w:gridCol w:w="657"/>
        <w:gridCol w:w="718"/>
        <w:gridCol w:w="655"/>
        <w:gridCol w:w="712"/>
        <w:gridCol w:w="706"/>
      </w:tblGrid>
      <w:tr w:rsidR="001A642E" w:rsidRPr="00812509" w14:paraId="68D44150" w14:textId="77777777" w:rsidTr="00AD684B">
        <w:trPr>
          <w:cnfStyle w:val="100000000000" w:firstRow="1" w:lastRow="0" w:firstColumn="0" w:lastColumn="0" w:oddVBand="0" w:evenVBand="0" w:oddHBand="0" w:evenHBand="0" w:firstRowFirstColumn="0" w:firstRowLastColumn="0" w:lastRowFirstColumn="0" w:lastRowLastColumn="0"/>
          <w:trHeight w:val="1505"/>
        </w:trPr>
        <w:tc>
          <w:tcPr>
            <w:tcW w:w="1929" w:type="pct"/>
          </w:tcPr>
          <w:p w14:paraId="3F4CBB37"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59264" behindDoc="0" locked="0" layoutInCell="1" allowOverlap="1" wp14:anchorId="5C06D827" wp14:editId="166BBA7D">
                  <wp:simplePos x="0" y="0"/>
                  <wp:positionH relativeFrom="column">
                    <wp:posOffset>0</wp:posOffset>
                  </wp:positionH>
                  <wp:positionV relativeFrom="paragraph">
                    <wp:posOffset>0</wp:posOffset>
                  </wp:positionV>
                  <wp:extent cx="1857375" cy="228600"/>
                  <wp:effectExtent l="0" t="0" r="9525" b="0"/>
                  <wp:wrapNone/>
                  <wp:docPr id="50" name="Picture 50"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4957D4">
              <w:rPr>
                <w:rFonts w:asciiTheme="minorHAnsi" w:eastAsia="Times New Roman" w:hAnsiTheme="minorHAnsi"/>
                <w:iCs/>
                <w:szCs w:val="17"/>
                <w:lang w:eastAsia="en-US"/>
              </w:rPr>
              <w:t>Investment name</w:t>
            </w:r>
          </w:p>
        </w:tc>
        <w:tc>
          <w:tcPr>
            <w:tcW w:w="508" w:type="pct"/>
            <w:textDirection w:val="btLr"/>
          </w:tcPr>
          <w:p w14:paraId="7DB70684"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281" w:type="pct"/>
            <w:noWrap/>
            <w:textDirection w:val="btLr"/>
          </w:tcPr>
          <w:p w14:paraId="7181F87A"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 xml:space="preserve">Effectiveness </w:t>
            </w:r>
          </w:p>
        </w:tc>
        <w:tc>
          <w:tcPr>
            <w:tcW w:w="291" w:type="pct"/>
            <w:noWrap/>
            <w:textDirection w:val="btLr"/>
          </w:tcPr>
          <w:p w14:paraId="22264A59"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284" w:type="pct"/>
            <w:noWrap/>
            <w:textDirection w:val="btLr"/>
          </w:tcPr>
          <w:p w14:paraId="31FEECB5"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c>
          <w:tcPr>
            <w:tcW w:w="298" w:type="pct"/>
            <w:noWrap/>
            <w:textDirection w:val="btLr"/>
          </w:tcPr>
          <w:p w14:paraId="1BCBB452"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Relevance</w:t>
            </w:r>
          </w:p>
        </w:tc>
        <w:tc>
          <w:tcPr>
            <w:tcW w:w="327" w:type="pct"/>
            <w:noWrap/>
            <w:textDirection w:val="btLr"/>
          </w:tcPr>
          <w:p w14:paraId="70D17C16"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Monitoring and Evaluation</w:t>
            </w:r>
          </w:p>
        </w:tc>
        <w:tc>
          <w:tcPr>
            <w:tcW w:w="297" w:type="pct"/>
            <w:noWrap/>
            <w:textDirection w:val="btLr"/>
          </w:tcPr>
          <w:p w14:paraId="2F925114"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Sustainability</w:t>
            </w:r>
          </w:p>
        </w:tc>
        <w:tc>
          <w:tcPr>
            <w:tcW w:w="324" w:type="pct"/>
            <w:textDirection w:val="btLr"/>
          </w:tcPr>
          <w:p w14:paraId="1B3D3420"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p>
        </w:tc>
        <w:tc>
          <w:tcPr>
            <w:tcW w:w="315" w:type="pct"/>
            <w:textDirection w:val="btLr"/>
          </w:tcPr>
          <w:p w14:paraId="16056A86" w14:textId="77777777" w:rsidR="001A642E" w:rsidRPr="00812509" w:rsidRDefault="001A642E" w:rsidP="00BD3797">
            <w:pPr>
              <w:keepLines/>
              <w:spacing w:before="80" w:after="80" w:line="200" w:lineRule="atLeast"/>
              <w:rPr>
                <w:rFonts w:asciiTheme="minorHAnsi" w:eastAsia="Times New Roman" w:hAnsiTheme="minorHAnsi"/>
                <w:b w:val="0"/>
                <w:iCs/>
                <w:szCs w:val="17"/>
                <w:lang w:eastAsia="en-US"/>
              </w:rPr>
            </w:pPr>
          </w:p>
        </w:tc>
      </w:tr>
      <w:tr w:rsidR="001A642E" w:rsidRPr="00812509" w14:paraId="647B6C37" w14:textId="77777777" w:rsidTr="00AD684B">
        <w:trPr>
          <w:cnfStyle w:val="100000000000" w:firstRow="1" w:lastRow="0" w:firstColumn="0" w:lastColumn="0" w:oddVBand="0" w:evenVBand="0" w:oddHBand="0" w:evenHBand="0" w:firstRowFirstColumn="0" w:firstRowLastColumn="0" w:lastRowFirstColumn="0" w:lastRowLastColumn="0"/>
          <w:trHeight w:val="284"/>
        </w:trPr>
        <w:tc>
          <w:tcPr>
            <w:tcW w:w="1929" w:type="pct"/>
            <w:tcBorders>
              <w:top w:val="single" w:sz="2" w:space="0" w:color="65C5B4" w:themeColor="accent1"/>
              <w:bottom w:val="single" w:sz="2" w:space="0" w:color="65C5B4" w:themeColor="accent1"/>
            </w:tcBorders>
          </w:tcPr>
          <w:p w14:paraId="31DA8177" w14:textId="77777777" w:rsidR="001A642E" w:rsidRPr="00812509" w:rsidRDefault="001A642E" w:rsidP="00BD3797">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Tropical Cyclone Pam Recovery Package</w:t>
            </w:r>
          </w:p>
        </w:tc>
        <w:tc>
          <w:tcPr>
            <w:tcW w:w="508" w:type="pct"/>
            <w:tcBorders>
              <w:top w:val="single" w:sz="2" w:space="0" w:color="65C5B4" w:themeColor="accent1"/>
              <w:bottom w:val="single" w:sz="2" w:space="0" w:color="65C5B4" w:themeColor="accent1"/>
            </w:tcBorders>
          </w:tcPr>
          <w:p w14:paraId="26A57F2F" w14:textId="77777777" w:rsidR="001A642E" w:rsidRPr="00F8021A" w:rsidRDefault="001A642E" w:rsidP="00833CFD">
            <w:pPr>
              <w:autoSpaceDE w:val="0"/>
              <w:autoSpaceDN w:val="0"/>
              <w:adjustRightInd w:val="0"/>
              <w:spacing w:before="0" w:after="0" w:line="240" w:lineRule="auto"/>
              <w:rPr>
                <w:rFonts w:asciiTheme="minorHAnsi" w:eastAsia="Times New Roman" w:hAnsiTheme="minorHAnsi"/>
                <w:iCs/>
                <w:szCs w:val="17"/>
                <w:lang w:eastAsia="en-US"/>
              </w:rPr>
            </w:pPr>
            <w:r w:rsidRPr="00F8021A">
              <w:rPr>
                <w:rFonts w:asciiTheme="minorHAnsi" w:eastAsia="Times New Roman" w:hAnsiTheme="minorHAnsi"/>
                <w:iCs/>
                <w:szCs w:val="17"/>
                <w:lang w:eastAsia="en-US"/>
              </w:rPr>
              <w:t>$</w:t>
            </w:r>
            <w:r>
              <w:rPr>
                <w:rFonts w:asciiTheme="minorHAnsi" w:eastAsia="Times New Roman" w:hAnsiTheme="minorHAnsi"/>
                <w:iCs/>
                <w:szCs w:val="17"/>
                <w:lang w:eastAsia="en-US"/>
              </w:rPr>
              <w:t>42</w:t>
            </w:r>
            <w:r w:rsidRPr="00F8021A">
              <w:rPr>
                <w:rFonts w:asciiTheme="minorHAnsi" w:eastAsia="Times New Roman" w:hAnsiTheme="minorHAnsi"/>
                <w:iCs/>
                <w:szCs w:val="17"/>
                <w:lang w:eastAsia="en-US"/>
              </w:rPr>
              <w:t xml:space="preserve">m </w:t>
            </w:r>
          </w:p>
          <w:p w14:paraId="360CF675" w14:textId="77777777" w:rsidR="001A642E" w:rsidRPr="00812509" w:rsidRDefault="001A642E" w:rsidP="00833CFD">
            <w:pPr>
              <w:keepLines/>
              <w:spacing w:before="0" w:after="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14 – 20</w:t>
            </w:r>
          </w:p>
        </w:tc>
        <w:tc>
          <w:tcPr>
            <w:tcW w:w="281" w:type="pct"/>
            <w:tcBorders>
              <w:top w:val="single" w:sz="2" w:space="0" w:color="65C5B4" w:themeColor="accent1"/>
              <w:bottom w:val="single" w:sz="2" w:space="0" w:color="65C5B4" w:themeColor="accent1"/>
            </w:tcBorders>
            <w:shd w:val="clear" w:color="auto" w:fill="auto"/>
            <w:noWrap/>
          </w:tcPr>
          <w:p w14:paraId="2A57ABD0"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c>
          <w:tcPr>
            <w:tcW w:w="291" w:type="pct"/>
            <w:tcBorders>
              <w:top w:val="single" w:sz="2" w:space="0" w:color="65C5B4" w:themeColor="accent1"/>
              <w:bottom w:val="single" w:sz="2" w:space="0" w:color="65C5B4" w:themeColor="accent1"/>
            </w:tcBorders>
            <w:shd w:val="clear" w:color="auto" w:fill="auto"/>
            <w:noWrap/>
          </w:tcPr>
          <w:p w14:paraId="00672515"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c>
          <w:tcPr>
            <w:tcW w:w="284" w:type="pct"/>
            <w:tcBorders>
              <w:top w:val="single" w:sz="2" w:space="0" w:color="65C5B4" w:themeColor="accent1"/>
              <w:bottom w:val="single" w:sz="2" w:space="0" w:color="65C5B4" w:themeColor="accent1"/>
            </w:tcBorders>
            <w:shd w:val="clear" w:color="auto" w:fill="auto"/>
            <w:noWrap/>
          </w:tcPr>
          <w:p w14:paraId="100633EE"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3</w:t>
            </w:r>
          </w:p>
        </w:tc>
        <w:tc>
          <w:tcPr>
            <w:tcW w:w="298" w:type="pct"/>
            <w:tcBorders>
              <w:top w:val="single" w:sz="2" w:space="0" w:color="65C5B4" w:themeColor="accent1"/>
              <w:bottom w:val="single" w:sz="2" w:space="0" w:color="65C5B4" w:themeColor="accent1"/>
            </w:tcBorders>
            <w:shd w:val="clear" w:color="auto" w:fill="auto"/>
            <w:noWrap/>
          </w:tcPr>
          <w:p w14:paraId="5902E5C3"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5</w:t>
            </w:r>
          </w:p>
        </w:tc>
        <w:tc>
          <w:tcPr>
            <w:tcW w:w="327" w:type="pct"/>
            <w:tcBorders>
              <w:top w:val="single" w:sz="2" w:space="0" w:color="65C5B4" w:themeColor="accent1"/>
              <w:bottom w:val="single" w:sz="2" w:space="0" w:color="65C5B4" w:themeColor="accent1"/>
            </w:tcBorders>
            <w:shd w:val="clear" w:color="auto" w:fill="auto"/>
            <w:noWrap/>
          </w:tcPr>
          <w:p w14:paraId="5F3549CD"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c>
          <w:tcPr>
            <w:tcW w:w="297" w:type="pct"/>
            <w:tcBorders>
              <w:top w:val="single" w:sz="2" w:space="0" w:color="65C5B4" w:themeColor="accent1"/>
              <w:bottom w:val="single" w:sz="2" w:space="0" w:color="65C5B4" w:themeColor="accent1"/>
            </w:tcBorders>
            <w:shd w:val="clear" w:color="auto" w:fill="auto"/>
            <w:noWrap/>
          </w:tcPr>
          <w:p w14:paraId="1A5D3955" w14:textId="77777777" w:rsidR="001A642E" w:rsidRPr="00B927C4" w:rsidRDefault="001A642E" w:rsidP="00BD3797">
            <w:pPr>
              <w:keepLines/>
              <w:spacing w:before="40" w:after="40" w:line="200" w:lineRule="atLeast"/>
              <w:jc w:val="center"/>
              <w:rPr>
                <w:rFonts w:asciiTheme="minorHAnsi" w:eastAsia="Times New Roman" w:hAnsiTheme="minorHAnsi"/>
                <w:iCs/>
                <w:color w:val="auto"/>
                <w:szCs w:val="17"/>
                <w:lang w:eastAsia="en-US"/>
              </w:rPr>
            </w:pPr>
            <w:r>
              <w:rPr>
                <w:rFonts w:asciiTheme="minorHAnsi" w:eastAsia="Times New Roman" w:hAnsiTheme="minorHAnsi"/>
                <w:iCs/>
                <w:color w:val="auto"/>
                <w:szCs w:val="17"/>
                <w:lang w:eastAsia="en-US"/>
              </w:rPr>
              <w:t>4</w:t>
            </w:r>
          </w:p>
        </w:tc>
        <w:tc>
          <w:tcPr>
            <w:tcW w:w="324" w:type="pct"/>
            <w:tcBorders>
              <w:top w:val="single" w:sz="2" w:space="0" w:color="65C5B4" w:themeColor="accent1"/>
              <w:bottom w:val="single" w:sz="2" w:space="0" w:color="65C5B4" w:themeColor="accent1"/>
            </w:tcBorders>
            <w:shd w:val="clear" w:color="auto" w:fill="auto"/>
          </w:tcPr>
          <w:p w14:paraId="056D2F06" w14:textId="77777777" w:rsidR="001A642E" w:rsidRPr="00812509" w:rsidRDefault="001A642E" w:rsidP="00BD3797">
            <w:pPr>
              <w:keepLines/>
              <w:spacing w:before="40" w:after="40" w:line="200" w:lineRule="atLeast"/>
              <w:jc w:val="center"/>
              <w:rPr>
                <w:rFonts w:asciiTheme="minorHAnsi" w:eastAsia="Times New Roman" w:hAnsiTheme="minorHAnsi"/>
                <w:iCs/>
                <w:szCs w:val="17"/>
                <w:lang w:eastAsia="en-US"/>
              </w:rPr>
            </w:pPr>
          </w:p>
        </w:tc>
        <w:tc>
          <w:tcPr>
            <w:tcW w:w="315" w:type="pct"/>
            <w:shd w:val="clear" w:color="auto" w:fill="auto"/>
          </w:tcPr>
          <w:p w14:paraId="48B1B50C" w14:textId="77777777" w:rsidR="001A642E" w:rsidRPr="00812509" w:rsidRDefault="001A642E" w:rsidP="00BD3797">
            <w:pPr>
              <w:keepLines/>
              <w:spacing w:before="40" w:after="40" w:line="200" w:lineRule="atLeast"/>
              <w:jc w:val="center"/>
              <w:rPr>
                <w:rFonts w:asciiTheme="minorHAnsi" w:eastAsia="Times New Roman" w:hAnsiTheme="minorHAnsi"/>
                <w:iCs/>
                <w:szCs w:val="17"/>
                <w:lang w:eastAsia="en-US"/>
              </w:rPr>
            </w:pPr>
          </w:p>
        </w:tc>
      </w:tr>
      <w:tr w:rsidR="001A642E" w:rsidRPr="00812509" w14:paraId="71BD8C29" w14:textId="77777777" w:rsidTr="00AD684B">
        <w:trPr>
          <w:cnfStyle w:val="100000000000" w:firstRow="1" w:lastRow="0" w:firstColumn="0" w:lastColumn="0" w:oddVBand="0" w:evenVBand="0" w:oddHBand="0" w:evenHBand="0" w:firstRowFirstColumn="0" w:firstRowLastColumn="0" w:lastRowFirstColumn="0" w:lastRowLastColumn="0"/>
          <w:trHeight w:val="284"/>
        </w:trPr>
        <w:tc>
          <w:tcPr>
            <w:tcW w:w="1929" w:type="pct"/>
          </w:tcPr>
          <w:p w14:paraId="6DF37888" w14:textId="77777777" w:rsidR="001A642E" w:rsidRDefault="001A642E" w:rsidP="00BD3797">
            <w:pPr>
              <w:keepLines/>
              <w:spacing w:before="40" w:after="40" w:line="200" w:lineRule="atLeast"/>
              <w:rPr>
                <w:rFonts w:eastAsia="Times New Roman"/>
                <w:iCs/>
                <w:szCs w:val="17"/>
              </w:rPr>
            </w:pPr>
            <w:r>
              <w:rPr>
                <w:rFonts w:asciiTheme="minorHAnsi" w:eastAsia="Times New Roman" w:hAnsiTheme="minorHAnsi"/>
                <w:iCs/>
                <w:szCs w:val="17"/>
                <w:lang w:eastAsia="en-US"/>
              </w:rPr>
              <w:t>Vanuatu Health Sector Support 2010 – 2019</w:t>
            </w:r>
          </w:p>
        </w:tc>
        <w:tc>
          <w:tcPr>
            <w:tcW w:w="508" w:type="pct"/>
          </w:tcPr>
          <w:p w14:paraId="3063F198" w14:textId="77777777" w:rsidR="001A642E" w:rsidRPr="00F8021A" w:rsidRDefault="001A642E" w:rsidP="00833CFD">
            <w:pPr>
              <w:autoSpaceDE w:val="0"/>
              <w:autoSpaceDN w:val="0"/>
              <w:adjustRightInd w:val="0"/>
              <w:spacing w:before="0" w:after="0" w:line="240" w:lineRule="auto"/>
              <w:rPr>
                <w:rFonts w:asciiTheme="minorHAnsi" w:eastAsia="Times New Roman" w:hAnsiTheme="minorHAnsi"/>
                <w:iCs/>
                <w:szCs w:val="17"/>
                <w:lang w:eastAsia="en-US"/>
              </w:rPr>
            </w:pPr>
            <w:r w:rsidRPr="00F8021A">
              <w:rPr>
                <w:rFonts w:asciiTheme="minorHAnsi" w:eastAsia="Times New Roman" w:hAnsiTheme="minorHAnsi"/>
                <w:iCs/>
                <w:szCs w:val="17"/>
                <w:lang w:eastAsia="en-US"/>
              </w:rPr>
              <w:t xml:space="preserve">$47.3m </w:t>
            </w:r>
          </w:p>
          <w:p w14:paraId="0538152F" w14:textId="77777777" w:rsidR="001A642E" w:rsidRPr="00F8021A" w:rsidRDefault="001A642E" w:rsidP="00833CFD">
            <w:pPr>
              <w:autoSpaceDE w:val="0"/>
              <w:autoSpaceDN w:val="0"/>
              <w:adjustRightInd w:val="0"/>
              <w:spacing w:before="0" w:after="0" w:line="240" w:lineRule="auto"/>
              <w:rPr>
                <w:rFonts w:eastAsia="Times New Roman"/>
                <w:iCs/>
                <w:szCs w:val="17"/>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0 – 20</w:t>
            </w:r>
          </w:p>
        </w:tc>
        <w:tc>
          <w:tcPr>
            <w:tcW w:w="281" w:type="pct"/>
            <w:shd w:val="clear" w:color="auto" w:fill="auto"/>
            <w:noWrap/>
          </w:tcPr>
          <w:p w14:paraId="5391720E"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3</w:t>
            </w:r>
          </w:p>
        </w:tc>
        <w:tc>
          <w:tcPr>
            <w:tcW w:w="291" w:type="pct"/>
            <w:shd w:val="clear" w:color="auto" w:fill="auto"/>
            <w:noWrap/>
          </w:tcPr>
          <w:p w14:paraId="0DD175F4"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4</w:t>
            </w:r>
          </w:p>
        </w:tc>
        <w:tc>
          <w:tcPr>
            <w:tcW w:w="284" w:type="pct"/>
            <w:shd w:val="clear" w:color="auto" w:fill="auto"/>
            <w:noWrap/>
          </w:tcPr>
          <w:p w14:paraId="37A6D693"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2</w:t>
            </w:r>
          </w:p>
        </w:tc>
        <w:tc>
          <w:tcPr>
            <w:tcW w:w="298" w:type="pct"/>
            <w:shd w:val="clear" w:color="auto" w:fill="auto"/>
            <w:noWrap/>
          </w:tcPr>
          <w:p w14:paraId="1682A371"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5</w:t>
            </w:r>
          </w:p>
        </w:tc>
        <w:tc>
          <w:tcPr>
            <w:tcW w:w="327" w:type="pct"/>
            <w:shd w:val="clear" w:color="auto" w:fill="auto"/>
            <w:noWrap/>
          </w:tcPr>
          <w:p w14:paraId="2CC4D7F4"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2</w:t>
            </w:r>
          </w:p>
        </w:tc>
        <w:tc>
          <w:tcPr>
            <w:tcW w:w="297" w:type="pct"/>
            <w:shd w:val="clear" w:color="auto" w:fill="auto"/>
            <w:noWrap/>
          </w:tcPr>
          <w:p w14:paraId="169D846F" w14:textId="77777777" w:rsidR="001A642E" w:rsidRDefault="001A642E" w:rsidP="00BD3797">
            <w:pPr>
              <w:keepLines/>
              <w:spacing w:before="40" w:after="40" w:line="200" w:lineRule="atLeast"/>
              <w:jc w:val="center"/>
              <w:rPr>
                <w:rFonts w:eastAsia="Times New Roman"/>
                <w:iCs/>
                <w:color w:val="auto"/>
                <w:szCs w:val="17"/>
              </w:rPr>
            </w:pPr>
            <w:r>
              <w:rPr>
                <w:rFonts w:asciiTheme="minorHAnsi" w:eastAsia="Times New Roman" w:hAnsiTheme="minorHAnsi"/>
                <w:iCs/>
                <w:color w:val="auto"/>
                <w:szCs w:val="17"/>
                <w:lang w:eastAsia="en-US"/>
              </w:rPr>
              <w:t>3</w:t>
            </w:r>
          </w:p>
        </w:tc>
        <w:tc>
          <w:tcPr>
            <w:tcW w:w="324" w:type="pct"/>
            <w:shd w:val="clear" w:color="auto" w:fill="auto"/>
          </w:tcPr>
          <w:p w14:paraId="33EE532B" w14:textId="77777777" w:rsidR="001A642E" w:rsidRPr="00812509" w:rsidRDefault="001A642E" w:rsidP="00BD3797">
            <w:pPr>
              <w:keepLines/>
              <w:spacing w:before="40" w:after="40" w:line="200" w:lineRule="atLeast"/>
              <w:jc w:val="center"/>
              <w:rPr>
                <w:rFonts w:eastAsia="Times New Roman"/>
                <w:iCs/>
                <w:szCs w:val="17"/>
              </w:rPr>
            </w:pPr>
          </w:p>
        </w:tc>
        <w:tc>
          <w:tcPr>
            <w:tcW w:w="315" w:type="pct"/>
            <w:shd w:val="clear" w:color="auto" w:fill="auto"/>
          </w:tcPr>
          <w:p w14:paraId="58F95EFA" w14:textId="77777777" w:rsidR="001A642E" w:rsidRPr="00812509" w:rsidRDefault="001A642E" w:rsidP="00BD3797">
            <w:pPr>
              <w:keepLines/>
              <w:spacing w:before="40" w:after="40" w:line="200" w:lineRule="atLeast"/>
              <w:jc w:val="center"/>
              <w:rPr>
                <w:rFonts w:eastAsia="Times New Roman"/>
                <w:iCs/>
                <w:szCs w:val="17"/>
              </w:rPr>
            </w:pPr>
          </w:p>
        </w:tc>
      </w:tr>
    </w:tbl>
    <w:p w14:paraId="0FB6FDF4" w14:textId="77777777" w:rsidR="001A642E" w:rsidRPr="001A642E" w:rsidRDefault="001A642E" w:rsidP="001A642E">
      <w:pPr>
        <w:spacing w:before="20" w:after="20" w:line="180" w:lineRule="atLeast"/>
        <w:jc w:val="both"/>
        <w:rPr>
          <w:rFonts w:eastAsia="Times New Roman"/>
          <w:b/>
          <w:sz w:val="10"/>
          <w:szCs w:val="10"/>
        </w:rPr>
      </w:pPr>
    </w:p>
    <w:p w14:paraId="7A393342" w14:textId="77777777" w:rsidR="001A642E" w:rsidRPr="00812509" w:rsidRDefault="001A642E" w:rsidP="001A642E">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7F705EF6" w14:textId="77777777" w:rsidR="001A642E" w:rsidRPr="00B927C4" w:rsidRDefault="001A642E" w:rsidP="001A642E">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14F80A77" w14:textId="77777777" w:rsidR="001A642E" w:rsidRPr="00812509" w:rsidRDefault="001A642E" w:rsidP="001A642E">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0AB63DE4" w14:textId="77777777" w:rsidR="001A642E" w:rsidRPr="00812509" w:rsidRDefault="001A642E" w:rsidP="001A642E">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0C711252" w14:textId="77777777" w:rsidR="001A642E" w:rsidRPr="00B927C4" w:rsidRDefault="001A642E" w:rsidP="001A642E">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68D899FF" w14:textId="77777777" w:rsidR="001A642E" w:rsidRPr="00812509" w:rsidRDefault="001A642E" w:rsidP="001A642E">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5898AD0B" w14:textId="77777777" w:rsidR="00390828" w:rsidRPr="00812509" w:rsidRDefault="001A642E" w:rsidP="001A642E">
      <w:pPr>
        <w:spacing w:before="20" w:after="20" w:line="180" w:lineRule="atLeast"/>
        <w:rPr>
          <w:sz w:val="24"/>
        </w:rPr>
      </w:pPr>
      <w:r w:rsidRPr="00812509">
        <w:rPr>
          <w:rFonts w:eastAsia="Times New Roman"/>
          <w:b/>
          <w:sz w:val="16"/>
          <w:szCs w:val="14"/>
        </w:rPr>
        <w:t xml:space="preserve"> 2 = Poor; does not satisfy criteria in major areas.  1 = Very poor; does not satisfy criteria in many major area.</w:t>
      </w:r>
    </w:p>
    <w:sectPr w:rsidR="00390828" w:rsidRPr="00812509"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B1EAB04" w14:textId="77777777" w:rsidR="00C81C1F" w:rsidRDefault="00C81C1F" w:rsidP="00D37B04">
      <w:r>
        <w:separator/>
      </w:r>
    </w:p>
  </w:endnote>
  <w:endnote w:type="continuationSeparator" w:id="0">
    <w:p w14:paraId="6BFF625F" w14:textId="77777777" w:rsidR="00C81C1F" w:rsidRDefault="00C81C1F" w:rsidP="00D37B04">
      <w:r>
        <w:continuationSeparator/>
      </w:r>
    </w:p>
  </w:endnote>
  <w:endnote w:id="1">
    <w:p w14:paraId="0C51E035" w14:textId="77777777" w:rsidR="004D7A2A" w:rsidRPr="00895E7E" w:rsidRDefault="004D7A2A" w:rsidP="00B14CB2">
      <w:pPr>
        <w:pStyle w:val="EndnoteText"/>
        <w:rPr>
          <w:sz w:val="18"/>
          <w:szCs w:val="18"/>
          <w:lang w:val="en-AU"/>
        </w:rPr>
      </w:pPr>
      <w:r>
        <w:rPr>
          <w:rStyle w:val="EndnoteReference"/>
        </w:rPr>
        <w:endnoteRef/>
      </w:r>
      <w:r>
        <w:t xml:space="preserve"> </w:t>
      </w:r>
      <w:r w:rsidRPr="00895E7E">
        <w:rPr>
          <w:sz w:val="18"/>
          <w:szCs w:val="18"/>
          <w:lang w:val="en-AU"/>
        </w:rPr>
        <w:t>Due to COVID-19 related international border closures impacting some economic measures and also a lack of, or delay in releasing data, the following indicators have not been reported on here:</w:t>
      </w:r>
    </w:p>
    <w:p w14:paraId="3C131643" w14:textId="77777777" w:rsidR="004D7A2A" w:rsidRPr="00895E7E" w:rsidRDefault="004D7A2A" w:rsidP="00B14CB2">
      <w:pPr>
        <w:pStyle w:val="EndnoteText"/>
        <w:numPr>
          <w:ilvl w:val="0"/>
          <w:numId w:val="48"/>
        </w:numPr>
        <w:rPr>
          <w:sz w:val="18"/>
          <w:szCs w:val="18"/>
          <w:lang w:val="en-AU"/>
        </w:rPr>
      </w:pPr>
      <w:r w:rsidRPr="00895E7E">
        <w:rPr>
          <w:sz w:val="18"/>
          <w:szCs w:val="18"/>
          <w:lang w:val="en-AU"/>
        </w:rPr>
        <w:t>Annual change in VAT revenue (%) – Target 7%</w:t>
      </w:r>
    </w:p>
    <w:p w14:paraId="4349ED58" w14:textId="77777777" w:rsidR="004D7A2A" w:rsidRPr="00895E7E" w:rsidRDefault="004D7A2A" w:rsidP="00B14CB2">
      <w:pPr>
        <w:pStyle w:val="EndnoteText"/>
        <w:numPr>
          <w:ilvl w:val="0"/>
          <w:numId w:val="48"/>
        </w:numPr>
        <w:rPr>
          <w:sz w:val="18"/>
          <w:szCs w:val="18"/>
          <w:lang w:val="en-AU"/>
        </w:rPr>
      </w:pPr>
      <w:r w:rsidRPr="00895E7E">
        <w:rPr>
          <w:sz w:val="18"/>
          <w:szCs w:val="18"/>
          <w:lang w:val="en-AU"/>
        </w:rPr>
        <w:t>Financial flows through Financial Service Bureaux (VUV) – Target VUV700m</w:t>
      </w:r>
    </w:p>
    <w:p w14:paraId="06231D1E" w14:textId="77777777" w:rsidR="004D7A2A" w:rsidRPr="00895E7E" w:rsidRDefault="004D7A2A" w:rsidP="004D7A2A">
      <w:pPr>
        <w:pStyle w:val="EndnoteText"/>
        <w:numPr>
          <w:ilvl w:val="0"/>
          <w:numId w:val="48"/>
        </w:numPr>
        <w:rPr>
          <w:sz w:val="18"/>
          <w:szCs w:val="18"/>
          <w:lang w:val="en-AU"/>
        </w:rPr>
      </w:pPr>
      <w:r w:rsidRPr="00895E7E">
        <w:rPr>
          <w:sz w:val="18"/>
          <w:szCs w:val="18"/>
          <w:lang w:val="en-AU"/>
        </w:rPr>
        <w:t xml:space="preserve">World Bank Country Policy and Institutional Assessment (CPIA) rating for budget and financial management – Target CPIA rating of 3.5 </w:t>
      </w:r>
    </w:p>
    <w:p w14:paraId="0C20BAB4" w14:textId="77777777" w:rsidR="004D7A2A" w:rsidRPr="00895E7E" w:rsidRDefault="004D7A2A" w:rsidP="00B14CB2">
      <w:pPr>
        <w:pStyle w:val="EndnoteText"/>
        <w:numPr>
          <w:ilvl w:val="0"/>
          <w:numId w:val="48"/>
        </w:numPr>
        <w:rPr>
          <w:sz w:val="18"/>
          <w:szCs w:val="18"/>
          <w:lang w:val="en-AU"/>
        </w:rPr>
      </w:pPr>
      <w:r w:rsidRPr="00895E7E">
        <w:rPr>
          <w:sz w:val="18"/>
          <w:szCs w:val="18"/>
          <w:lang w:val="en-AU"/>
        </w:rPr>
        <w:t>Number of Australian tourists travelling to Vanuatu – Target 65,000</w:t>
      </w:r>
    </w:p>
  </w:endnote>
  <w:endnote w:id="2">
    <w:p w14:paraId="6E176207"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RAI is percentage of population living within 2 km (20min walk) of an all-year-round road connecting with that areas’ economic and services hub. RAI is measured every 5 years (2012, 2017, 2020 (74% target), 2025 (78% target) &amp; 2030 (82% target) </w:t>
      </w:r>
    </w:p>
  </w:endnote>
  <w:endnote w:id="3">
    <w:p w14:paraId="7C22A153"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Utilising visa statistics from the Department of Home Affairs</w:t>
      </w:r>
    </w:p>
  </w:endnote>
  <w:endnote w:id="4">
    <w:p w14:paraId="3DDB789F"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1555km of combined rural and urban roads maintained or rehabilitated over 2019 – 2020</w:t>
      </w:r>
    </w:p>
  </w:endnote>
  <w:endnote w:id="5">
    <w:p w14:paraId="20766295"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Island Based Contractors are now known as Small Scale Contractors (SSC)</w:t>
      </w:r>
    </w:p>
  </w:endnote>
  <w:endnote w:id="6">
    <w:p w14:paraId="529C66BD"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Following suspension of the Pacific labour schemes in March 2020, the Australian Government announced new visa measures to enable Pacific labour mobility workers to remain in Australia for </w:t>
      </w:r>
      <w:r w:rsidRPr="00E84F3D">
        <w:rPr>
          <w:sz w:val="18"/>
          <w:szCs w:val="18"/>
        </w:rPr>
        <w:t>up to 12 months. As at 7 September, more than 2,400 ni-Vanuatu workers have been redeployed, ensuring they continue to earn income and can support their families and communities</w:t>
      </w:r>
      <w:r w:rsidRPr="00E84F3D">
        <w:rPr>
          <w:color w:val="595959" w:themeColor="text1" w:themeTint="A6"/>
          <w:sz w:val="18"/>
          <w:szCs w:val="18"/>
        </w:rPr>
        <w:t xml:space="preserve"> back home </w:t>
      </w:r>
      <w:r w:rsidRPr="00895E7E">
        <w:rPr>
          <w:sz w:val="18"/>
          <w:szCs w:val="18"/>
        </w:rPr>
        <w:t xml:space="preserve">via remittances. Ni-Vanuatu comprise the largest cohort of Pacific labour mobility workers in Australia  </w:t>
      </w:r>
    </w:p>
  </w:endnote>
  <w:endnote w:id="7">
    <w:p w14:paraId="6F690CB4"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 xml:space="preserve">Figures from January – June 2020 are currently not available, but COVID-19 related social distancing requirement and Tropical Cyclone Harold both reduced the number of training courses that were held during this time.  </w:t>
      </w:r>
    </w:p>
  </w:endnote>
  <w:endnote w:id="8">
    <w:p w14:paraId="3B71EBC1" w14:textId="77777777" w:rsidR="00BD3797" w:rsidRPr="00895E7E" w:rsidRDefault="00BD3797" w:rsidP="00B14CB2">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Due to a need to refocus health activities following the outbreak of COVID-19, and also a lack of or delay in releasing data, the following indicators have not been reported on here:</w:t>
      </w:r>
    </w:p>
    <w:p w14:paraId="1C6E281A" w14:textId="77777777" w:rsidR="00BD3797" w:rsidRPr="00895E7E" w:rsidRDefault="00BD3797" w:rsidP="00B14CB2">
      <w:pPr>
        <w:pStyle w:val="EndnoteText"/>
        <w:numPr>
          <w:ilvl w:val="0"/>
          <w:numId w:val="49"/>
        </w:numPr>
        <w:rPr>
          <w:sz w:val="18"/>
          <w:szCs w:val="18"/>
          <w:lang w:val="en-AU"/>
        </w:rPr>
      </w:pPr>
      <w:r w:rsidRPr="00895E7E">
        <w:rPr>
          <w:sz w:val="18"/>
          <w:szCs w:val="18"/>
          <w:lang w:val="en-AU"/>
        </w:rPr>
        <w:t>Proportion of children (0 – 5yrs) with full routine immunisation (%) – Target TBC</w:t>
      </w:r>
    </w:p>
    <w:p w14:paraId="490530E1" w14:textId="77777777" w:rsidR="00BD3797" w:rsidRPr="00895E7E" w:rsidRDefault="00BD3797" w:rsidP="00B14CB2">
      <w:pPr>
        <w:pStyle w:val="EndnoteText"/>
        <w:numPr>
          <w:ilvl w:val="0"/>
          <w:numId w:val="49"/>
        </w:numPr>
        <w:rPr>
          <w:sz w:val="18"/>
          <w:szCs w:val="18"/>
          <w:lang w:val="en-AU"/>
        </w:rPr>
      </w:pPr>
      <w:r w:rsidRPr="00895E7E">
        <w:rPr>
          <w:sz w:val="18"/>
          <w:szCs w:val="18"/>
          <w:lang w:val="en-AU"/>
        </w:rPr>
        <w:t>Maternal mortality ratio (/10,000) – Target 5</w:t>
      </w:r>
    </w:p>
  </w:endnote>
  <w:endnote w:id="9">
    <w:p w14:paraId="673113DC" w14:textId="77777777" w:rsidR="00BD3797" w:rsidRPr="00895E7E" w:rsidRDefault="00BD3797" w:rsidP="00BD3797">
      <w:pPr>
        <w:pStyle w:val="EndnoteText"/>
        <w:rPr>
          <w:sz w:val="18"/>
          <w:szCs w:val="18"/>
          <w:lang w:val="en-AU"/>
        </w:rPr>
      </w:pPr>
      <w:r w:rsidRPr="00895E7E">
        <w:rPr>
          <w:rStyle w:val="EndnoteReference"/>
          <w:sz w:val="18"/>
          <w:szCs w:val="18"/>
        </w:rPr>
        <w:endnoteRef/>
      </w:r>
      <w:r w:rsidRPr="00895E7E">
        <w:rPr>
          <w:sz w:val="18"/>
          <w:szCs w:val="18"/>
        </w:rPr>
        <w:t xml:space="preserve"> Vanuatu Standardised Test of Achievement baseline for 2017 - Year 4 English Literacy 65%; Year 4 French Literacy 64%; Year 4 Numeracy - 85%</w:t>
      </w:r>
    </w:p>
  </w:endnote>
  <w:endnote w:id="10">
    <w:p w14:paraId="1A05F881"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Schools assessed were all </w:t>
      </w:r>
      <w:r w:rsidRPr="00895E7E">
        <w:rPr>
          <w:sz w:val="18"/>
          <w:szCs w:val="18"/>
          <w:lang w:val="en-AU"/>
        </w:rPr>
        <w:t>Early Childhood Care and Education (ECCE) centres as this sector is where the majority of Australia’s education grant funding is utilised</w:t>
      </w:r>
    </w:p>
  </w:endnote>
  <w:endnote w:id="11">
    <w:p w14:paraId="60D3BCE1" w14:textId="77777777" w:rsidR="00BD3797" w:rsidRPr="00895E7E" w:rsidRDefault="00BD3797" w:rsidP="00BD3797">
      <w:pPr>
        <w:pStyle w:val="EndnoteText"/>
        <w:rPr>
          <w:sz w:val="18"/>
          <w:szCs w:val="18"/>
          <w:lang w:val="en-AU"/>
        </w:rPr>
      </w:pPr>
      <w:r w:rsidRPr="00895E7E">
        <w:rPr>
          <w:rStyle w:val="EndnoteReference"/>
          <w:sz w:val="18"/>
          <w:szCs w:val="18"/>
        </w:rPr>
        <w:endnoteRef/>
      </w:r>
      <w:r w:rsidRPr="00895E7E">
        <w:rPr>
          <w:sz w:val="18"/>
          <w:szCs w:val="18"/>
        </w:rPr>
        <w:t xml:space="preserve"> 2019 – 2020 </w:t>
      </w:r>
      <w:r w:rsidRPr="00895E7E">
        <w:rPr>
          <w:sz w:val="18"/>
          <w:szCs w:val="18"/>
          <w:lang w:val="en-AU"/>
        </w:rPr>
        <w:t>results cover the first student cohorts using the new national Year 4 Curriculum developed by the Vanuatu Ministry of Education and Training with support from Australia’s Vanuatu Education Support Program</w:t>
      </w:r>
    </w:p>
  </w:endnote>
  <w:endnote w:id="12">
    <w:p w14:paraId="7A0AE20C"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Education data includes: Scholarship Awardees, School principals, skills trainers plus Certificate courses. Due to COVID-19 lockdown restrictions, fewer training courses were able to be run than in previous years </w:t>
      </w:r>
    </w:p>
  </w:endnote>
  <w:endnote w:id="13">
    <w:p w14:paraId="0E8ECE4A"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Health data incudes: Bachelor Nursing, Midwifery, Village Health Workers, Nurse Aides, Malaria management, Corporate, Business Planning and Leadership/Management training. </w:t>
      </w:r>
      <w:r w:rsidRPr="00895E7E">
        <w:rPr>
          <w:sz w:val="18"/>
          <w:szCs w:val="18"/>
          <w:lang w:val="en-AU"/>
        </w:rPr>
        <w:t xml:space="preserve">From January – June 2020 </w:t>
      </w:r>
      <w:r w:rsidRPr="00895E7E">
        <w:rPr>
          <w:sz w:val="18"/>
          <w:szCs w:val="18"/>
        </w:rPr>
        <w:t xml:space="preserve">training </w:t>
      </w:r>
      <w:r w:rsidRPr="00895E7E">
        <w:rPr>
          <w:sz w:val="18"/>
          <w:szCs w:val="18"/>
          <w:lang w:val="en-AU"/>
        </w:rPr>
        <w:t>data is currently only available for MALAMPA, one out six provinces in Vanuatu. Data is not yet available for other provinces. Many planned training courses were delayed because of COVID-19 social distancing requirements, and in TC Harold affected communities where health staff where managing health issues after the cyclone was prioritised.</w:t>
      </w:r>
    </w:p>
  </w:endnote>
  <w:endnote w:id="14">
    <w:p w14:paraId="178C9DF7"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 xml:space="preserve">Gender was not specified for 65 people who received training. </w:t>
      </w:r>
    </w:p>
  </w:endnote>
  <w:endnote w:id="15">
    <w:p w14:paraId="169E23A3"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Mobile cellular coverage</w:t>
      </w:r>
    </w:p>
  </w:endnote>
  <w:endnote w:id="16">
    <w:p w14:paraId="240233DB"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2018 – 2019 target was 130F|280M</w:t>
      </w:r>
    </w:p>
  </w:endnote>
  <w:endnote w:id="17">
    <w:p w14:paraId="7962CBC8" w14:textId="77777777" w:rsidR="00BD3797" w:rsidRPr="00895E7E" w:rsidRDefault="00BD3797">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 xml:space="preserve">Data collected by calendar year. Figure is the average of the 2019 and 2020 (to Aug 2020) calendar years </w:t>
      </w:r>
    </w:p>
  </w:endnote>
  <w:endnote w:id="18">
    <w:p w14:paraId="572CA5D5"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Vanuatu Telecommunications Sector Report 2020 - </w:t>
      </w:r>
      <w:hyperlink r:id="rId1" w:history="1">
        <w:r w:rsidRPr="00895E7E">
          <w:rPr>
            <w:rStyle w:val="Hyperlink"/>
            <w:rFonts w:cstheme="minorBidi"/>
            <w:sz w:val="18"/>
            <w:szCs w:val="18"/>
          </w:rPr>
          <w:t>https://www.trr.vu/en/public-register/reports/telecommunications-sector-report/2020</w:t>
        </w:r>
      </w:hyperlink>
      <w:r w:rsidRPr="00895E7E">
        <w:rPr>
          <w:sz w:val="18"/>
          <w:szCs w:val="18"/>
        </w:rPr>
        <w:t xml:space="preserve"> </w:t>
      </w:r>
    </w:p>
  </w:endnote>
  <w:endnote w:id="19">
    <w:p w14:paraId="214F0478" w14:textId="77777777" w:rsidR="003E6401" w:rsidRPr="00895E7E" w:rsidRDefault="003E6401" w:rsidP="003E6401">
      <w:pPr>
        <w:pStyle w:val="EndnoteText"/>
        <w:rPr>
          <w:sz w:val="18"/>
          <w:szCs w:val="18"/>
          <w:lang w:val="en-AU"/>
        </w:rPr>
      </w:pPr>
      <w:r w:rsidRPr="00895E7E">
        <w:rPr>
          <w:rStyle w:val="EndnoteReference"/>
          <w:sz w:val="18"/>
          <w:szCs w:val="18"/>
        </w:rPr>
        <w:endnoteRef/>
      </w:r>
      <w:r w:rsidRPr="00895E7E">
        <w:rPr>
          <w:sz w:val="18"/>
          <w:szCs w:val="18"/>
        </w:rPr>
        <w:t xml:space="preserve"> </w:t>
      </w:r>
      <w:r w:rsidRPr="00895E7E">
        <w:rPr>
          <w:sz w:val="18"/>
          <w:szCs w:val="18"/>
          <w:lang w:val="en-AU"/>
        </w:rPr>
        <w:t>Data includes: training of new Vanuatu Police Force (VPF) recruits; training of lawyers in Prosecution and Defence roles; women leaders mentorship program; and training on specific issues including - gender awareness and advocacy; conducting sexual violence investigations; mental health; disability barriers and inclusion strategies; case and data management; effective leadership and management</w:t>
      </w:r>
    </w:p>
  </w:endnote>
  <w:endnote w:id="20">
    <w:p w14:paraId="19BB5931" w14:textId="53B3127D" w:rsidR="00D800E9" w:rsidRPr="00895E7E" w:rsidRDefault="00D800E9">
      <w:pPr>
        <w:pStyle w:val="EndnoteText"/>
        <w:rPr>
          <w:sz w:val="18"/>
          <w:szCs w:val="18"/>
          <w:lang w:val="en-AU"/>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F0022A" w14:textId="77777777" w:rsidR="00BD3797" w:rsidRPr="00FC322F" w:rsidRDefault="00BD3797" w:rsidP="00FC322F">
    <w:pPr>
      <w:pStyle w:val="Footer"/>
      <w:rPr>
        <w:b/>
      </w:rPr>
    </w:pPr>
    <w:r w:rsidRPr="00FC322F">
      <w:rPr>
        <w:b/>
        <w:noProof/>
        <w:lang w:val="en-AU" w:eastAsia="en-AU"/>
      </w:rPr>
      <w:drawing>
        <wp:inline distT="0" distB="0" distL="0" distR="0" wp14:anchorId="394F77CE" wp14:editId="38B3DEEC">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13319584"/>
      <w:docPartObj>
        <w:docPartGallery w:val="Page Numbers (Bottom of Page)"/>
        <w:docPartUnique/>
      </w:docPartObj>
    </w:sdtPr>
    <w:sdtEndPr>
      <w:rPr>
        <w:noProof/>
      </w:rPr>
    </w:sdtEndPr>
    <w:sdtContent>
      <w:p w14:paraId="5AFB9B4A" w14:textId="1223B671" w:rsidR="00732044" w:rsidRDefault="00732044">
        <w:pPr>
          <w:pStyle w:val="Footer"/>
          <w:jc w:val="center"/>
        </w:pPr>
        <w:r>
          <w:fldChar w:fldCharType="begin"/>
        </w:r>
        <w:r>
          <w:instrText xml:space="preserve"> PAGE   \* MERGEFORMAT </w:instrText>
        </w:r>
        <w:r>
          <w:fldChar w:fldCharType="separate"/>
        </w:r>
        <w:r w:rsidR="00BB1BA1">
          <w:rPr>
            <w:noProof/>
          </w:rPr>
          <w:t>1</w:t>
        </w:r>
        <w:r>
          <w:rPr>
            <w:noProof/>
          </w:rPr>
          <w:fldChar w:fldCharType="end"/>
        </w:r>
      </w:p>
    </w:sdtContent>
  </w:sdt>
  <w:p w14:paraId="01815036" w14:textId="77777777" w:rsidR="00BD3797" w:rsidRPr="00FC322F" w:rsidRDefault="00BD379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3206381"/>
      <w:docPartObj>
        <w:docPartGallery w:val="Page Numbers (Bottom of Page)"/>
        <w:docPartUnique/>
      </w:docPartObj>
    </w:sdtPr>
    <w:sdtEndPr>
      <w:rPr>
        <w:noProof/>
      </w:rPr>
    </w:sdtEndPr>
    <w:sdtContent>
      <w:p w14:paraId="3B0DA520" w14:textId="23652834" w:rsidR="00732044" w:rsidRDefault="00732044">
        <w:pPr>
          <w:pStyle w:val="Footer"/>
          <w:jc w:val="center"/>
        </w:pPr>
        <w:r>
          <w:fldChar w:fldCharType="begin"/>
        </w:r>
        <w:r>
          <w:instrText xml:space="preserve"> PAGE   \* MERGEFORMAT </w:instrText>
        </w:r>
        <w:r>
          <w:fldChar w:fldCharType="separate"/>
        </w:r>
        <w:r w:rsidR="00BB1BA1">
          <w:rPr>
            <w:noProof/>
          </w:rPr>
          <w:t>4</w:t>
        </w:r>
        <w:r>
          <w:rPr>
            <w:noProof/>
          </w:rPr>
          <w:fldChar w:fldCharType="end"/>
        </w:r>
      </w:p>
    </w:sdtContent>
  </w:sdt>
  <w:p w14:paraId="158497F7" w14:textId="77777777" w:rsidR="00BD3797" w:rsidRPr="00FC322F" w:rsidRDefault="00BD3797"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0DDA3B" w14:textId="77777777" w:rsidR="00BD3797" w:rsidRPr="00FC322F" w:rsidRDefault="00BD3797" w:rsidP="00FC322F">
    <w:pPr>
      <w:pStyle w:val="Footer"/>
      <w:rPr>
        <w:b/>
      </w:rPr>
    </w:pPr>
    <w:r w:rsidRPr="00FC322F">
      <w:rPr>
        <w:b/>
        <w:noProof/>
        <w:lang w:val="en-AU" w:eastAsia="en-AU"/>
      </w:rPr>
      <w:drawing>
        <wp:inline distT="0" distB="0" distL="0" distR="0" wp14:anchorId="0B317614" wp14:editId="038B81FC">
          <wp:extent cx="108000" cy="87480"/>
          <wp:effectExtent l="0" t="0" r="6350" b="8255"/>
          <wp:docPr id="17" name="Picture 17"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13940469"/>
      <w:docPartObj>
        <w:docPartGallery w:val="Page Numbers (Bottom of Page)"/>
        <w:docPartUnique/>
      </w:docPartObj>
    </w:sdtPr>
    <w:sdtEndPr>
      <w:rPr>
        <w:noProof/>
      </w:rPr>
    </w:sdtEndPr>
    <w:sdtContent>
      <w:p w14:paraId="53607302" w14:textId="0671A650" w:rsidR="00732044" w:rsidRDefault="00732044">
        <w:pPr>
          <w:pStyle w:val="Footer"/>
          <w:jc w:val="center"/>
        </w:pPr>
        <w:r>
          <w:fldChar w:fldCharType="begin"/>
        </w:r>
        <w:r>
          <w:instrText xml:space="preserve"> PAGE   \* MERGEFORMAT </w:instrText>
        </w:r>
        <w:r>
          <w:fldChar w:fldCharType="separate"/>
        </w:r>
        <w:r w:rsidR="00BB1BA1">
          <w:rPr>
            <w:noProof/>
          </w:rPr>
          <w:t>5</w:t>
        </w:r>
        <w:r>
          <w:rPr>
            <w:noProof/>
          </w:rPr>
          <w:fldChar w:fldCharType="end"/>
        </w:r>
      </w:p>
    </w:sdtContent>
  </w:sdt>
  <w:p w14:paraId="3628E792" w14:textId="77777777" w:rsidR="00BD3797" w:rsidRPr="00EC3C2D" w:rsidRDefault="00BD3797"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09B37EF" w14:textId="77777777" w:rsidR="00C81C1F" w:rsidRPr="008C5A0E" w:rsidRDefault="00C81C1F" w:rsidP="00D37B04">
      <w:pPr>
        <w:pStyle w:val="Footer"/>
      </w:pPr>
    </w:p>
  </w:footnote>
  <w:footnote w:type="continuationSeparator" w:id="0">
    <w:p w14:paraId="46DE3744" w14:textId="77777777" w:rsidR="00C81C1F" w:rsidRDefault="00C81C1F" w:rsidP="00D37B04">
      <w:r>
        <w:continuationSeparator/>
      </w:r>
    </w:p>
  </w:footnote>
  <w:footnote w:id="1">
    <w:p w14:paraId="5BF90934" w14:textId="77777777" w:rsidR="003E6401" w:rsidRPr="00895E7E" w:rsidRDefault="003E6401" w:rsidP="003E6401">
      <w:pPr>
        <w:pStyle w:val="FootnoteText"/>
        <w:rPr>
          <w:sz w:val="18"/>
          <w:szCs w:val="18"/>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8D2E5" w14:textId="77777777" w:rsidR="00BD3797" w:rsidRPr="000854FD" w:rsidRDefault="00BD3797" w:rsidP="002D5B25">
    <w:pPr>
      <w:pStyle w:val="Header"/>
    </w:pPr>
    <w:r w:rsidRPr="00943730">
      <w:rPr>
        <w:noProof/>
        <w:lang w:val="en-AU" w:eastAsia="en-AU"/>
      </w:rPr>
      <w:drawing>
        <wp:anchor distT="0" distB="0" distL="114300" distR="114300" simplePos="0" relativeHeight="251668480" behindDoc="1" locked="1" layoutInCell="1" allowOverlap="1" wp14:anchorId="713D1735" wp14:editId="3DDE1232">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7C04D" w14:textId="77777777" w:rsidR="00BD3797" w:rsidRPr="00943730" w:rsidRDefault="00BD3797" w:rsidP="00BD3797">
    <w:pPr>
      <w:pStyle w:val="Header"/>
      <w:ind w:left="0"/>
    </w:pPr>
    <w:r w:rsidRPr="00252C04">
      <w:rPr>
        <w:noProof/>
        <w:lang w:val="en-AU" w:eastAsia="en-AU"/>
      </w:rPr>
      <w:drawing>
        <wp:anchor distT="0" distB="0" distL="114300" distR="114300" simplePos="0" relativeHeight="251669504" behindDoc="1" locked="1" layoutInCell="1" allowOverlap="1" wp14:anchorId="677BC957" wp14:editId="77115643">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A145DCF" wp14:editId="5529F6DF">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38D73315" wp14:editId="0B6CD844">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E52A13" w14:textId="77777777" w:rsidR="00BD3797" w:rsidRPr="000854FD" w:rsidRDefault="00BD3797" w:rsidP="002D5B25">
    <w:pPr>
      <w:pStyle w:val="Header"/>
    </w:pPr>
    <w:r w:rsidRPr="00943730">
      <w:rPr>
        <w:noProof/>
        <w:lang w:val="en-AU" w:eastAsia="en-AU"/>
      </w:rPr>
      <w:drawing>
        <wp:anchor distT="0" distB="0" distL="114300" distR="114300" simplePos="0" relativeHeight="251662336" behindDoc="1" locked="1" layoutInCell="1" allowOverlap="1" wp14:anchorId="5C6F71E5" wp14:editId="69B162D8">
          <wp:simplePos x="0" y="0"/>
          <wp:positionH relativeFrom="page">
            <wp:posOffset>12700</wp:posOffset>
          </wp:positionH>
          <wp:positionV relativeFrom="page">
            <wp:posOffset>0</wp:posOffset>
          </wp:positionV>
          <wp:extent cx="7559040" cy="10692765"/>
          <wp:effectExtent l="0" t="0" r="3810" b="0"/>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4DD11F" w14:textId="586D7D1C" w:rsidR="00BD3797" w:rsidRPr="00943730" w:rsidRDefault="00BD3797" w:rsidP="00943730">
    <w:pPr>
      <w:pStyle w:val="Header"/>
    </w:pPr>
    <w:r w:rsidRPr="00943730">
      <w:fldChar w:fldCharType="begin"/>
    </w:r>
    <w:r w:rsidRPr="00943730">
      <w:instrText xml:space="preserve"> DATE  \@ "MMMM yyyy"  \* MERGEFORMAT </w:instrText>
    </w:r>
    <w:r w:rsidRPr="00943730">
      <w:fldChar w:fldCharType="separate"/>
    </w:r>
    <w:r w:rsidR="00D113A1">
      <w:rPr>
        <w:noProof/>
      </w:rPr>
      <w:t>November 2020</w:t>
    </w:r>
    <w:r w:rsidRPr="00943730">
      <w:fldChar w:fldCharType="end"/>
    </w:r>
    <w:r w:rsidRPr="00252C04">
      <w:rPr>
        <w:noProof/>
        <w:lang w:val="en-AU" w:eastAsia="en-AU"/>
      </w:rPr>
      <w:drawing>
        <wp:anchor distT="0" distB="0" distL="114300" distR="114300" simplePos="0" relativeHeight="251664384" behindDoc="1" locked="1" layoutInCell="1" allowOverlap="1" wp14:anchorId="2905C876" wp14:editId="45F0B343">
          <wp:simplePos x="0" y="0"/>
          <wp:positionH relativeFrom="page">
            <wp:posOffset>5724525</wp:posOffset>
          </wp:positionH>
          <wp:positionV relativeFrom="page">
            <wp:posOffset>720090</wp:posOffset>
          </wp:positionV>
          <wp:extent cx="1115060" cy="512445"/>
          <wp:effectExtent l="0" t="0" r="8890" b="1905"/>
          <wp:wrapNone/>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2DE3D579" wp14:editId="3E19DA8C">
          <wp:simplePos x="0" y="0"/>
          <wp:positionH relativeFrom="page">
            <wp:posOffset>720090</wp:posOffset>
          </wp:positionH>
          <wp:positionV relativeFrom="page">
            <wp:posOffset>683895</wp:posOffset>
          </wp:positionV>
          <wp:extent cx="3166745" cy="554355"/>
          <wp:effectExtent l="0" t="0" r="0" b="0"/>
          <wp:wrapNone/>
          <wp:docPr id="14" name="Picture 1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33BE07B5" wp14:editId="00E1F219">
          <wp:simplePos x="0" y="0"/>
          <wp:positionH relativeFrom="page">
            <wp:posOffset>12700</wp:posOffset>
          </wp:positionH>
          <wp:positionV relativeFrom="page">
            <wp:posOffset>-69850</wp:posOffset>
          </wp:positionV>
          <wp:extent cx="10585450" cy="10692130"/>
          <wp:effectExtent l="0" t="0" r="6350" b="0"/>
          <wp:wrapNone/>
          <wp:docPr id="16" name="Picture 1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786CF5" w14:textId="77777777" w:rsidR="00BD3797" w:rsidRDefault="00BD379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02C138" w14:textId="77777777" w:rsidR="00BD3797" w:rsidRPr="00333501" w:rsidRDefault="00BD3797" w:rsidP="00BD3797">
    <w:pPr>
      <w:pStyle w:val="Header"/>
    </w:pPr>
    <w:r>
      <w:rPr>
        <w:noProof/>
        <w:lang w:val="en-AU" w:eastAsia="en-AU"/>
      </w:rPr>
      <w:drawing>
        <wp:anchor distT="0" distB="0" distL="114300" distR="114300" simplePos="0" relativeHeight="251672576" behindDoc="1" locked="1" layoutInCell="1" allowOverlap="1" wp14:anchorId="1A06542D" wp14:editId="789B0633">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82EAEC" w14:textId="77777777" w:rsidR="00BD3797" w:rsidRPr="003D352D" w:rsidRDefault="00BD3797" w:rsidP="00BD3797">
    <w:pPr>
      <w:pStyle w:val="Header"/>
    </w:pPr>
    <w:r>
      <w:rPr>
        <w:noProof/>
        <w:lang w:val="en-AU" w:eastAsia="en-AU"/>
      </w:rPr>
      <w:drawing>
        <wp:anchor distT="0" distB="0" distL="114300" distR="114300" simplePos="0" relativeHeight="251671552" behindDoc="1" locked="1" layoutInCell="1" allowOverlap="1" wp14:anchorId="1BDBC75E" wp14:editId="6E49BA13">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792741A"/>
    <w:multiLevelType w:val="hybridMultilevel"/>
    <w:tmpl w:val="F73408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5376ED1"/>
    <w:multiLevelType w:val="hybridMultilevel"/>
    <w:tmpl w:val="DB1C6C8C"/>
    <w:lvl w:ilvl="0" w:tplc="303CD87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8" w15:restartNumberingAfterBreak="0">
    <w:nsid w:val="279E1258"/>
    <w:multiLevelType w:val="hybridMultilevel"/>
    <w:tmpl w:val="80501C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A960610"/>
    <w:multiLevelType w:val="hybridMultilevel"/>
    <w:tmpl w:val="6AF846D2"/>
    <w:lvl w:ilvl="0" w:tplc="7DBC0B9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21" w15:restartNumberingAfterBreak="0">
    <w:nsid w:val="3A911C3F"/>
    <w:multiLevelType w:val="hybridMultilevel"/>
    <w:tmpl w:val="8C3657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02512C0"/>
    <w:multiLevelType w:val="hybridMultilevel"/>
    <w:tmpl w:val="AAB2EAC4"/>
    <w:lvl w:ilvl="0" w:tplc="142C4C74">
      <w:start w:val="1"/>
      <w:numFmt w:val="bullet"/>
      <w:lvlText w:val=""/>
      <w:lvlJc w:val="left"/>
      <w:pPr>
        <w:ind w:left="720" w:hanging="360"/>
      </w:pPr>
      <w:rPr>
        <w:rFonts w:ascii="Symbol" w:hAnsi="Symbol" w:hint="default"/>
        <w:b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3"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4"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E154A8E"/>
    <w:multiLevelType w:val="hybridMultilevel"/>
    <w:tmpl w:val="0DF6DEE0"/>
    <w:lvl w:ilvl="0" w:tplc="7DBC0B9E">
      <w:numFmt w:val="bullet"/>
      <w:lvlText w:val="-"/>
      <w:lvlJc w:val="left"/>
      <w:pPr>
        <w:ind w:left="720" w:hanging="360"/>
      </w:pPr>
      <w:rPr>
        <w:rFonts w:ascii="Calibri" w:eastAsiaTheme="minorHAnsi" w:hAnsi="Calibri" w:cstheme="minorBid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FF77282"/>
    <w:multiLevelType w:val="multilevel"/>
    <w:tmpl w:val="8CA87E3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30" w15:restartNumberingAfterBreak="0">
    <w:nsid w:val="52553D9F"/>
    <w:multiLevelType w:val="multilevel"/>
    <w:tmpl w:val="A6FA45D0"/>
    <w:numStyleLink w:val="BulletsList"/>
  </w:abstractNum>
  <w:abstractNum w:abstractNumId="31" w15:restartNumberingAfterBreak="0">
    <w:nsid w:val="5581013E"/>
    <w:multiLevelType w:val="hybridMultilevel"/>
    <w:tmpl w:val="B8F88FA2"/>
    <w:lvl w:ilvl="0" w:tplc="30F4919C">
      <w:numFmt w:val="bullet"/>
      <w:lvlText w:val="•"/>
      <w:lvlJc w:val="left"/>
      <w:pPr>
        <w:ind w:left="720" w:hanging="360"/>
      </w:pPr>
      <w:rPr>
        <w:rFonts w:ascii="Calibri Light" w:eastAsiaTheme="minorHAnsi" w:hAnsi="Calibri Light" w:cs="Calibri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3" w15:restartNumberingAfterBreak="0">
    <w:nsid w:val="5D3C1EA7"/>
    <w:multiLevelType w:val="multilevel"/>
    <w:tmpl w:val="A6FA45D0"/>
    <w:numStyleLink w:val="BulletsList"/>
  </w:abstractNum>
  <w:abstractNum w:abstractNumId="34"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35"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6EC13D3D"/>
    <w:multiLevelType w:val="multilevel"/>
    <w:tmpl w:val="1BBEA7C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7"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8" w15:restartNumberingAfterBreak="0">
    <w:nsid w:val="731C3987"/>
    <w:multiLevelType w:val="hybridMultilevel"/>
    <w:tmpl w:val="62D61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73717BB4"/>
    <w:multiLevelType w:val="hybridMultilevel"/>
    <w:tmpl w:val="EC1EBE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66E223E"/>
    <w:multiLevelType w:val="multilevel"/>
    <w:tmpl w:val="CC266A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7"/>
  </w:num>
  <w:num w:numId="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32"/>
  </w:num>
  <w:num w:numId="10">
    <w:abstractNumId w:val="34"/>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33"/>
  </w:num>
  <w:num w:numId="22">
    <w:abstractNumId w:val="20"/>
  </w:num>
  <w:num w:numId="23">
    <w:abstractNumId w:val="20"/>
  </w:num>
  <w:num w:numId="24">
    <w:abstractNumId w:val="33"/>
  </w:num>
  <w:num w:numId="25">
    <w:abstractNumId w:val="33"/>
  </w:num>
  <w:num w:numId="26">
    <w:abstractNumId w:val="33"/>
  </w:num>
  <w:num w:numId="27">
    <w:abstractNumId w:val="32"/>
  </w:num>
  <w:num w:numId="28">
    <w:abstractNumId w:val="11"/>
  </w:num>
  <w:num w:numId="29">
    <w:abstractNumId w:val="11"/>
  </w:num>
  <w:num w:numId="30">
    <w:abstractNumId w:val="11"/>
  </w:num>
  <w:num w:numId="31">
    <w:abstractNumId w:val="14"/>
  </w:num>
  <w:num w:numId="32">
    <w:abstractNumId w:val="42"/>
  </w:num>
  <w:num w:numId="33">
    <w:abstractNumId w:val="30"/>
  </w:num>
  <w:num w:numId="3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35"/>
  </w:num>
  <w:num w:numId="37">
    <w:abstractNumId w:val="26"/>
  </w:num>
  <w:num w:numId="38">
    <w:abstractNumId w:val="25"/>
  </w:num>
  <w:num w:numId="39">
    <w:abstractNumId w:val="18"/>
  </w:num>
  <w:num w:numId="40">
    <w:abstractNumId w:val="12"/>
  </w:num>
  <w:num w:numId="41">
    <w:abstractNumId w:val="22"/>
  </w:num>
  <w:num w:numId="42">
    <w:abstractNumId w:val="16"/>
  </w:num>
  <w:num w:numId="43">
    <w:abstractNumId w:val="29"/>
  </w:num>
  <w:num w:numId="44">
    <w:abstractNumId w:val="24"/>
  </w:num>
  <w:num w:numId="45">
    <w:abstractNumId w:val="40"/>
  </w:num>
  <w:num w:numId="46">
    <w:abstractNumId w:val="17"/>
  </w:num>
  <w:num w:numId="47">
    <w:abstractNumId w:val="39"/>
  </w:num>
  <w:num w:numId="48">
    <w:abstractNumId w:val="27"/>
  </w:num>
  <w:num w:numId="49">
    <w:abstractNumId w:val="19"/>
  </w:num>
  <w:num w:numId="50">
    <w:abstractNumId w:val="18"/>
  </w:num>
  <w:num w:numId="51">
    <w:abstractNumId w:val="38"/>
  </w:num>
  <w:num w:numId="52">
    <w:abstractNumId w:val="15"/>
  </w:num>
  <w:num w:numId="53">
    <w:abstractNumId w:val="21"/>
  </w:num>
  <w:num w:numId="54">
    <w:abstractNumId w:val="31"/>
  </w:num>
  <w:num w:numId="55">
    <w:abstractNumId w:val="28"/>
  </w:num>
  <w:num w:numId="56">
    <w:abstractNumId w:val="41"/>
  </w:num>
  <w:num w:numId="57">
    <w:abstractNumId w:val="36"/>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36865"/>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02BD7"/>
    <w:rsid w:val="00015783"/>
    <w:rsid w:val="0002080A"/>
    <w:rsid w:val="00022B17"/>
    <w:rsid w:val="0002782F"/>
    <w:rsid w:val="00035B9E"/>
    <w:rsid w:val="00035BBF"/>
    <w:rsid w:val="00040DF1"/>
    <w:rsid w:val="00050806"/>
    <w:rsid w:val="000546D9"/>
    <w:rsid w:val="00054AAA"/>
    <w:rsid w:val="00054E4D"/>
    <w:rsid w:val="00060073"/>
    <w:rsid w:val="000616C6"/>
    <w:rsid w:val="00071788"/>
    <w:rsid w:val="00082259"/>
    <w:rsid w:val="000854FD"/>
    <w:rsid w:val="000A3256"/>
    <w:rsid w:val="000B37F5"/>
    <w:rsid w:val="000C5205"/>
    <w:rsid w:val="000D66D6"/>
    <w:rsid w:val="000E03F9"/>
    <w:rsid w:val="000F3FFB"/>
    <w:rsid w:val="000F5125"/>
    <w:rsid w:val="000F6A8A"/>
    <w:rsid w:val="00110C81"/>
    <w:rsid w:val="00113288"/>
    <w:rsid w:val="00114807"/>
    <w:rsid w:val="001214BE"/>
    <w:rsid w:val="00123D7D"/>
    <w:rsid w:val="0013101C"/>
    <w:rsid w:val="00136F24"/>
    <w:rsid w:val="00144ABE"/>
    <w:rsid w:val="001461D6"/>
    <w:rsid w:val="001541EA"/>
    <w:rsid w:val="001616D0"/>
    <w:rsid w:val="001907AA"/>
    <w:rsid w:val="001962F2"/>
    <w:rsid w:val="001A42B8"/>
    <w:rsid w:val="001A5381"/>
    <w:rsid w:val="001A642E"/>
    <w:rsid w:val="001A7ED5"/>
    <w:rsid w:val="001C3B3F"/>
    <w:rsid w:val="001C50B3"/>
    <w:rsid w:val="001D663E"/>
    <w:rsid w:val="001E1DC0"/>
    <w:rsid w:val="001F5160"/>
    <w:rsid w:val="00203114"/>
    <w:rsid w:val="00203277"/>
    <w:rsid w:val="00205B2E"/>
    <w:rsid w:val="002068B7"/>
    <w:rsid w:val="00212850"/>
    <w:rsid w:val="00212968"/>
    <w:rsid w:val="00213A46"/>
    <w:rsid w:val="00216BA3"/>
    <w:rsid w:val="002259CA"/>
    <w:rsid w:val="0022631C"/>
    <w:rsid w:val="002265B0"/>
    <w:rsid w:val="00230777"/>
    <w:rsid w:val="00235EAB"/>
    <w:rsid w:val="00236FD8"/>
    <w:rsid w:val="00245C42"/>
    <w:rsid w:val="002479E3"/>
    <w:rsid w:val="00252C04"/>
    <w:rsid w:val="002646C3"/>
    <w:rsid w:val="00265DDB"/>
    <w:rsid w:val="0027601D"/>
    <w:rsid w:val="00276A54"/>
    <w:rsid w:val="00282542"/>
    <w:rsid w:val="0028602A"/>
    <w:rsid w:val="00286622"/>
    <w:rsid w:val="002931DF"/>
    <w:rsid w:val="002A7F56"/>
    <w:rsid w:val="002B38FA"/>
    <w:rsid w:val="002B43EF"/>
    <w:rsid w:val="002B5E10"/>
    <w:rsid w:val="002B6469"/>
    <w:rsid w:val="002C793D"/>
    <w:rsid w:val="002D1EE5"/>
    <w:rsid w:val="002D5B25"/>
    <w:rsid w:val="002E0413"/>
    <w:rsid w:val="002E3C2A"/>
    <w:rsid w:val="002F4F2B"/>
    <w:rsid w:val="003002C0"/>
    <w:rsid w:val="00301144"/>
    <w:rsid w:val="003031C6"/>
    <w:rsid w:val="00304984"/>
    <w:rsid w:val="00312BF8"/>
    <w:rsid w:val="0031386C"/>
    <w:rsid w:val="003148B7"/>
    <w:rsid w:val="003158C3"/>
    <w:rsid w:val="003274CD"/>
    <w:rsid w:val="00330E12"/>
    <w:rsid w:val="00333501"/>
    <w:rsid w:val="0033402E"/>
    <w:rsid w:val="003365E4"/>
    <w:rsid w:val="003457C4"/>
    <w:rsid w:val="0034621F"/>
    <w:rsid w:val="003500CF"/>
    <w:rsid w:val="003509F5"/>
    <w:rsid w:val="00351035"/>
    <w:rsid w:val="0035119D"/>
    <w:rsid w:val="003541DE"/>
    <w:rsid w:val="00365569"/>
    <w:rsid w:val="00371F04"/>
    <w:rsid w:val="00372FC5"/>
    <w:rsid w:val="003753EF"/>
    <w:rsid w:val="00381369"/>
    <w:rsid w:val="00384D40"/>
    <w:rsid w:val="00385792"/>
    <w:rsid w:val="00390828"/>
    <w:rsid w:val="0039344A"/>
    <w:rsid w:val="00393F0D"/>
    <w:rsid w:val="00395163"/>
    <w:rsid w:val="003971CB"/>
    <w:rsid w:val="003A7906"/>
    <w:rsid w:val="003B4F12"/>
    <w:rsid w:val="003D2C3D"/>
    <w:rsid w:val="003D4C6F"/>
    <w:rsid w:val="003E6401"/>
    <w:rsid w:val="003F2041"/>
    <w:rsid w:val="00402ACC"/>
    <w:rsid w:val="004120EC"/>
    <w:rsid w:val="00420286"/>
    <w:rsid w:val="00423F31"/>
    <w:rsid w:val="00431899"/>
    <w:rsid w:val="0043368C"/>
    <w:rsid w:val="004368E7"/>
    <w:rsid w:val="00441845"/>
    <w:rsid w:val="00442055"/>
    <w:rsid w:val="00444177"/>
    <w:rsid w:val="00445F7E"/>
    <w:rsid w:val="00452298"/>
    <w:rsid w:val="0046044F"/>
    <w:rsid w:val="00460D9A"/>
    <w:rsid w:val="004649CA"/>
    <w:rsid w:val="00482AE8"/>
    <w:rsid w:val="0048492D"/>
    <w:rsid w:val="00486804"/>
    <w:rsid w:val="00491474"/>
    <w:rsid w:val="004939C4"/>
    <w:rsid w:val="00494F98"/>
    <w:rsid w:val="004957D4"/>
    <w:rsid w:val="004A258D"/>
    <w:rsid w:val="004A7931"/>
    <w:rsid w:val="004B1618"/>
    <w:rsid w:val="004B3775"/>
    <w:rsid w:val="004B6898"/>
    <w:rsid w:val="004C5598"/>
    <w:rsid w:val="004C6342"/>
    <w:rsid w:val="004D0BA0"/>
    <w:rsid w:val="004D7A2A"/>
    <w:rsid w:val="004E058F"/>
    <w:rsid w:val="004E3B87"/>
    <w:rsid w:val="004E3C8E"/>
    <w:rsid w:val="00505577"/>
    <w:rsid w:val="00505AEF"/>
    <w:rsid w:val="00506EB9"/>
    <w:rsid w:val="00507DC7"/>
    <w:rsid w:val="00510921"/>
    <w:rsid w:val="00510AD3"/>
    <w:rsid w:val="00513348"/>
    <w:rsid w:val="00513AD8"/>
    <w:rsid w:val="005204D2"/>
    <w:rsid w:val="00522396"/>
    <w:rsid w:val="00527443"/>
    <w:rsid w:val="00533B5D"/>
    <w:rsid w:val="00550726"/>
    <w:rsid w:val="00556B92"/>
    <w:rsid w:val="00572C29"/>
    <w:rsid w:val="00591B5F"/>
    <w:rsid w:val="005A20F6"/>
    <w:rsid w:val="005A3B62"/>
    <w:rsid w:val="005B55E8"/>
    <w:rsid w:val="005D0907"/>
    <w:rsid w:val="005D3655"/>
    <w:rsid w:val="005D44E9"/>
    <w:rsid w:val="005E4830"/>
    <w:rsid w:val="005F42E6"/>
    <w:rsid w:val="00603950"/>
    <w:rsid w:val="00613003"/>
    <w:rsid w:val="00622B86"/>
    <w:rsid w:val="00623BA1"/>
    <w:rsid w:val="0062473A"/>
    <w:rsid w:val="00627D12"/>
    <w:rsid w:val="006334B6"/>
    <w:rsid w:val="006346BC"/>
    <w:rsid w:val="00636519"/>
    <w:rsid w:val="00640FCF"/>
    <w:rsid w:val="00644F75"/>
    <w:rsid w:val="00651213"/>
    <w:rsid w:val="00660121"/>
    <w:rsid w:val="00665E40"/>
    <w:rsid w:val="0066652A"/>
    <w:rsid w:val="00667907"/>
    <w:rsid w:val="006719C3"/>
    <w:rsid w:val="006731A4"/>
    <w:rsid w:val="0067788C"/>
    <w:rsid w:val="00680522"/>
    <w:rsid w:val="00681A74"/>
    <w:rsid w:val="00682167"/>
    <w:rsid w:val="00691320"/>
    <w:rsid w:val="00691DEF"/>
    <w:rsid w:val="006936B1"/>
    <w:rsid w:val="00696FC9"/>
    <w:rsid w:val="006A5E7A"/>
    <w:rsid w:val="006A729E"/>
    <w:rsid w:val="006B0ADC"/>
    <w:rsid w:val="006B56F3"/>
    <w:rsid w:val="006B6674"/>
    <w:rsid w:val="006C03DE"/>
    <w:rsid w:val="006C42AF"/>
    <w:rsid w:val="006D4EA9"/>
    <w:rsid w:val="006E716D"/>
    <w:rsid w:val="006F13CF"/>
    <w:rsid w:val="006F3242"/>
    <w:rsid w:val="007031B5"/>
    <w:rsid w:val="00711163"/>
    <w:rsid w:val="00711D8E"/>
    <w:rsid w:val="00712672"/>
    <w:rsid w:val="00715351"/>
    <w:rsid w:val="00720E58"/>
    <w:rsid w:val="00732044"/>
    <w:rsid w:val="00734E3F"/>
    <w:rsid w:val="00736985"/>
    <w:rsid w:val="00745DF5"/>
    <w:rsid w:val="007523D5"/>
    <w:rsid w:val="00756EFE"/>
    <w:rsid w:val="0076250F"/>
    <w:rsid w:val="00765424"/>
    <w:rsid w:val="007706B8"/>
    <w:rsid w:val="00770F14"/>
    <w:rsid w:val="0077187B"/>
    <w:rsid w:val="00773D7B"/>
    <w:rsid w:val="00773F84"/>
    <w:rsid w:val="00774EE4"/>
    <w:rsid w:val="00780FA5"/>
    <w:rsid w:val="00783B33"/>
    <w:rsid w:val="00790171"/>
    <w:rsid w:val="00797650"/>
    <w:rsid w:val="007A3881"/>
    <w:rsid w:val="007A3C5C"/>
    <w:rsid w:val="007A5328"/>
    <w:rsid w:val="007A6663"/>
    <w:rsid w:val="007B06DC"/>
    <w:rsid w:val="007B59BC"/>
    <w:rsid w:val="007B6200"/>
    <w:rsid w:val="007D4FFB"/>
    <w:rsid w:val="007E0D4A"/>
    <w:rsid w:val="007E3FF9"/>
    <w:rsid w:val="007E4969"/>
    <w:rsid w:val="007F3395"/>
    <w:rsid w:val="007F689A"/>
    <w:rsid w:val="00801B9F"/>
    <w:rsid w:val="0080204D"/>
    <w:rsid w:val="00805B9C"/>
    <w:rsid w:val="00810213"/>
    <w:rsid w:val="00817DE6"/>
    <w:rsid w:val="00823B7F"/>
    <w:rsid w:val="0083052F"/>
    <w:rsid w:val="00833CFD"/>
    <w:rsid w:val="00844C2E"/>
    <w:rsid w:val="008475F0"/>
    <w:rsid w:val="00850896"/>
    <w:rsid w:val="008523EC"/>
    <w:rsid w:val="00854659"/>
    <w:rsid w:val="008557A7"/>
    <w:rsid w:val="008618F0"/>
    <w:rsid w:val="008628FA"/>
    <w:rsid w:val="00867D91"/>
    <w:rsid w:val="00870928"/>
    <w:rsid w:val="00874AE2"/>
    <w:rsid w:val="00880AFF"/>
    <w:rsid w:val="00885A62"/>
    <w:rsid w:val="0089405C"/>
    <w:rsid w:val="00895E7E"/>
    <w:rsid w:val="00897FA2"/>
    <w:rsid w:val="008A5AFE"/>
    <w:rsid w:val="008C48F9"/>
    <w:rsid w:val="008C5A0E"/>
    <w:rsid w:val="00906E75"/>
    <w:rsid w:val="0091294A"/>
    <w:rsid w:val="0092077E"/>
    <w:rsid w:val="00925677"/>
    <w:rsid w:val="00927172"/>
    <w:rsid w:val="009278D2"/>
    <w:rsid w:val="00935ABC"/>
    <w:rsid w:val="009360A9"/>
    <w:rsid w:val="00943730"/>
    <w:rsid w:val="0095053A"/>
    <w:rsid w:val="00961E72"/>
    <w:rsid w:val="0096222A"/>
    <w:rsid w:val="00975CA5"/>
    <w:rsid w:val="00976055"/>
    <w:rsid w:val="00977676"/>
    <w:rsid w:val="00980574"/>
    <w:rsid w:val="00982A94"/>
    <w:rsid w:val="00983513"/>
    <w:rsid w:val="00983AED"/>
    <w:rsid w:val="00984432"/>
    <w:rsid w:val="00986590"/>
    <w:rsid w:val="00992C76"/>
    <w:rsid w:val="0099536A"/>
    <w:rsid w:val="00996236"/>
    <w:rsid w:val="009969D6"/>
    <w:rsid w:val="009A0908"/>
    <w:rsid w:val="009A3D2B"/>
    <w:rsid w:val="009A3DD2"/>
    <w:rsid w:val="009A556F"/>
    <w:rsid w:val="009B4D3B"/>
    <w:rsid w:val="009B7909"/>
    <w:rsid w:val="009B7942"/>
    <w:rsid w:val="009C2EBB"/>
    <w:rsid w:val="009C7D66"/>
    <w:rsid w:val="009D17E8"/>
    <w:rsid w:val="009D57C0"/>
    <w:rsid w:val="009D7407"/>
    <w:rsid w:val="009E0866"/>
    <w:rsid w:val="009E273C"/>
    <w:rsid w:val="009E4E5A"/>
    <w:rsid w:val="009F1350"/>
    <w:rsid w:val="009F6423"/>
    <w:rsid w:val="009F713D"/>
    <w:rsid w:val="00A175B3"/>
    <w:rsid w:val="00A24A62"/>
    <w:rsid w:val="00A265AA"/>
    <w:rsid w:val="00A31C9F"/>
    <w:rsid w:val="00A323D2"/>
    <w:rsid w:val="00A35285"/>
    <w:rsid w:val="00A4144F"/>
    <w:rsid w:val="00A4637B"/>
    <w:rsid w:val="00A5356E"/>
    <w:rsid w:val="00A55310"/>
    <w:rsid w:val="00A554F9"/>
    <w:rsid w:val="00A61B4D"/>
    <w:rsid w:val="00A63917"/>
    <w:rsid w:val="00A729E8"/>
    <w:rsid w:val="00A80F95"/>
    <w:rsid w:val="00A90ABC"/>
    <w:rsid w:val="00A91230"/>
    <w:rsid w:val="00A91795"/>
    <w:rsid w:val="00A940CA"/>
    <w:rsid w:val="00A96EE5"/>
    <w:rsid w:val="00A97BF1"/>
    <w:rsid w:val="00AA00CC"/>
    <w:rsid w:val="00AA14F8"/>
    <w:rsid w:val="00AA298A"/>
    <w:rsid w:val="00AA315B"/>
    <w:rsid w:val="00AB376E"/>
    <w:rsid w:val="00AB4389"/>
    <w:rsid w:val="00AC164A"/>
    <w:rsid w:val="00AC4E5F"/>
    <w:rsid w:val="00AC68FC"/>
    <w:rsid w:val="00AD3FC1"/>
    <w:rsid w:val="00AD684B"/>
    <w:rsid w:val="00AE448A"/>
    <w:rsid w:val="00AF1B2C"/>
    <w:rsid w:val="00AF2050"/>
    <w:rsid w:val="00B01A04"/>
    <w:rsid w:val="00B0385D"/>
    <w:rsid w:val="00B03CA8"/>
    <w:rsid w:val="00B05089"/>
    <w:rsid w:val="00B120ED"/>
    <w:rsid w:val="00B14CB2"/>
    <w:rsid w:val="00B15F50"/>
    <w:rsid w:val="00B16FE3"/>
    <w:rsid w:val="00B26246"/>
    <w:rsid w:val="00B30A6B"/>
    <w:rsid w:val="00B33C0A"/>
    <w:rsid w:val="00B41065"/>
    <w:rsid w:val="00B44CEF"/>
    <w:rsid w:val="00B55E19"/>
    <w:rsid w:val="00B62245"/>
    <w:rsid w:val="00B6350B"/>
    <w:rsid w:val="00B637DD"/>
    <w:rsid w:val="00B63D93"/>
    <w:rsid w:val="00B6495A"/>
    <w:rsid w:val="00B6503F"/>
    <w:rsid w:val="00B66722"/>
    <w:rsid w:val="00B70B50"/>
    <w:rsid w:val="00B87C72"/>
    <w:rsid w:val="00B927C4"/>
    <w:rsid w:val="00B94758"/>
    <w:rsid w:val="00B94ADF"/>
    <w:rsid w:val="00BA0538"/>
    <w:rsid w:val="00BA4B6D"/>
    <w:rsid w:val="00BB1BA1"/>
    <w:rsid w:val="00BB26C5"/>
    <w:rsid w:val="00BC31BD"/>
    <w:rsid w:val="00BD2CB3"/>
    <w:rsid w:val="00BD3797"/>
    <w:rsid w:val="00BD3FE6"/>
    <w:rsid w:val="00BD4F4C"/>
    <w:rsid w:val="00BF4DE6"/>
    <w:rsid w:val="00BF5FC5"/>
    <w:rsid w:val="00C004A6"/>
    <w:rsid w:val="00C06B13"/>
    <w:rsid w:val="00C279B5"/>
    <w:rsid w:val="00C27D25"/>
    <w:rsid w:val="00C32299"/>
    <w:rsid w:val="00C331DE"/>
    <w:rsid w:val="00C42541"/>
    <w:rsid w:val="00C42CDE"/>
    <w:rsid w:val="00C43F03"/>
    <w:rsid w:val="00C5182A"/>
    <w:rsid w:val="00C57586"/>
    <w:rsid w:val="00C63EE9"/>
    <w:rsid w:val="00C723A9"/>
    <w:rsid w:val="00C81C1F"/>
    <w:rsid w:val="00C94458"/>
    <w:rsid w:val="00CA16F3"/>
    <w:rsid w:val="00CA1ECC"/>
    <w:rsid w:val="00CA219D"/>
    <w:rsid w:val="00CA37B1"/>
    <w:rsid w:val="00CB1959"/>
    <w:rsid w:val="00CB3437"/>
    <w:rsid w:val="00CB6C4C"/>
    <w:rsid w:val="00CB7AF8"/>
    <w:rsid w:val="00CC741B"/>
    <w:rsid w:val="00CD09E2"/>
    <w:rsid w:val="00CD0E4B"/>
    <w:rsid w:val="00CE4C89"/>
    <w:rsid w:val="00CE6F91"/>
    <w:rsid w:val="00CF07BA"/>
    <w:rsid w:val="00CF122A"/>
    <w:rsid w:val="00CF6C83"/>
    <w:rsid w:val="00D00153"/>
    <w:rsid w:val="00D0296C"/>
    <w:rsid w:val="00D113A1"/>
    <w:rsid w:val="00D16BFD"/>
    <w:rsid w:val="00D21011"/>
    <w:rsid w:val="00D32D6F"/>
    <w:rsid w:val="00D35E3F"/>
    <w:rsid w:val="00D37560"/>
    <w:rsid w:val="00D37695"/>
    <w:rsid w:val="00D37B04"/>
    <w:rsid w:val="00D43FBE"/>
    <w:rsid w:val="00D540C6"/>
    <w:rsid w:val="00D61403"/>
    <w:rsid w:val="00D64BD1"/>
    <w:rsid w:val="00D64E96"/>
    <w:rsid w:val="00D65749"/>
    <w:rsid w:val="00D66834"/>
    <w:rsid w:val="00D75D4C"/>
    <w:rsid w:val="00D800E9"/>
    <w:rsid w:val="00D813DF"/>
    <w:rsid w:val="00D92254"/>
    <w:rsid w:val="00D93BC6"/>
    <w:rsid w:val="00D968F6"/>
    <w:rsid w:val="00DA1BC2"/>
    <w:rsid w:val="00DB53A4"/>
    <w:rsid w:val="00DC3D20"/>
    <w:rsid w:val="00DC781D"/>
    <w:rsid w:val="00DE084C"/>
    <w:rsid w:val="00DE57F0"/>
    <w:rsid w:val="00DE60A3"/>
    <w:rsid w:val="00DE7101"/>
    <w:rsid w:val="00E03ED3"/>
    <w:rsid w:val="00E14F51"/>
    <w:rsid w:val="00E22F0F"/>
    <w:rsid w:val="00E357B7"/>
    <w:rsid w:val="00E4469A"/>
    <w:rsid w:val="00E45DFE"/>
    <w:rsid w:val="00E53800"/>
    <w:rsid w:val="00E55D46"/>
    <w:rsid w:val="00E6081F"/>
    <w:rsid w:val="00E655FE"/>
    <w:rsid w:val="00E8296D"/>
    <w:rsid w:val="00E8457B"/>
    <w:rsid w:val="00E84F3D"/>
    <w:rsid w:val="00EA04B2"/>
    <w:rsid w:val="00EA14DB"/>
    <w:rsid w:val="00EA20F3"/>
    <w:rsid w:val="00EB398C"/>
    <w:rsid w:val="00EB43D4"/>
    <w:rsid w:val="00EC053F"/>
    <w:rsid w:val="00EC29A2"/>
    <w:rsid w:val="00EC3C2D"/>
    <w:rsid w:val="00EC53BA"/>
    <w:rsid w:val="00ED2831"/>
    <w:rsid w:val="00ED43D1"/>
    <w:rsid w:val="00ED4C14"/>
    <w:rsid w:val="00EE1027"/>
    <w:rsid w:val="00EE21FD"/>
    <w:rsid w:val="00EE25F4"/>
    <w:rsid w:val="00EE4EE1"/>
    <w:rsid w:val="00EE69FF"/>
    <w:rsid w:val="00EF4574"/>
    <w:rsid w:val="00EF5FB3"/>
    <w:rsid w:val="00F04694"/>
    <w:rsid w:val="00F069F9"/>
    <w:rsid w:val="00F132BD"/>
    <w:rsid w:val="00F25A93"/>
    <w:rsid w:val="00F2684E"/>
    <w:rsid w:val="00F30087"/>
    <w:rsid w:val="00F30EEB"/>
    <w:rsid w:val="00F366DB"/>
    <w:rsid w:val="00F5153D"/>
    <w:rsid w:val="00F53329"/>
    <w:rsid w:val="00F5404C"/>
    <w:rsid w:val="00F601DB"/>
    <w:rsid w:val="00F617F9"/>
    <w:rsid w:val="00F729EF"/>
    <w:rsid w:val="00F73639"/>
    <w:rsid w:val="00F744A2"/>
    <w:rsid w:val="00F74546"/>
    <w:rsid w:val="00F77CAE"/>
    <w:rsid w:val="00F82271"/>
    <w:rsid w:val="00F83428"/>
    <w:rsid w:val="00F860D9"/>
    <w:rsid w:val="00F950F7"/>
    <w:rsid w:val="00F95B6C"/>
    <w:rsid w:val="00F96BB9"/>
    <w:rsid w:val="00FA69AF"/>
    <w:rsid w:val="00FA7833"/>
    <w:rsid w:val="00FB24BE"/>
    <w:rsid w:val="00FB6D8C"/>
    <w:rsid w:val="00FC322F"/>
    <w:rsid w:val="00FC3EAA"/>
    <w:rsid w:val="00FE35D8"/>
    <w:rsid w:val="00FE49E6"/>
    <w:rsid w:val="00FE6D51"/>
    <w:rsid w:val="00FE6F2A"/>
    <w:rsid w:val="00FF228F"/>
    <w:rsid w:val="00FF4990"/>
    <w:rsid w:val="00FF65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49C081AE"/>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AD684B"/>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D684B"/>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AD684B"/>
    <w:pPr>
      <w:spacing w:before="0" w:after="0" w:line="240" w:lineRule="exact"/>
      <w:ind w:left="284" w:right="284"/>
    </w:pPr>
    <w:rPr>
      <w:color w:val="auto"/>
    </w:rPr>
  </w:style>
  <w:style w:type="character" w:customStyle="1" w:styleId="FooterChar">
    <w:name w:val="Footer Char"/>
    <w:basedOn w:val="DefaultParagraphFont"/>
    <w:link w:val="Footer"/>
    <w:uiPriority w:val="99"/>
    <w:rsid w:val="00AD684B"/>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AD684B"/>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styleId="EndnoteText">
    <w:name w:val="endnote text"/>
    <w:basedOn w:val="Normal"/>
    <w:link w:val="EndnoteTextChar"/>
    <w:uiPriority w:val="99"/>
    <w:unhideWhenUsed/>
    <w:rsid w:val="002265B0"/>
    <w:pPr>
      <w:spacing w:before="0" w:after="0" w:line="240" w:lineRule="auto"/>
    </w:pPr>
    <w:rPr>
      <w:sz w:val="20"/>
      <w:szCs w:val="20"/>
    </w:rPr>
  </w:style>
  <w:style w:type="character" w:customStyle="1" w:styleId="EndnoteTextChar">
    <w:name w:val="Endnote Text Char"/>
    <w:basedOn w:val="DefaultParagraphFont"/>
    <w:link w:val="EndnoteText"/>
    <w:uiPriority w:val="99"/>
    <w:rsid w:val="002265B0"/>
    <w:rPr>
      <w:color w:val="495965" w:themeColor="text2"/>
      <w:sz w:val="20"/>
      <w:szCs w:val="20"/>
      <w:lang w:val="en-GB"/>
    </w:rPr>
  </w:style>
  <w:style w:type="character" w:styleId="EndnoteReference">
    <w:name w:val="endnote reference"/>
    <w:basedOn w:val="DefaultParagraphFont"/>
    <w:uiPriority w:val="99"/>
    <w:semiHidden/>
    <w:unhideWhenUsed/>
    <w:rsid w:val="002265B0"/>
    <w:rPr>
      <w:vertAlign w:val="superscript"/>
    </w:rPr>
  </w:style>
  <w:style w:type="paragraph" w:styleId="NoSpacing">
    <w:name w:val="No Spacing"/>
    <w:uiPriority w:val="1"/>
    <w:qFormat/>
    <w:rsid w:val="001A642E"/>
    <w:pPr>
      <w:suppressAutoHyphens/>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4602891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3350676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258364427">
      <w:bodyDiv w:val="1"/>
      <w:marLeft w:val="0"/>
      <w:marRight w:val="0"/>
      <w:marTop w:val="0"/>
      <w:marBottom w:val="0"/>
      <w:divBdr>
        <w:top w:val="none" w:sz="0" w:space="0" w:color="auto"/>
        <w:left w:val="none" w:sz="0" w:space="0" w:color="auto"/>
        <w:bottom w:val="none" w:sz="0" w:space="0" w:color="auto"/>
        <w:right w:val="none" w:sz="0" w:space="0" w:color="auto"/>
      </w:divBdr>
    </w:div>
    <w:div w:id="1311593579">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464541981">
      <w:bodyDiv w:val="1"/>
      <w:marLeft w:val="0"/>
      <w:marRight w:val="0"/>
      <w:marTop w:val="0"/>
      <w:marBottom w:val="0"/>
      <w:divBdr>
        <w:top w:val="none" w:sz="0" w:space="0" w:color="auto"/>
        <w:left w:val="none" w:sz="0" w:space="0" w:color="auto"/>
        <w:bottom w:val="none" w:sz="0" w:space="0" w:color="auto"/>
        <w:right w:val="none" w:sz="0" w:space="0" w:color="auto"/>
      </w:divBdr>
    </w:div>
    <w:div w:id="1499996757">
      <w:bodyDiv w:val="1"/>
      <w:marLeft w:val="0"/>
      <w:marRight w:val="0"/>
      <w:marTop w:val="0"/>
      <w:marBottom w:val="0"/>
      <w:divBdr>
        <w:top w:val="none" w:sz="0" w:space="0" w:color="auto"/>
        <w:left w:val="none" w:sz="0" w:space="0" w:color="auto"/>
        <w:bottom w:val="none" w:sz="0" w:space="0" w:color="auto"/>
        <w:right w:val="none" w:sz="0" w:space="0" w:color="auto"/>
      </w:divBdr>
    </w:div>
    <w:div w:id="1551916070">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 w:id="2131780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endnotes.xml.rels><?xml version="1.0" encoding="UTF-8" standalone="yes"?>
<Relationships xmlns="http://schemas.openxmlformats.org/package/2006/relationships"><Relationship Id="rId1" Type="http://schemas.openxmlformats.org/officeDocument/2006/relationships/hyperlink" Target="https://www.trr.vu/en/public-register/reports/telecommunications-sector-report/2020"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44B631-7640-4A17-8550-BEE8955DE750}">
  <ds:schemaRefs>
    <ds:schemaRef ds:uri="349e11ad-1311-4134-818c-bb844dbfed54"/>
    <ds:schemaRef ds:uri="http://purl.org/dc/terms/"/>
    <ds:schemaRef ds:uri="http://schemas.openxmlformats.org/package/2006/metadata/core-properties"/>
    <ds:schemaRef ds:uri="http://purl.org/dc/dcmitype/"/>
    <ds:schemaRef ds:uri="http://schemas.microsoft.com/office/2006/documentManagement/types"/>
    <ds:schemaRef ds:uri="6b894c73-1921-4299-aefc-49f5a4cb1310"/>
    <ds:schemaRef ds:uri="http://purl.org/dc/elements/1.1/"/>
    <ds:schemaRef ds:uri="http://schemas.microsoft.com/office/2006/metadata/properties"/>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4D4C96B9-7198-4926-9D6E-DD5CCE4BC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5</Pages>
  <Words>1445</Words>
  <Characters>8243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9669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4</cp:revision>
  <cp:lastPrinted>2020-09-24T02:22:00Z</cp:lastPrinted>
  <dcterms:created xsi:type="dcterms:W3CDTF">2020-11-18T10:39:00Z</dcterms:created>
  <dcterms:modified xsi:type="dcterms:W3CDTF">2020-11-18T10:42:00Z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6ce1ee76-04ad-49ce-8862-677512901def</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