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56D0" w14:textId="64D4A093" w:rsidR="009C5213" w:rsidRPr="00B40779" w:rsidRDefault="00B25807" w:rsidP="005043E7">
      <w:pPr>
        <w:pStyle w:val="DocName"/>
        <w:pBdr>
          <w:top w:val="single" w:sz="4" w:space="12" w:color="FF9900"/>
          <w:bottom w:val="single" w:sz="4" w:space="5" w:color="FF9900"/>
        </w:pBdr>
        <w:shd w:val="clear" w:color="auto" w:fill="FFFFCC"/>
        <w:contextualSpacing/>
        <w:rPr>
          <w:color w:val="000000"/>
          <w:sz w:val="24"/>
          <w:lang w:eastAsia="en-AU"/>
        </w:rPr>
      </w:pPr>
      <w:r>
        <w:rPr>
          <w:color w:val="000000"/>
          <w:sz w:val="24"/>
          <w:lang w:eastAsia="en-AU"/>
        </w:rPr>
        <w:t>Review</w:t>
      </w:r>
      <w:r w:rsidR="008476B1">
        <w:rPr>
          <w:color w:val="000000"/>
          <w:sz w:val="24"/>
          <w:lang w:eastAsia="en-AU"/>
        </w:rPr>
        <w:t>:</w:t>
      </w:r>
      <w:r w:rsidR="009C5213" w:rsidRPr="00B40779">
        <w:rPr>
          <w:color w:val="000000"/>
          <w:sz w:val="24"/>
          <w:lang w:eastAsia="en-AU"/>
        </w:rPr>
        <w:t xml:space="preserve"> </w:t>
      </w:r>
      <w:r w:rsidR="009C5213">
        <w:rPr>
          <w:color w:val="000000"/>
          <w:sz w:val="24"/>
          <w:lang w:eastAsia="en-AU"/>
        </w:rPr>
        <w:t xml:space="preserve">Vanuatu </w:t>
      </w:r>
      <w:r>
        <w:rPr>
          <w:color w:val="000000"/>
          <w:sz w:val="24"/>
          <w:lang w:eastAsia="en-AU"/>
        </w:rPr>
        <w:t>Education Support</w:t>
      </w:r>
      <w:r w:rsidR="009C5213">
        <w:rPr>
          <w:color w:val="000000"/>
          <w:sz w:val="24"/>
          <w:lang w:eastAsia="en-AU"/>
        </w:rPr>
        <w:t xml:space="preserve"> Program</w:t>
      </w:r>
    </w:p>
    <w:p w14:paraId="3AF145E0" w14:textId="77777777" w:rsidR="009C5213" w:rsidRPr="003645BF" w:rsidRDefault="009C5213" w:rsidP="005043E7">
      <w:pPr>
        <w:pStyle w:val="DocName"/>
        <w:pBdr>
          <w:top w:val="single" w:sz="4" w:space="12" w:color="FF9900"/>
          <w:bottom w:val="single" w:sz="4" w:space="5" w:color="FF9900"/>
        </w:pBdr>
        <w:shd w:val="clear" w:color="auto" w:fill="FFFFCC"/>
        <w:contextualSpacing/>
        <w:rPr>
          <w:color w:val="000000"/>
          <w:sz w:val="24"/>
          <w:lang w:eastAsia="en-AU"/>
        </w:rPr>
      </w:pPr>
      <w:r w:rsidRPr="00B40779">
        <w:rPr>
          <w:color w:val="000000"/>
          <w:sz w:val="24"/>
          <w:lang w:eastAsia="en-AU"/>
        </w:rPr>
        <w:t>MANAGEMENT RESPONSE</w:t>
      </w:r>
    </w:p>
    <w:p w14:paraId="0FED0AF3" w14:textId="43B77D5F" w:rsidR="009C5213" w:rsidRPr="00720ABC" w:rsidRDefault="00C67CEC" w:rsidP="0020133E">
      <w:pPr>
        <w:pStyle w:val="Heading2"/>
        <w:spacing w:before="120" w:after="120"/>
        <w:contextualSpacing/>
        <w:rPr>
          <w:szCs w:val="24"/>
        </w:rPr>
      </w:pPr>
      <w:r>
        <w:rPr>
          <w:szCs w:val="24"/>
        </w:rPr>
        <w:t>Investment</w:t>
      </w:r>
      <w:r w:rsidR="009C5213" w:rsidRPr="00720ABC">
        <w:rPr>
          <w:szCs w:val="24"/>
        </w:rPr>
        <w:t xml:space="preserve">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97"/>
        <w:gridCol w:w="7201"/>
      </w:tblGrid>
      <w:tr w:rsidR="00505C3A" w:rsidRPr="009C5213" w14:paraId="02728821" w14:textId="77777777" w:rsidTr="0020133E">
        <w:trPr>
          <w:cantSplit/>
          <w:trHeight w:val="449"/>
          <w:tblHeader/>
        </w:trPr>
        <w:tc>
          <w:tcPr>
            <w:tcW w:w="2297" w:type="dxa"/>
            <w:shd w:val="clear" w:color="auto" w:fill="E0E0E0"/>
          </w:tcPr>
          <w:p w14:paraId="13C9BD35" w14:textId="7993CE25" w:rsidR="009C5213" w:rsidRPr="009C5213" w:rsidRDefault="009C5213" w:rsidP="0020133E">
            <w:pPr>
              <w:pStyle w:val="Table-normal-text"/>
              <w:spacing w:after="60"/>
              <w:contextualSpacing/>
              <w:rPr>
                <w:rFonts w:asciiTheme="minorHAnsi" w:hAnsiTheme="minorHAnsi" w:cstheme="minorHAnsi"/>
                <w:b/>
                <w:sz w:val="22"/>
              </w:rPr>
            </w:pPr>
            <w:r w:rsidRPr="009C5213">
              <w:rPr>
                <w:rFonts w:asciiTheme="minorHAnsi" w:hAnsiTheme="minorHAnsi" w:cstheme="minorHAnsi"/>
                <w:b/>
                <w:sz w:val="22"/>
              </w:rPr>
              <w:t>In</w:t>
            </w:r>
            <w:r w:rsidR="00C67CEC">
              <w:rPr>
                <w:rFonts w:asciiTheme="minorHAnsi" w:hAnsiTheme="minorHAnsi" w:cstheme="minorHAnsi"/>
                <w:b/>
                <w:sz w:val="22"/>
              </w:rPr>
              <w:t>vestment</w:t>
            </w:r>
            <w:r w:rsidRPr="009C5213">
              <w:rPr>
                <w:rFonts w:asciiTheme="minorHAnsi" w:hAnsiTheme="minorHAnsi" w:cstheme="minorHAnsi"/>
                <w:b/>
                <w:sz w:val="22"/>
              </w:rPr>
              <w:t xml:space="preserve"> Name</w:t>
            </w:r>
          </w:p>
        </w:tc>
        <w:tc>
          <w:tcPr>
            <w:tcW w:w="7201" w:type="dxa"/>
            <w:shd w:val="clear" w:color="auto" w:fill="E0E0E0"/>
          </w:tcPr>
          <w:p w14:paraId="3D6C652F" w14:textId="4799CD21" w:rsidR="009C5213" w:rsidRPr="009C5213" w:rsidRDefault="0020133E" w:rsidP="0020133E">
            <w:pPr>
              <w:pStyle w:val="Table-normal-text"/>
              <w:spacing w:after="60"/>
              <w:contextualSpacing/>
              <w:rPr>
                <w:rFonts w:asciiTheme="minorHAnsi" w:hAnsiTheme="minorHAnsi" w:cstheme="minorHAnsi"/>
                <w:b/>
                <w:sz w:val="22"/>
              </w:rPr>
            </w:pPr>
            <w:r>
              <w:rPr>
                <w:rFonts w:asciiTheme="minorHAnsi" w:hAnsiTheme="minorHAnsi" w:cstheme="minorHAnsi"/>
                <w:b/>
                <w:sz w:val="22"/>
              </w:rPr>
              <w:t>Vanuatu Education Support P</w:t>
            </w:r>
            <w:r w:rsidR="00B25807">
              <w:rPr>
                <w:rFonts w:asciiTheme="minorHAnsi" w:hAnsiTheme="minorHAnsi" w:cstheme="minorHAnsi"/>
                <w:b/>
                <w:sz w:val="22"/>
              </w:rPr>
              <w:t xml:space="preserve">rogram </w:t>
            </w:r>
            <w:r w:rsidR="000F34FE">
              <w:rPr>
                <w:rFonts w:asciiTheme="minorHAnsi" w:hAnsiTheme="minorHAnsi" w:cstheme="minorHAnsi"/>
                <w:b/>
                <w:sz w:val="22"/>
              </w:rPr>
              <w:t>(VESP)</w:t>
            </w:r>
          </w:p>
        </w:tc>
      </w:tr>
      <w:tr w:rsidR="009C5213" w:rsidRPr="009C5213" w14:paraId="1C498524" w14:textId="77777777" w:rsidTr="0020133E">
        <w:trPr>
          <w:cantSplit/>
          <w:trHeight w:val="295"/>
        </w:trPr>
        <w:tc>
          <w:tcPr>
            <w:tcW w:w="2297" w:type="dxa"/>
            <w:shd w:val="clear" w:color="auto" w:fill="auto"/>
          </w:tcPr>
          <w:p w14:paraId="7EDD1B79" w14:textId="47E5D40D"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 xml:space="preserve">AidWorks </w:t>
            </w:r>
            <w:r w:rsidR="00C67CEC">
              <w:rPr>
                <w:rFonts w:asciiTheme="minorHAnsi" w:hAnsiTheme="minorHAnsi" w:cstheme="minorHAnsi"/>
                <w:sz w:val="22"/>
              </w:rPr>
              <w:t xml:space="preserve">reference </w:t>
            </w:r>
          </w:p>
        </w:tc>
        <w:tc>
          <w:tcPr>
            <w:tcW w:w="7201" w:type="dxa"/>
            <w:shd w:val="clear" w:color="auto" w:fill="auto"/>
          </w:tcPr>
          <w:p w14:paraId="108D6ADE" w14:textId="6DB28F23" w:rsidR="009C5213" w:rsidRPr="009C5213" w:rsidRDefault="00C67CEC"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 xml:space="preserve">Investment </w:t>
            </w:r>
            <w:r w:rsidR="00A91E23">
              <w:rPr>
                <w:rFonts w:asciiTheme="minorHAnsi" w:hAnsiTheme="minorHAnsi" w:cstheme="minorHAnsi"/>
                <w:sz w:val="22"/>
              </w:rPr>
              <w:t>INK</w:t>
            </w:r>
            <w:r w:rsidR="005043E7">
              <w:rPr>
                <w:rFonts w:asciiTheme="minorHAnsi" w:hAnsiTheme="minorHAnsi" w:cstheme="minorHAnsi"/>
                <w:sz w:val="22"/>
              </w:rPr>
              <w:t>372; A</w:t>
            </w:r>
            <w:r w:rsidR="00B25807">
              <w:rPr>
                <w:rFonts w:asciiTheme="minorHAnsi" w:hAnsiTheme="minorHAnsi" w:cstheme="minorHAnsi"/>
                <w:sz w:val="22"/>
              </w:rPr>
              <w:t>ctivity 12B301</w:t>
            </w:r>
            <w:bookmarkStart w:id="0" w:name="_GoBack"/>
            <w:bookmarkEnd w:id="0"/>
          </w:p>
        </w:tc>
      </w:tr>
      <w:tr w:rsidR="00057125" w:rsidRPr="009C5213" w14:paraId="3789EFE1" w14:textId="77777777" w:rsidTr="00B01570">
        <w:trPr>
          <w:cantSplit/>
          <w:trHeight w:val="266"/>
        </w:trPr>
        <w:tc>
          <w:tcPr>
            <w:tcW w:w="2297" w:type="dxa"/>
            <w:shd w:val="clear" w:color="auto" w:fill="auto"/>
          </w:tcPr>
          <w:p w14:paraId="4B857C49" w14:textId="79F797EA" w:rsidR="00057125" w:rsidRPr="009C5213" w:rsidRDefault="00057125" w:rsidP="00057125">
            <w:pPr>
              <w:pStyle w:val="Table-normal-text"/>
              <w:spacing w:after="60"/>
              <w:contextualSpacing/>
              <w:rPr>
                <w:rFonts w:asciiTheme="minorHAnsi" w:hAnsiTheme="minorHAnsi" w:cstheme="minorHAnsi"/>
                <w:sz w:val="22"/>
              </w:rPr>
            </w:pPr>
            <w:r>
              <w:rPr>
                <w:rFonts w:asciiTheme="minorHAnsi" w:hAnsiTheme="minorHAnsi" w:cstheme="minorHAnsi"/>
                <w:sz w:val="22"/>
              </w:rPr>
              <w:t xml:space="preserve">Original </w:t>
            </w:r>
            <w:r w:rsidRPr="009C5213">
              <w:rPr>
                <w:rFonts w:asciiTheme="minorHAnsi" w:hAnsiTheme="minorHAnsi" w:cstheme="minorHAnsi"/>
                <w:sz w:val="22"/>
              </w:rPr>
              <w:t>date</w:t>
            </w:r>
            <w:r>
              <w:rPr>
                <w:rFonts w:asciiTheme="minorHAnsi" w:hAnsiTheme="minorHAnsi" w:cstheme="minorHAnsi"/>
                <w:sz w:val="22"/>
              </w:rPr>
              <w:t>s:</w:t>
            </w:r>
          </w:p>
        </w:tc>
        <w:tc>
          <w:tcPr>
            <w:tcW w:w="7201" w:type="dxa"/>
            <w:shd w:val="clear" w:color="auto" w:fill="auto"/>
          </w:tcPr>
          <w:p w14:paraId="6ACF8E10" w14:textId="0581FF00" w:rsidR="00057125" w:rsidRPr="009C5213" w:rsidRDefault="00057125" w:rsidP="00057125">
            <w:pPr>
              <w:pStyle w:val="Table-normal-text"/>
              <w:spacing w:after="60"/>
              <w:contextualSpacing/>
              <w:rPr>
                <w:rFonts w:asciiTheme="minorHAnsi" w:hAnsiTheme="minorHAnsi" w:cstheme="minorHAnsi"/>
                <w:sz w:val="22"/>
              </w:rPr>
            </w:pPr>
            <w:r>
              <w:rPr>
                <w:rFonts w:asciiTheme="minorHAnsi" w:hAnsiTheme="minorHAnsi" w:cstheme="minorHAnsi"/>
                <w:sz w:val="22"/>
              </w:rPr>
              <w:t>1 March 2013 to 30 June 2017</w:t>
            </w:r>
          </w:p>
        </w:tc>
      </w:tr>
      <w:tr w:rsidR="00057125" w:rsidRPr="009C5213" w14:paraId="7F15FBA4" w14:textId="77777777" w:rsidTr="00945CB0">
        <w:trPr>
          <w:cantSplit/>
          <w:trHeight w:val="266"/>
        </w:trPr>
        <w:tc>
          <w:tcPr>
            <w:tcW w:w="2297" w:type="dxa"/>
            <w:shd w:val="clear" w:color="auto" w:fill="auto"/>
          </w:tcPr>
          <w:p w14:paraId="4CE56A44" w14:textId="39759DEB" w:rsidR="00057125" w:rsidRPr="009C5213" w:rsidRDefault="00057125"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Amended dates:</w:t>
            </w:r>
          </w:p>
        </w:tc>
        <w:tc>
          <w:tcPr>
            <w:tcW w:w="7201" w:type="dxa"/>
            <w:shd w:val="clear" w:color="auto" w:fill="auto"/>
          </w:tcPr>
          <w:p w14:paraId="1C5B8BFC" w14:textId="6EBCBEBA" w:rsidR="00057125" w:rsidRDefault="00057125"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1 March 2013 to 31 January 2019</w:t>
            </w:r>
            <w:r w:rsidR="00896AE4">
              <w:rPr>
                <w:rFonts w:asciiTheme="minorHAnsi" w:hAnsiTheme="minorHAnsi" w:cstheme="minorHAnsi"/>
                <w:sz w:val="22"/>
              </w:rPr>
              <w:t xml:space="preserve"> (amendment signed 19 June 2017)</w:t>
            </w:r>
          </w:p>
        </w:tc>
      </w:tr>
      <w:tr w:rsidR="005043E7" w:rsidRPr="009C5213" w14:paraId="7809F0B8" w14:textId="77777777" w:rsidTr="0020133E">
        <w:trPr>
          <w:cantSplit/>
          <w:trHeight w:val="295"/>
        </w:trPr>
        <w:tc>
          <w:tcPr>
            <w:tcW w:w="2297" w:type="dxa"/>
            <w:shd w:val="clear" w:color="auto" w:fill="auto"/>
          </w:tcPr>
          <w:p w14:paraId="41C44C27" w14:textId="464CDFCE" w:rsidR="005043E7" w:rsidRPr="009C5213" w:rsidRDefault="00057125"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Original</w:t>
            </w:r>
            <w:r w:rsidR="005043E7">
              <w:rPr>
                <w:rFonts w:asciiTheme="minorHAnsi" w:hAnsiTheme="minorHAnsi" w:cstheme="minorHAnsi"/>
                <w:sz w:val="22"/>
              </w:rPr>
              <w:t xml:space="preserve"> value:</w:t>
            </w:r>
          </w:p>
        </w:tc>
        <w:tc>
          <w:tcPr>
            <w:tcW w:w="7201" w:type="dxa"/>
            <w:shd w:val="clear" w:color="auto" w:fill="auto"/>
          </w:tcPr>
          <w:p w14:paraId="475E656D" w14:textId="77777777" w:rsidR="005043E7" w:rsidRDefault="005043E7"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Total value: A$33,796,778.92</w:t>
            </w:r>
          </w:p>
          <w:p w14:paraId="22AA3D9A" w14:textId="7A0C5D26" w:rsidR="005043E7" w:rsidRPr="009C5213" w:rsidRDefault="005043E7"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(incl. A$11,922,473.60 from the New Zealand Government)</w:t>
            </w:r>
          </w:p>
        </w:tc>
      </w:tr>
      <w:tr w:rsidR="00057125" w:rsidRPr="009C5213" w14:paraId="487988E0" w14:textId="77777777" w:rsidTr="0020133E">
        <w:trPr>
          <w:cantSplit/>
          <w:trHeight w:val="295"/>
        </w:trPr>
        <w:tc>
          <w:tcPr>
            <w:tcW w:w="2297" w:type="dxa"/>
            <w:shd w:val="clear" w:color="auto" w:fill="auto"/>
          </w:tcPr>
          <w:p w14:paraId="3C204A8E" w14:textId="5471BC22" w:rsidR="00057125" w:rsidRDefault="00057125"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 xml:space="preserve">Amended value: </w:t>
            </w:r>
          </w:p>
        </w:tc>
        <w:tc>
          <w:tcPr>
            <w:tcW w:w="7201" w:type="dxa"/>
            <w:shd w:val="clear" w:color="auto" w:fill="auto"/>
          </w:tcPr>
          <w:p w14:paraId="6217B3C0" w14:textId="77777777" w:rsidR="00057125" w:rsidRDefault="00057125"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Total value</w:t>
            </w:r>
            <w:r w:rsidR="000F6048">
              <w:rPr>
                <w:rFonts w:asciiTheme="minorHAnsi" w:hAnsiTheme="minorHAnsi" w:cstheme="minorHAnsi"/>
                <w:sz w:val="22"/>
              </w:rPr>
              <w:t>: A$41,105,297.40</w:t>
            </w:r>
          </w:p>
          <w:p w14:paraId="3DD8FD48" w14:textId="1A3725B6" w:rsidR="000F6048" w:rsidRDefault="000F6048"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 xml:space="preserve">(Incl. A$11,922,473.60 from the New Zealand Government) </w:t>
            </w:r>
          </w:p>
        </w:tc>
      </w:tr>
      <w:tr w:rsidR="009C5213" w:rsidRPr="009C5213" w14:paraId="7230EDF4" w14:textId="77777777" w:rsidTr="0020133E">
        <w:trPr>
          <w:cantSplit/>
          <w:trHeight w:val="339"/>
        </w:trPr>
        <w:tc>
          <w:tcPr>
            <w:tcW w:w="2297" w:type="dxa"/>
            <w:shd w:val="clear" w:color="auto" w:fill="auto"/>
          </w:tcPr>
          <w:p w14:paraId="1E306859" w14:textId="38125F9A" w:rsidR="009C5213" w:rsidRPr="009C5213" w:rsidRDefault="00A91E23"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Implementing partner</w:t>
            </w:r>
            <w:r w:rsidR="00505C3A">
              <w:rPr>
                <w:rFonts w:asciiTheme="minorHAnsi" w:hAnsiTheme="minorHAnsi" w:cstheme="minorHAnsi"/>
                <w:sz w:val="22"/>
              </w:rPr>
              <w:t>:</w:t>
            </w:r>
          </w:p>
        </w:tc>
        <w:tc>
          <w:tcPr>
            <w:tcW w:w="7201" w:type="dxa"/>
            <w:shd w:val="clear" w:color="auto" w:fill="auto"/>
          </w:tcPr>
          <w:p w14:paraId="5C924369" w14:textId="0F5072DF" w:rsidR="009C5213" w:rsidRPr="009C5213" w:rsidRDefault="00096F76" w:rsidP="000F6048">
            <w:pPr>
              <w:pStyle w:val="Table-normal-text"/>
              <w:spacing w:after="60"/>
              <w:contextualSpacing/>
              <w:rPr>
                <w:rFonts w:asciiTheme="minorHAnsi" w:hAnsiTheme="minorHAnsi" w:cstheme="minorHAnsi"/>
                <w:sz w:val="22"/>
              </w:rPr>
            </w:pPr>
            <w:r>
              <w:rPr>
                <w:rFonts w:asciiTheme="minorHAnsi" w:hAnsiTheme="minorHAnsi" w:cstheme="minorHAnsi"/>
                <w:sz w:val="22"/>
              </w:rPr>
              <w:t>Coffey</w:t>
            </w:r>
            <w:r w:rsidR="005E585D">
              <w:rPr>
                <w:rFonts w:asciiTheme="minorHAnsi" w:hAnsiTheme="minorHAnsi" w:cstheme="minorHAnsi"/>
                <w:sz w:val="22"/>
              </w:rPr>
              <w:t xml:space="preserve"> International Ltd</w:t>
            </w:r>
            <w:r w:rsidR="00C67CEC">
              <w:rPr>
                <w:rFonts w:asciiTheme="minorHAnsi" w:hAnsiTheme="minorHAnsi" w:cstheme="minorHAnsi"/>
                <w:sz w:val="22"/>
              </w:rPr>
              <w:t xml:space="preserve"> manages the </w:t>
            </w:r>
            <w:r w:rsidR="005043E7">
              <w:rPr>
                <w:rFonts w:asciiTheme="minorHAnsi" w:hAnsiTheme="minorHAnsi" w:cstheme="minorHAnsi"/>
                <w:sz w:val="22"/>
              </w:rPr>
              <w:t xml:space="preserve">majority of </w:t>
            </w:r>
            <w:r w:rsidR="00C67CEC">
              <w:rPr>
                <w:rFonts w:asciiTheme="minorHAnsi" w:hAnsiTheme="minorHAnsi" w:cstheme="minorHAnsi"/>
                <w:sz w:val="22"/>
              </w:rPr>
              <w:t xml:space="preserve">activities for VESP. </w:t>
            </w:r>
            <w:r w:rsidR="005043E7">
              <w:rPr>
                <w:rFonts w:asciiTheme="minorHAnsi" w:hAnsiTheme="minorHAnsi" w:cstheme="minorHAnsi"/>
                <w:sz w:val="22"/>
              </w:rPr>
              <w:t>Development P</w:t>
            </w:r>
            <w:r w:rsidR="00C67CEC">
              <w:rPr>
                <w:rFonts w:asciiTheme="minorHAnsi" w:hAnsiTheme="minorHAnsi" w:cstheme="minorHAnsi"/>
                <w:sz w:val="22"/>
              </w:rPr>
              <w:t xml:space="preserve">artners provide funds directly to the Ministry </w:t>
            </w:r>
            <w:r w:rsidR="005043E7">
              <w:rPr>
                <w:rFonts w:asciiTheme="minorHAnsi" w:hAnsiTheme="minorHAnsi" w:cstheme="minorHAnsi"/>
                <w:sz w:val="22"/>
              </w:rPr>
              <w:t xml:space="preserve">of Education and Training </w:t>
            </w:r>
            <w:r w:rsidR="00C67CEC">
              <w:rPr>
                <w:rFonts w:asciiTheme="minorHAnsi" w:hAnsiTheme="minorHAnsi" w:cstheme="minorHAnsi"/>
                <w:sz w:val="22"/>
              </w:rPr>
              <w:t>through a D</w:t>
            </w:r>
            <w:r w:rsidR="005043E7">
              <w:rPr>
                <w:rFonts w:asciiTheme="minorHAnsi" w:hAnsiTheme="minorHAnsi" w:cstheme="minorHAnsi"/>
                <w:sz w:val="22"/>
              </w:rPr>
              <w:t xml:space="preserve">irect </w:t>
            </w:r>
            <w:r w:rsidR="00C67CEC">
              <w:rPr>
                <w:rFonts w:asciiTheme="minorHAnsi" w:hAnsiTheme="minorHAnsi" w:cstheme="minorHAnsi"/>
                <w:sz w:val="22"/>
              </w:rPr>
              <w:t>F</w:t>
            </w:r>
            <w:r w:rsidR="005043E7">
              <w:rPr>
                <w:rFonts w:asciiTheme="minorHAnsi" w:hAnsiTheme="minorHAnsi" w:cstheme="minorHAnsi"/>
                <w:sz w:val="22"/>
              </w:rPr>
              <w:t xml:space="preserve">unding </w:t>
            </w:r>
            <w:r w:rsidR="00C67CEC">
              <w:rPr>
                <w:rFonts w:asciiTheme="minorHAnsi" w:hAnsiTheme="minorHAnsi" w:cstheme="minorHAnsi"/>
                <w:sz w:val="22"/>
              </w:rPr>
              <w:t>A</w:t>
            </w:r>
            <w:r w:rsidR="005043E7">
              <w:rPr>
                <w:rFonts w:asciiTheme="minorHAnsi" w:hAnsiTheme="minorHAnsi" w:cstheme="minorHAnsi"/>
                <w:sz w:val="22"/>
              </w:rPr>
              <w:t>rrangement (DFA) valued at A$</w:t>
            </w:r>
            <w:r w:rsidR="000F6048">
              <w:rPr>
                <w:rFonts w:asciiTheme="minorHAnsi" w:hAnsiTheme="minorHAnsi" w:cstheme="minorHAnsi"/>
                <w:sz w:val="22"/>
              </w:rPr>
              <w:t>8,152,772.00</w:t>
            </w:r>
            <w:r w:rsidR="00666294">
              <w:rPr>
                <w:rFonts w:asciiTheme="minorHAnsi" w:hAnsiTheme="minorHAnsi" w:cstheme="minorHAnsi"/>
                <w:sz w:val="22"/>
              </w:rPr>
              <w:t>.</w:t>
            </w:r>
          </w:p>
        </w:tc>
      </w:tr>
      <w:tr w:rsidR="009C5213" w:rsidRPr="009C5213" w14:paraId="0B908620" w14:textId="77777777" w:rsidTr="0020133E">
        <w:trPr>
          <w:cantSplit/>
          <w:trHeight w:val="318"/>
        </w:trPr>
        <w:tc>
          <w:tcPr>
            <w:tcW w:w="2297" w:type="dxa"/>
            <w:shd w:val="clear" w:color="auto" w:fill="auto"/>
          </w:tcPr>
          <w:p w14:paraId="5A25AF89" w14:textId="33EA5656" w:rsidR="009C5213" w:rsidRPr="009C5213" w:rsidRDefault="00A91E23"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Other key partners</w:t>
            </w:r>
            <w:r w:rsidR="00505C3A">
              <w:rPr>
                <w:rFonts w:asciiTheme="minorHAnsi" w:hAnsiTheme="minorHAnsi" w:cstheme="minorHAnsi"/>
                <w:sz w:val="22"/>
              </w:rPr>
              <w:t>:</w:t>
            </w:r>
          </w:p>
        </w:tc>
        <w:tc>
          <w:tcPr>
            <w:tcW w:w="7201" w:type="dxa"/>
            <w:shd w:val="clear" w:color="auto" w:fill="auto"/>
          </w:tcPr>
          <w:p w14:paraId="18DDAF08" w14:textId="0AFF1CA0" w:rsidR="00A91E23" w:rsidRPr="009C5213" w:rsidRDefault="005043E7" w:rsidP="0020133E">
            <w:pPr>
              <w:pStyle w:val="Table-normal-text"/>
              <w:spacing w:after="60"/>
              <w:contextualSpacing/>
              <w:rPr>
                <w:rFonts w:asciiTheme="minorHAnsi" w:hAnsiTheme="minorHAnsi" w:cstheme="minorHAnsi"/>
                <w:sz w:val="22"/>
              </w:rPr>
            </w:pPr>
            <w:r>
              <w:rPr>
                <w:rFonts w:asciiTheme="minorHAnsi" w:hAnsiTheme="minorHAnsi" w:cstheme="minorHAnsi"/>
                <w:sz w:val="22"/>
              </w:rPr>
              <w:t>New Zealand Government</w:t>
            </w:r>
          </w:p>
        </w:tc>
      </w:tr>
      <w:tr w:rsidR="009C5213" w:rsidRPr="009C5213" w14:paraId="43476CFC" w14:textId="77777777" w:rsidTr="0020133E">
        <w:trPr>
          <w:cantSplit/>
          <w:trHeight w:val="295"/>
        </w:trPr>
        <w:tc>
          <w:tcPr>
            <w:tcW w:w="2297" w:type="dxa"/>
            <w:shd w:val="clear" w:color="auto" w:fill="auto"/>
          </w:tcPr>
          <w:p w14:paraId="4276204A" w14:textId="3FFEEE58"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Country/Region</w:t>
            </w:r>
            <w:r w:rsidR="00505C3A">
              <w:rPr>
                <w:rFonts w:asciiTheme="minorHAnsi" w:hAnsiTheme="minorHAnsi" w:cstheme="minorHAnsi"/>
                <w:sz w:val="22"/>
              </w:rPr>
              <w:t>:</w:t>
            </w:r>
          </w:p>
        </w:tc>
        <w:tc>
          <w:tcPr>
            <w:tcW w:w="7201" w:type="dxa"/>
            <w:shd w:val="clear" w:color="auto" w:fill="auto"/>
          </w:tcPr>
          <w:p w14:paraId="48C1863B" w14:textId="70029810"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Vanuatu</w:t>
            </w:r>
          </w:p>
        </w:tc>
      </w:tr>
      <w:tr w:rsidR="009C5213" w:rsidRPr="009C5213" w14:paraId="13401D14" w14:textId="77777777" w:rsidTr="0020133E">
        <w:trPr>
          <w:cantSplit/>
          <w:trHeight w:val="295"/>
        </w:trPr>
        <w:tc>
          <w:tcPr>
            <w:tcW w:w="2297" w:type="dxa"/>
            <w:shd w:val="clear" w:color="auto" w:fill="auto"/>
          </w:tcPr>
          <w:p w14:paraId="262CDA70" w14:textId="320A7C4A"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Primary sector</w:t>
            </w:r>
            <w:r w:rsidR="00505C3A">
              <w:rPr>
                <w:rFonts w:asciiTheme="minorHAnsi" w:hAnsiTheme="minorHAnsi" w:cstheme="minorHAnsi"/>
                <w:sz w:val="22"/>
              </w:rPr>
              <w:t>:</w:t>
            </w:r>
          </w:p>
        </w:tc>
        <w:tc>
          <w:tcPr>
            <w:tcW w:w="7201" w:type="dxa"/>
            <w:shd w:val="clear" w:color="auto" w:fill="auto"/>
          </w:tcPr>
          <w:p w14:paraId="21C4BAD4" w14:textId="5E18E14A"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Education</w:t>
            </w:r>
          </w:p>
        </w:tc>
      </w:tr>
      <w:tr w:rsidR="009C5213" w:rsidRPr="009C5213" w14:paraId="7A0F0486" w14:textId="77777777" w:rsidTr="0020133E">
        <w:trPr>
          <w:cantSplit/>
          <w:trHeight w:val="307"/>
        </w:trPr>
        <w:tc>
          <w:tcPr>
            <w:tcW w:w="2297" w:type="dxa"/>
            <w:shd w:val="clear" w:color="auto" w:fill="auto"/>
          </w:tcPr>
          <w:p w14:paraId="1DA83560" w14:textId="288749BF" w:rsidR="009C5213" w:rsidRPr="009C5213" w:rsidRDefault="009C5213" w:rsidP="0020133E">
            <w:pPr>
              <w:pStyle w:val="Table-normal-text"/>
              <w:spacing w:after="60"/>
              <w:contextualSpacing/>
              <w:rPr>
                <w:rFonts w:asciiTheme="minorHAnsi" w:hAnsiTheme="minorHAnsi" w:cstheme="minorHAnsi"/>
                <w:sz w:val="22"/>
              </w:rPr>
            </w:pPr>
            <w:r w:rsidRPr="009C5213">
              <w:rPr>
                <w:rFonts w:asciiTheme="minorHAnsi" w:hAnsiTheme="minorHAnsi" w:cstheme="minorHAnsi"/>
                <w:sz w:val="22"/>
              </w:rPr>
              <w:t xml:space="preserve">Initiative </w:t>
            </w:r>
            <w:r w:rsidR="000F34FE">
              <w:rPr>
                <w:rFonts w:asciiTheme="minorHAnsi" w:hAnsiTheme="minorHAnsi" w:cstheme="minorHAnsi"/>
                <w:sz w:val="22"/>
              </w:rPr>
              <w:t>goal</w:t>
            </w:r>
            <w:r w:rsidRPr="009C5213">
              <w:rPr>
                <w:rFonts w:asciiTheme="minorHAnsi" w:hAnsiTheme="minorHAnsi" w:cstheme="minorHAnsi"/>
                <w:sz w:val="22"/>
              </w:rPr>
              <w:t>s</w:t>
            </w:r>
            <w:r w:rsidR="00505C3A">
              <w:rPr>
                <w:rFonts w:asciiTheme="minorHAnsi" w:hAnsiTheme="minorHAnsi" w:cstheme="minorHAnsi"/>
                <w:sz w:val="22"/>
              </w:rPr>
              <w:t>:</w:t>
            </w:r>
          </w:p>
        </w:tc>
        <w:tc>
          <w:tcPr>
            <w:tcW w:w="7201" w:type="dxa"/>
            <w:shd w:val="clear" w:color="auto" w:fill="auto"/>
          </w:tcPr>
          <w:p w14:paraId="7D709824" w14:textId="671021B1" w:rsidR="000F34FE" w:rsidRPr="0022314F" w:rsidRDefault="000F34FE" w:rsidP="00131E1E">
            <w:pPr>
              <w:pStyle w:val="SDAbulletpoints"/>
              <w:numPr>
                <w:ilvl w:val="0"/>
                <w:numId w:val="27"/>
              </w:numPr>
              <w:spacing w:before="60" w:after="60"/>
              <w:ind w:left="456" w:hanging="283"/>
              <w:contextualSpacing/>
            </w:pPr>
            <w:r w:rsidRPr="0022314F">
              <w:t>Improve the quality of education in Vanuatu</w:t>
            </w:r>
          </w:p>
          <w:p w14:paraId="6389944A" w14:textId="563066BB" w:rsidR="000F34FE" w:rsidRPr="0022314F" w:rsidRDefault="000F34FE" w:rsidP="00131E1E">
            <w:pPr>
              <w:pStyle w:val="SDAbulletpoints"/>
              <w:numPr>
                <w:ilvl w:val="0"/>
                <w:numId w:val="27"/>
              </w:numPr>
              <w:spacing w:before="60" w:after="60"/>
              <w:ind w:left="456" w:hanging="283"/>
              <w:contextualSpacing/>
            </w:pPr>
            <w:r w:rsidRPr="0022314F">
              <w:t>Improve equitable access to education for children in Vanuatu.</w:t>
            </w:r>
          </w:p>
          <w:p w14:paraId="66663513" w14:textId="2325A2A7" w:rsidR="00E01732" w:rsidRPr="000F34FE" w:rsidRDefault="000F34FE" w:rsidP="00131E1E">
            <w:pPr>
              <w:pStyle w:val="SDAbulletpoints"/>
              <w:numPr>
                <w:ilvl w:val="0"/>
                <w:numId w:val="27"/>
              </w:numPr>
              <w:spacing w:before="60" w:after="60"/>
              <w:ind w:left="456" w:hanging="283"/>
              <w:contextualSpacing/>
            </w:pPr>
            <w:r w:rsidRPr="0022314F">
              <w:t>Improve the management of the education system in Vanuatu.</w:t>
            </w:r>
          </w:p>
        </w:tc>
      </w:tr>
    </w:tbl>
    <w:p w14:paraId="07078CB8" w14:textId="7B8E2ECF" w:rsidR="0020133E" w:rsidRPr="0020133E" w:rsidRDefault="005F3340" w:rsidP="0020133E">
      <w:pPr>
        <w:pStyle w:val="Heading2"/>
        <w:spacing w:before="120" w:after="120"/>
        <w:contextualSpacing/>
        <w:rPr>
          <w:szCs w:val="24"/>
        </w:rPr>
      </w:pPr>
      <w:r>
        <w:rPr>
          <w:szCs w:val="24"/>
        </w:rPr>
        <w:t>Review</w:t>
      </w:r>
      <w:r w:rsidR="009C5213" w:rsidRPr="00130CCA">
        <w:rPr>
          <w:szCs w:val="24"/>
        </w:rPr>
        <w:t xml:space="preserve"> Summary</w:t>
      </w:r>
    </w:p>
    <w:p w14:paraId="41CBFB71" w14:textId="7018EB4B" w:rsidR="00130CCA" w:rsidRDefault="005F3340" w:rsidP="005043E7">
      <w:pPr>
        <w:pStyle w:val="Table-normal-text"/>
        <w:spacing w:before="0"/>
        <w:contextualSpacing/>
        <w:rPr>
          <w:rFonts w:asciiTheme="minorHAnsi" w:hAnsiTheme="minorHAnsi" w:cstheme="minorHAnsi"/>
          <w:sz w:val="22"/>
          <w:szCs w:val="22"/>
        </w:rPr>
      </w:pPr>
      <w:r>
        <w:rPr>
          <w:rFonts w:asciiTheme="minorHAnsi" w:hAnsiTheme="minorHAnsi" w:cstheme="minorHAnsi"/>
          <w:sz w:val="22"/>
          <w:szCs w:val="22"/>
        </w:rPr>
        <w:t xml:space="preserve">The aim of the review was to determine to what extent the intermediate outcomes agreed to in the VESP Monitoring and Evaluation Plan are on track; and </w:t>
      </w:r>
      <w:r w:rsidR="005043E7">
        <w:rPr>
          <w:rFonts w:asciiTheme="minorHAnsi" w:hAnsiTheme="minorHAnsi" w:cstheme="minorHAnsi"/>
          <w:sz w:val="22"/>
          <w:szCs w:val="22"/>
        </w:rPr>
        <w:t xml:space="preserve">to </w:t>
      </w:r>
      <w:r>
        <w:rPr>
          <w:rFonts w:asciiTheme="minorHAnsi" w:hAnsiTheme="minorHAnsi" w:cstheme="minorHAnsi"/>
          <w:sz w:val="22"/>
          <w:szCs w:val="22"/>
        </w:rPr>
        <w:t xml:space="preserve">recommend strategies to improve the relevance, effectiveness and efficiency </w:t>
      </w:r>
      <w:r w:rsidR="005043E7">
        <w:rPr>
          <w:rFonts w:asciiTheme="minorHAnsi" w:hAnsiTheme="minorHAnsi" w:cstheme="minorHAnsi"/>
          <w:sz w:val="22"/>
          <w:szCs w:val="22"/>
        </w:rPr>
        <w:t xml:space="preserve">of the program (for the current phase, with a likely extension </w:t>
      </w:r>
      <w:r>
        <w:rPr>
          <w:rFonts w:asciiTheme="minorHAnsi" w:hAnsiTheme="minorHAnsi" w:cstheme="minorHAnsi"/>
          <w:sz w:val="22"/>
          <w:szCs w:val="22"/>
        </w:rPr>
        <w:t>to June 2018</w:t>
      </w:r>
      <w:r w:rsidR="005043E7">
        <w:rPr>
          <w:rFonts w:asciiTheme="minorHAnsi" w:hAnsiTheme="minorHAnsi" w:cstheme="minorHAnsi"/>
          <w:sz w:val="22"/>
          <w:szCs w:val="22"/>
        </w:rPr>
        <w:t>,</w:t>
      </w:r>
      <w:r>
        <w:rPr>
          <w:rFonts w:asciiTheme="minorHAnsi" w:hAnsiTheme="minorHAnsi" w:cstheme="minorHAnsi"/>
          <w:sz w:val="22"/>
          <w:szCs w:val="22"/>
        </w:rPr>
        <w:t xml:space="preserve"> and </w:t>
      </w:r>
      <w:r w:rsidR="005043E7">
        <w:rPr>
          <w:rFonts w:asciiTheme="minorHAnsi" w:hAnsiTheme="minorHAnsi" w:cstheme="minorHAnsi"/>
          <w:sz w:val="22"/>
          <w:szCs w:val="22"/>
        </w:rPr>
        <w:t>for a future phase). The intermediate outcomes are:</w:t>
      </w:r>
    </w:p>
    <w:p w14:paraId="1F55C32E" w14:textId="6590DD19" w:rsidR="003F46E3" w:rsidRPr="005043E7" w:rsidRDefault="003F46E3" w:rsidP="005043E7">
      <w:pPr>
        <w:pStyle w:val="Table-normal-text"/>
        <w:numPr>
          <w:ilvl w:val="0"/>
          <w:numId w:val="28"/>
        </w:numPr>
        <w:spacing w:before="0"/>
        <w:contextualSpacing/>
        <w:rPr>
          <w:rFonts w:asciiTheme="minorHAnsi" w:hAnsiTheme="minorHAnsi" w:cstheme="minorHAnsi"/>
          <w:sz w:val="22"/>
          <w:szCs w:val="22"/>
        </w:rPr>
      </w:pPr>
      <w:r w:rsidRPr="005043E7">
        <w:rPr>
          <w:rFonts w:asciiTheme="minorHAnsi" w:hAnsiTheme="minorHAnsi" w:cstheme="minorHAnsi"/>
          <w:sz w:val="22"/>
          <w:szCs w:val="22"/>
        </w:rPr>
        <w:t xml:space="preserve">Increase in </w:t>
      </w:r>
      <w:r w:rsidR="005043E7">
        <w:rPr>
          <w:rFonts w:asciiTheme="minorHAnsi" w:hAnsiTheme="minorHAnsi" w:cstheme="minorHAnsi"/>
          <w:sz w:val="22"/>
          <w:szCs w:val="22"/>
        </w:rPr>
        <w:t xml:space="preserve">the </w:t>
      </w:r>
      <w:r w:rsidRPr="005043E7">
        <w:rPr>
          <w:rFonts w:asciiTheme="minorHAnsi" w:hAnsiTheme="minorHAnsi" w:cstheme="minorHAnsi"/>
          <w:sz w:val="22"/>
          <w:szCs w:val="22"/>
        </w:rPr>
        <w:t>number of schools with teachers implementing the new curriculum for Years 1-3 using effective teaching and learning methodologies.</w:t>
      </w:r>
    </w:p>
    <w:p w14:paraId="6BDAE415" w14:textId="49D06846" w:rsidR="005043E7" w:rsidRPr="005043E7" w:rsidRDefault="003F46E3" w:rsidP="005043E7">
      <w:pPr>
        <w:pStyle w:val="Table-normal-text"/>
        <w:numPr>
          <w:ilvl w:val="0"/>
          <w:numId w:val="28"/>
        </w:numPr>
        <w:spacing w:before="0"/>
        <w:contextualSpacing/>
        <w:rPr>
          <w:rFonts w:asciiTheme="minorHAnsi" w:hAnsiTheme="minorHAnsi" w:cstheme="minorHAnsi"/>
          <w:sz w:val="22"/>
          <w:szCs w:val="22"/>
        </w:rPr>
      </w:pPr>
      <w:r w:rsidRPr="005043E7">
        <w:rPr>
          <w:rFonts w:asciiTheme="minorHAnsi" w:hAnsiTheme="minorHAnsi" w:cstheme="minorHAnsi"/>
          <w:sz w:val="22"/>
          <w:szCs w:val="22"/>
        </w:rPr>
        <w:t xml:space="preserve">Increase in </w:t>
      </w:r>
      <w:r w:rsidR="005043E7">
        <w:rPr>
          <w:rFonts w:asciiTheme="minorHAnsi" w:hAnsiTheme="minorHAnsi" w:cstheme="minorHAnsi"/>
          <w:sz w:val="22"/>
          <w:szCs w:val="22"/>
        </w:rPr>
        <w:t xml:space="preserve">the </w:t>
      </w:r>
      <w:r w:rsidRPr="005043E7">
        <w:rPr>
          <w:rFonts w:asciiTheme="minorHAnsi" w:hAnsiTheme="minorHAnsi" w:cstheme="minorHAnsi"/>
          <w:sz w:val="22"/>
          <w:szCs w:val="22"/>
        </w:rPr>
        <w:t xml:space="preserve">number of schools and kindergartens implementing inclusion initiatives to improve access </w:t>
      </w:r>
      <w:r w:rsidR="005043E7">
        <w:rPr>
          <w:rFonts w:asciiTheme="minorHAnsi" w:hAnsiTheme="minorHAnsi" w:cstheme="minorHAnsi"/>
          <w:sz w:val="22"/>
          <w:szCs w:val="22"/>
        </w:rPr>
        <w:t>for children to k</w:t>
      </w:r>
      <w:r w:rsidRPr="005043E7">
        <w:rPr>
          <w:rFonts w:asciiTheme="minorHAnsi" w:hAnsiTheme="minorHAnsi" w:cstheme="minorHAnsi"/>
          <w:sz w:val="22"/>
          <w:szCs w:val="22"/>
        </w:rPr>
        <w:t>indergarten and Years 1-3.</w:t>
      </w:r>
    </w:p>
    <w:p w14:paraId="1D289802" w14:textId="0D69EA5D" w:rsidR="005F3340" w:rsidRPr="005043E7" w:rsidRDefault="003F46E3" w:rsidP="005043E7">
      <w:pPr>
        <w:pStyle w:val="Table-normal-text"/>
        <w:numPr>
          <w:ilvl w:val="0"/>
          <w:numId w:val="28"/>
        </w:numPr>
        <w:spacing w:before="0"/>
        <w:contextualSpacing/>
        <w:rPr>
          <w:rFonts w:asciiTheme="minorHAnsi" w:hAnsiTheme="minorHAnsi" w:cstheme="minorHAnsi"/>
          <w:sz w:val="22"/>
          <w:szCs w:val="22"/>
        </w:rPr>
      </w:pPr>
      <w:r w:rsidRPr="005043E7">
        <w:rPr>
          <w:rFonts w:asciiTheme="minorHAnsi" w:hAnsiTheme="minorHAnsi" w:cstheme="minorHAnsi"/>
          <w:sz w:val="22"/>
          <w:szCs w:val="22"/>
        </w:rPr>
        <w:t>Provincial officers providing necessary support to school leaders.</w:t>
      </w:r>
    </w:p>
    <w:p w14:paraId="2EC11ABB" w14:textId="32390FA5" w:rsidR="009C5213" w:rsidRPr="009C5213" w:rsidRDefault="009C5213" w:rsidP="005043E7">
      <w:pPr>
        <w:contextualSpacing/>
        <w:rPr>
          <w:rFonts w:asciiTheme="minorHAnsi" w:hAnsiTheme="minorHAnsi" w:cstheme="minorHAnsi"/>
          <w:sz w:val="22"/>
          <w:szCs w:val="22"/>
        </w:rPr>
      </w:pPr>
    </w:p>
    <w:p w14:paraId="2969B4BB" w14:textId="77777777" w:rsidR="009C5213" w:rsidRPr="009C5213" w:rsidRDefault="009C5213" w:rsidP="005043E7">
      <w:pPr>
        <w:contextualSpacing/>
        <w:rPr>
          <w:rFonts w:asciiTheme="minorHAnsi" w:hAnsiTheme="minorHAnsi" w:cstheme="minorHAnsi"/>
          <w:b/>
          <w:sz w:val="22"/>
          <w:szCs w:val="22"/>
        </w:rPr>
      </w:pPr>
      <w:r w:rsidRPr="009C5213">
        <w:rPr>
          <w:rFonts w:asciiTheme="minorHAnsi" w:hAnsiTheme="minorHAnsi" w:cstheme="minorHAnsi"/>
          <w:b/>
          <w:sz w:val="22"/>
          <w:szCs w:val="22"/>
        </w:rPr>
        <w:t xml:space="preserve">Review Team: </w:t>
      </w:r>
    </w:p>
    <w:p w14:paraId="702D8AEC" w14:textId="77777777"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Zoë Mander-Jones (independent consultant and review team leader)</w:t>
      </w:r>
    </w:p>
    <w:p w14:paraId="3B4F33C7" w14:textId="2EFA81E1"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Roy Ben (</w:t>
      </w:r>
      <w:r w:rsidR="003F46E3">
        <w:rPr>
          <w:rFonts w:asciiTheme="minorHAnsi" w:hAnsiTheme="minorHAnsi" w:cstheme="minorHAnsi"/>
          <w:sz w:val="22"/>
          <w:szCs w:val="22"/>
        </w:rPr>
        <w:t xml:space="preserve">Senior Program Officer Policy &amp; Planning Unit, </w:t>
      </w:r>
      <w:r w:rsidRPr="005F3340">
        <w:rPr>
          <w:rFonts w:asciiTheme="minorHAnsi" w:hAnsiTheme="minorHAnsi" w:cstheme="minorHAnsi"/>
          <w:sz w:val="22"/>
          <w:szCs w:val="22"/>
        </w:rPr>
        <w:t>MoET)</w:t>
      </w:r>
    </w:p>
    <w:p w14:paraId="5C42EE47" w14:textId="1A1F001C"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 xml:space="preserve">David Coleman (DFAT </w:t>
      </w:r>
      <w:r w:rsidR="003F46E3">
        <w:rPr>
          <w:rFonts w:asciiTheme="minorHAnsi" w:hAnsiTheme="minorHAnsi" w:cstheme="minorHAnsi"/>
          <w:sz w:val="22"/>
          <w:szCs w:val="22"/>
        </w:rPr>
        <w:t xml:space="preserve">Education Specialist </w:t>
      </w:r>
      <w:r w:rsidRPr="005F3340">
        <w:rPr>
          <w:rFonts w:asciiTheme="minorHAnsi" w:hAnsiTheme="minorHAnsi" w:cstheme="minorHAnsi"/>
          <w:sz w:val="22"/>
          <w:szCs w:val="22"/>
        </w:rPr>
        <w:t>Canberra and technical lead)</w:t>
      </w:r>
    </w:p>
    <w:p w14:paraId="6EABE336" w14:textId="54CFC32D"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Cobin Ngwero (</w:t>
      </w:r>
      <w:r w:rsidR="0020133E">
        <w:rPr>
          <w:rFonts w:asciiTheme="minorHAnsi" w:hAnsiTheme="minorHAnsi" w:cstheme="minorHAnsi"/>
          <w:sz w:val="22"/>
          <w:szCs w:val="22"/>
        </w:rPr>
        <w:t>Senior M</w:t>
      </w:r>
      <w:r w:rsidR="003F46E3">
        <w:rPr>
          <w:rFonts w:asciiTheme="minorHAnsi" w:hAnsiTheme="minorHAnsi" w:cstheme="minorHAnsi"/>
          <w:sz w:val="22"/>
          <w:szCs w:val="22"/>
        </w:rPr>
        <w:t xml:space="preserve">onitoring Officer/ Acting PEO Policy and Planning, </w:t>
      </w:r>
      <w:r w:rsidRPr="005F3340">
        <w:rPr>
          <w:rFonts w:asciiTheme="minorHAnsi" w:hAnsiTheme="minorHAnsi" w:cstheme="minorHAnsi"/>
          <w:sz w:val="22"/>
          <w:szCs w:val="22"/>
        </w:rPr>
        <w:t>MoET)</w:t>
      </w:r>
    </w:p>
    <w:p w14:paraId="71CF970B" w14:textId="04C155F9"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Karen Soanes (</w:t>
      </w:r>
      <w:r w:rsidR="0020133E">
        <w:rPr>
          <w:rFonts w:asciiTheme="minorHAnsi" w:hAnsiTheme="minorHAnsi" w:cstheme="minorHAnsi"/>
          <w:sz w:val="22"/>
          <w:szCs w:val="22"/>
        </w:rPr>
        <w:t xml:space="preserve">First </w:t>
      </w:r>
      <w:r w:rsidR="003F46E3">
        <w:rPr>
          <w:rFonts w:asciiTheme="minorHAnsi" w:hAnsiTheme="minorHAnsi" w:cstheme="minorHAnsi"/>
          <w:sz w:val="22"/>
          <w:szCs w:val="22"/>
        </w:rPr>
        <w:t xml:space="preserve">Secretary </w:t>
      </w:r>
      <w:r w:rsidRPr="005F3340">
        <w:rPr>
          <w:rFonts w:asciiTheme="minorHAnsi" w:hAnsiTheme="minorHAnsi" w:cstheme="minorHAnsi"/>
          <w:sz w:val="22"/>
          <w:szCs w:val="22"/>
        </w:rPr>
        <w:t>NZ</w:t>
      </w:r>
      <w:r w:rsidR="0020133E">
        <w:rPr>
          <w:rFonts w:asciiTheme="minorHAnsi" w:hAnsiTheme="minorHAnsi" w:cstheme="minorHAnsi"/>
          <w:sz w:val="22"/>
          <w:szCs w:val="22"/>
        </w:rPr>
        <w:t xml:space="preserve"> High Commission,</w:t>
      </w:r>
      <w:r w:rsidRPr="005F3340">
        <w:rPr>
          <w:rFonts w:asciiTheme="minorHAnsi" w:hAnsiTheme="minorHAnsi" w:cstheme="minorHAnsi"/>
          <w:sz w:val="22"/>
          <w:szCs w:val="22"/>
        </w:rPr>
        <w:t xml:space="preserve"> Port Vila)</w:t>
      </w:r>
    </w:p>
    <w:p w14:paraId="06A033AF" w14:textId="56DD9682" w:rsidR="005F3340" w:rsidRPr="005F3340"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Christelle Thieffry (</w:t>
      </w:r>
      <w:r w:rsidR="003F46E3">
        <w:rPr>
          <w:rFonts w:asciiTheme="minorHAnsi" w:hAnsiTheme="minorHAnsi" w:cstheme="minorHAnsi"/>
          <w:sz w:val="22"/>
          <w:szCs w:val="22"/>
        </w:rPr>
        <w:t xml:space="preserve">Senior Program Manager, </w:t>
      </w:r>
      <w:r w:rsidR="0020133E">
        <w:rPr>
          <w:rFonts w:asciiTheme="minorHAnsi" w:hAnsiTheme="minorHAnsi" w:cstheme="minorHAnsi"/>
          <w:sz w:val="22"/>
          <w:szCs w:val="22"/>
        </w:rPr>
        <w:t>Australian High Commission,</w:t>
      </w:r>
      <w:r w:rsidRPr="005F3340">
        <w:rPr>
          <w:rFonts w:asciiTheme="minorHAnsi" w:hAnsiTheme="minorHAnsi" w:cstheme="minorHAnsi"/>
          <w:sz w:val="22"/>
          <w:szCs w:val="22"/>
        </w:rPr>
        <w:t xml:space="preserve"> Port Vila)</w:t>
      </w:r>
    </w:p>
    <w:p w14:paraId="2D3249A5" w14:textId="7AEF3067" w:rsidR="0020133E" w:rsidRDefault="005F3340" w:rsidP="005043E7">
      <w:pPr>
        <w:pStyle w:val="Table-normal-text"/>
        <w:numPr>
          <w:ilvl w:val="0"/>
          <w:numId w:val="23"/>
        </w:numPr>
        <w:spacing w:before="0"/>
        <w:contextualSpacing/>
        <w:rPr>
          <w:rFonts w:asciiTheme="minorHAnsi" w:hAnsiTheme="minorHAnsi" w:cstheme="minorHAnsi"/>
          <w:sz w:val="22"/>
          <w:szCs w:val="22"/>
        </w:rPr>
      </w:pPr>
      <w:r w:rsidRPr="005F3340">
        <w:rPr>
          <w:rFonts w:asciiTheme="minorHAnsi" w:hAnsiTheme="minorHAnsi" w:cstheme="minorHAnsi"/>
          <w:sz w:val="22"/>
          <w:szCs w:val="22"/>
        </w:rPr>
        <w:t>Barbara Thornton (ind</w:t>
      </w:r>
      <w:r w:rsidR="0020133E">
        <w:rPr>
          <w:rFonts w:asciiTheme="minorHAnsi" w:hAnsiTheme="minorHAnsi" w:cstheme="minorHAnsi"/>
          <w:sz w:val="22"/>
          <w:szCs w:val="22"/>
        </w:rPr>
        <w:t>ependent education specialist)</w:t>
      </w:r>
    </w:p>
    <w:p w14:paraId="4520D069" w14:textId="77777777" w:rsidR="000F6048" w:rsidRPr="000F6048" w:rsidRDefault="000F6048" w:rsidP="000F6048">
      <w:pPr>
        <w:pStyle w:val="Table-normal-text"/>
        <w:spacing w:before="0"/>
        <w:contextualSpacing/>
        <w:rPr>
          <w:rFonts w:asciiTheme="minorHAnsi" w:hAnsiTheme="minorHAnsi" w:cstheme="minorHAnsi"/>
          <w:sz w:val="22"/>
          <w:szCs w:val="22"/>
        </w:rPr>
      </w:pPr>
    </w:p>
    <w:p w14:paraId="59A2A928" w14:textId="27FA3F9E" w:rsidR="000F34FE" w:rsidRDefault="00130CCA" w:rsidP="005043E7">
      <w:pPr>
        <w:pStyle w:val="Table-normal-text"/>
        <w:spacing w:before="0"/>
        <w:contextualSpacing/>
        <w:rPr>
          <w:rFonts w:asciiTheme="minorHAnsi" w:hAnsiTheme="minorHAnsi" w:cstheme="minorHAnsi"/>
          <w:sz w:val="22"/>
          <w:szCs w:val="22"/>
        </w:rPr>
      </w:pPr>
      <w:r>
        <w:rPr>
          <w:rFonts w:asciiTheme="minorHAnsi" w:hAnsiTheme="minorHAnsi" w:cstheme="minorHAnsi"/>
          <w:sz w:val="22"/>
          <w:szCs w:val="22"/>
        </w:rPr>
        <w:t xml:space="preserve">The </w:t>
      </w:r>
      <w:r w:rsidR="005F3340">
        <w:rPr>
          <w:rFonts w:asciiTheme="minorHAnsi" w:hAnsiTheme="minorHAnsi" w:cstheme="minorHAnsi"/>
          <w:sz w:val="22"/>
          <w:szCs w:val="22"/>
        </w:rPr>
        <w:t>review</w:t>
      </w:r>
      <w:r>
        <w:rPr>
          <w:rFonts w:asciiTheme="minorHAnsi" w:hAnsiTheme="minorHAnsi" w:cstheme="minorHAnsi"/>
          <w:sz w:val="22"/>
          <w:szCs w:val="22"/>
        </w:rPr>
        <w:t xml:space="preserve"> </w:t>
      </w:r>
      <w:r w:rsidR="005F3340">
        <w:rPr>
          <w:rFonts w:asciiTheme="minorHAnsi" w:hAnsiTheme="minorHAnsi" w:cstheme="minorHAnsi"/>
          <w:sz w:val="22"/>
          <w:szCs w:val="22"/>
        </w:rPr>
        <w:t xml:space="preserve">took place </w:t>
      </w:r>
      <w:r w:rsidR="0020133E">
        <w:rPr>
          <w:rFonts w:asciiTheme="minorHAnsi" w:hAnsiTheme="minorHAnsi" w:cstheme="minorHAnsi"/>
          <w:sz w:val="22"/>
          <w:szCs w:val="22"/>
        </w:rPr>
        <w:t xml:space="preserve">in </w:t>
      </w:r>
      <w:r w:rsidR="005F3340">
        <w:rPr>
          <w:rFonts w:asciiTheme="minorHAnsi" w:hAnsiTheme="minorHAnsi" w:cstheme="minorHAnsi"/>
          <w:sz w:val="22"/>
          <w:szCs w:val="22"/>
        </w:rPr>
        <w:t xml:space="preserve">October </w:t>
      </w:r>
      <w:r w:rsidR="0020133E">
        <w:rPr>
          <w:rFonts w:asciiTheme="minorHAnsi" w:hAnsiTheme="minorHAnsi" w:cstheme="minorHAnsi"/>
          <w:sz w:val="22"/>
          <w:szCs w:val="22"/>
        </w:rPr>
        <w:t xml:space="preserve">to November 2016, with the </w:t>
      </w:r>
      <w:r>
        <w:rPr>
          <w:rFonts w:asciiTheme="minorHAnsi" w:hAnsiTheme="minorHAnsi" w:cstheme="minorHAnsi"/>
          <w:sz w:val="22"/>
          <w:szCs w:val="22"/>
        </w:rPr>
        <w:t xml:space="preserve">team </w:t>
      </w:r>
      <w:r w:rsidR="005F3340">
        <w:rPr>
          <w:rFonts w:asciiTheme="minorHAnsi" w:hAnsiTheme="minorHAnsi" w:cstheme="minorHAnsi"/>
          <w:sz w:val="22"/>
          <w:szCs w:val="22"/>
        </w:rPr>
        <w:t>in Vanuatu from 2-15 November</w:t>
      </w:r>
      <w:r>
        <w:rPr>
          <w:rFonts w:asciiTheme="minorHAnsi" w:hAnsiTheme="minorHAnsi" w:cstheme="minorHAnsi"/>
          <w:sz w:val="22"/>
          <w:szCs w:val="22"/>
        </w:rPr>
        <w:t xml:space="preserve">. Consultations were conducted in Port Vila and </w:t>
      </w:r>
      <w:r w:rsidR="005F3340">
        <w:rPr>
          <w:rFonts w:asciiTheme="minorHAnsi" w:hAnsiTheme="minorHAnsi" w:cstheme="minorHAnsi"/>
          <w:sz w:val="22"/>
          <w:szCs w:val="22"/>
        </w:rPr>
        <w:t>two</w:t>
      </w:r>
      <w:r w:rsidR="0020133E">
        <w:rPr>
          <w:rFonts w:asciiTheme="minorHAnsi" w:hAnsiTheme="minorHAnsi" w:cstheme="minorHAnsi"/>
          <w:sz w:val="22"/>
          <w:szCs w:val="22"/>
        </w:rPr>
        <w:t xml:space="preserve"> provinces –</w:t>
      </w:r>
      <w:r w:rsidR="002A3FE8">
        <w:rPr>
          <w:rFonts w:asciiTheme="minorHAnsi" w:hAnsiTheme="minorHAnsi" w:cstheme="minorHAnsi"/>
          <w:sz w:val="22"/>
          <w:szCs w:val="22"/>
        </w:rPr>
        <w:t xml:space="preserve"> Sanma</w:t>
      </w:r>
      <w:r>
        <w:rPr>
          <w:rFonts w:asciiTheme="minorHAnsi" w:hAnsiTheme="minorHAnsi" w:cstheme="minorHAnsi"/>
          <w:sz w:val="22"/>
          <w:szCs w:val="22"/>
        </w:rPr>
        <w:t xml:space="preserve"> </w:t>
      </w:r>
      <w:r w:rsidR="005F3340">
        <w:rPr>
          <w:rFonts w:asciiTheme="minorHAnsi" w:hAnsiTheme="minorHAnsi" w:cstheme="minorHAnsi"/>
          <w:sz w:val="22"/>
          <w:szCs w:val="22"/>
        </w:rPr>
        <w:t>and Penama. A</w:t>
      </w:r>
      <w:r>
        <w:rPr>
          <w:rFonts w:asciiTheme="minorHAnsi" w:hAnsiTheme="minorHAnsi" w:cstheme="minorHAnsi"/>
          <w:sz w:val="22"/>
          <w:szCs w:val="22"/>
        </w:rPr>
        <w:t xml:space="preserve">n aide memoire was </w:t>
      </w:r>
      <w:r>
        <w:rPr>
          <w:rFonts w:asciiTheme="minorHAnsi" w:hAnsiTheme="minorHAnsi" w:cstheme="minorHAnsi"/>
          <w:sz w:val="22"/>
          <w:szCs w:val="22"/>
        </w:rPr>
        <w:lastRenderedPageBreak/>
        <w:t xml:space="preserve">presented to </w:t>
      </w:r>
      <w:r w:rsidR="002A3FE8">
        <w:rPr>
          <w:rFonts w:asciiTheme="minorHAnsi" w:hAnsiTheme="minorHAnsi" w:cstheme="minorHAnsi"/>
          <w:sz w:val="22"/>
          <w:szCs w:val="22"/>
        </w:rPr>
        <w:t>the Ministry of Education and Training (</w:t>
      </w:r>
      <w:r w:rsidR="0020133E">
        <w:rPr>
          <w:rFonts w:asciiTheme="minorHAnsi" w:hAnsiTheme="minorHAnsi" w:cstheme="minorHAnsi"/>
          <w:sz w:val="22"/>
          <w:szCs w:val="22"/>
        </w:rPr>
        <w:t>Mo</w:t>
      </w:r>
      <w:r w:rsidR="005F3340">
        <w:rPr>
          <w:rFonts w:asciiTheme="minorHAnsi" w:hAnsiTheme="minorHAnsi" w:cstheme="minorHAnsi"/>
          <w:sz w:val="22"/>
          <w:szCs w:val="22"/>
        </w:rPr>
        <w:t>ET</w:t>
      </w:r>
      <w:r w:rsidR="002A3FE8">
        <w:rPr>
          <w:rFonts w:asciiTheme="minorHAnsi" w:hAnsiTheme="minorHAnsi" w:cstheme="minorHAnsi"/>
          <w:sz w:val="22"/>
          <w:szCs w:val="22"/>
        </w:rPr>
        <w:t>)</w:t>
      </w:r>
      <w:r w:rsidR="005F3340">
        <w:rPr>
          <w:rFonts w:asciiTheme="minorHAnsi" w:hAnsiTheme="minorHAnsi" w:cstheme="minorHAnsi"/>
          <w:sz w:val="22"/>
          <w:szCs w:val="22"/>
        </w:rPr>
        <w:t xml:space="preserve"> and stakeholders</w:t>
      </w:r>
      <w:r>
        <w:rPr>
          <w:rFonts w:asciiTheme="minorHAnsi" w:hAnsiTheme="minorHAnsi" w:cstheme="minorHAnsi"/>
          <w:sz w:val="22"/>
          <w:szCs w:val="22"/>
        </w:rPr>
        <w:t xml:space="preserve"> at th</w:t>
      </w:r>
      <w:r w:rsidR="00C67CEC">
        <w:rPr>
          <w:rFonts w:asciiTheme="minorHAnsi" w:hAnsiTheme="minorHAnsi" w:cstheme="minorHAnsi"/>
          <w:sz w:val="22"/>
          <w:szCs w:val="22"/>
        </w:rPr>
        <w:t>e conclusion of the field visit.</w:t>
      </w:r>
      <w:r w:rsidR="0020133E">
        <w:rPr>
          <w:rFonts w:asciiTheme="minorHAnsi" w:hAnsiTheme="minorHAnsi" w:cstheme="minorHAnsi"/>
          <w:sz w:val="22"/>
          <w:szCs w:val="22"/>
        </w:rPr>
        <w:t xml:space="preserve"> The review was completed on 15 December 2016.</w:t>
      </w:r>
    </w:p>
    <w:p w14:paraId="10AC3B4D" w14:textId="77777777" w:rsidR="0020133E" w:rsidRPr="00130CCA" w:rsidRDefault="0020133E" w:rsidP="005043E7">
      <w:pPr>
        <w:pStyle w:val="Table-normal-text"/>
        <w:spacing w:before="0"/>
        <w:contextualSpacing/>
        <w:rPr>
          <w:rFonts w:asciiTheme="minorHAnsi" w:hAnsiTheme="minorHAnsi" w:cstheme="minorHAnsi"/>
          <w:sz w:val="22"/>
          <w:szCs w:val="22"/>
        </w:rPr>
      </w:pPr>
    </w:p>
    <w:p w14:paraId="02E1A3AF" w14:textId="08A4F043" w:rsidR="009C5213" w:rsidRPr="00896AE4" w:rsidRDefault="009C5213" w:rsidP="000F6048">
      <w:pPr>
        <w:rPr>
          <w:rFonts w:asciiTheme="minorHAnsi" w:hAnsiTheme="minorHAnsi" w:cstheme="minorHAnsi"/>
          <w:b/>
          <w:sz w:val="22"/>
          <w:szCs w:val="22"/>
        </w:rPr>
      </w:pPr>
      <w:r w:rsidRPr="00896AE4">
        <w:rPr>
          <w:rFonts w:asciiTheme="minorHAnsi" w:hAnsiTheme="minorHAnsi" w:cstheme="minorHAnsi"/>
          <w:b/>
          <w:sz w:val="22"/>
          <w:szCs w:val="22"/>
        </w:rPr>
        <w:t>Key messages</w:t>
      </w:r>
      <w:r w:rsidR="00896AE4">
        <w:rPr>
          <w:rFonts w:asciiTheme="minorHAnsi" w:hAnsiTheme="minorHAnsi" w:cstheme="minorHAnsi"/>
          <w:b/>
          <w:sz w:val="22"/>
          <w:szCs w:val="22"/>
        </w:rPr>
        <w:t>:</w:t>
      </w:r>
    </w:p>
    <w:p w14:paraId="5A98C2AB" w14:textId="77777777" w:rsidR="0020133E" w:rsidRPr="0080708D" w:rsidRDefault="0020133E" w:rsidP="0020133E">
      <w:pPr>
        <w:pStyle w:val="Table-normal-text"/>
        <w:numPr>
          <w:ilvl w:val="0"/>
          <w:numId w:val="26"/>
        </w:numPr>
        <w:spacing w:before="0"/>
        <w:contextualSpacing/>
        <w:rPr>
          <w:rFonts w:asciiTheme="minorHAnsi" w:hAnsiTheme="minorHAnsi" w:cstheme="minorHAnsi"/>
          <w:sz w:val="22"/>
          <w:szCs w:val="22"/>
        </w:rPr>
      </w:pPr>
      <w:r w:rsidRPr="0080708D">
        <w:rPr>
          <w:rFonts w:asciiTheme="minorHAnsi" w:hAnsiTheme="minorHAnsi" w:cstheme="minorHAnsi"/>
          <w:sz w:val="22"/>
          <w:szCs w:val="22"/>
        </w:rPr>
        <w:t xml:space="preserve">VESP’s targeted and integrated approach is effective and remains relevant. </w:t>
      </w:r>
    </w:p>
    <w:p w14:paraId="4095A293" w14:textId="504946A9" w:rsidR="00847CF5" w:rsidRPr="0080708D" w:rsidRDefault="0020133E" w:rsidP="005043E7">
      <w:pPr>
        <w:pStyle w:val="Table-normal-text"/>
        <w:numPr>
          <w:ilvl w:val="0"/>
          <w:numId w:val="26"/>
        </w:numPr>
        <w:spacing w:before="0"/>
        <w:contextualSpacing/>
        <w:rPr>
          <w:rFonts w:asciiTheme="minorHAnsi" w:hAnsiTheme="minorHAnsi" w:cstheme="minorHAnsi"/>
          <w:sz w:val="22"/>
          <w:szCs w:val="22"/>
        </w:rPr>
      </w:pPr>
      <w:r>
        <w:rPr>
          <w:rFonts w:asciiTheme="minorHAnsi" w:hAnsiTheme="minorHAnsi" w:cstheme="minorHAnsi"/>
          <w:sz w:val="22"/>
          <w:szCs w:val="22"/>
        </w:rPr>
        <w:t>VESP is on track to achieve</w:t>
      </w:r>
      <w:r w:rsidR="00847CF5" w:rsidRPr="0080708D">
        <w:rPr>
          <w:rFonts w:asciiTheme="minorHAnsi" w:hAnsiTheme="minorHAnsi" w:cstheme="minorHAnsi"/>
          <w:sz w:val="22"/>
          <w:szCs w:val="22"/>
        </w:rPr>
        <w:t xml:space="preserve"> intermediate outcome one. The roll-out of the new curriculum is a significant achievement for MoET.  The program </w:t>
      </w:r>
      <w:r>
        <w:rPr>
          <w:rFonts w:asciiTheme="minorHAnsi" w:hAnsiTheme="minorHAnsi" w:cstheme="minorHAnsi"/>
          <w:sz w:val="22"/>
          <w:szCs w:val="22"/>
        </w:rPr>
        <w:t>will need</w:t>
      </w:r>
      <w:r w:rsidR="00847CF5" w:rsidRPr="0080708D">
        <w:rPr>
          <w:rFonts w:asciiTheme="minorHAnsi" w:hAnsiTheme="minorHAnsi" w:cstheme="minorHAnsi"/>
          <w:sz w:val="22"/>
          <w:szCs w:val="22"/>
        </w:rPr>
        <w:t xml:space="preserve"> to closely support and monitor implementation of th</w:t>
      </w:r>
      <w:r>
        <w:rPr>
          <w:rFonts w:asciiTheme="minorHAnsi" w:hAnsiTheme="minorHAnsi" w:cstheme="minorHAnsi"/>
          <w:sz w:val="22"/>
          <w:szCs w:val="22"/>
        </w:rPr>
        <w:t>e language transition strategy.</w:t>
      </w:r>
    </w:p>
    <w:p w14:paraId="478AB240" w14:textId="429749F8" w:rsidR="00847CF5" w:rsidRPr="0080708D" w:rsidRDefault="00847CF5" w:rsidP="005043E7">
      <w:pPr>
        <w:pStyle w:val="Table-normal-text"/>
        <w:numPr>
          <w:ilvl w:val="0"/>
          <w:numId w:val="26"/>
        </w:numPr>
        <w:spacing w:before="0"/>
        <w:contextualSpacing/>
        <w:rPr>
          <w:rFonts w:asciiTheme="minorHAnsi" w:hAnsiTheme="minorHAnsi" w:cstheme="minorHAnsi"/>
          <w:sz w:val="22"/>
          <w:szCs w:val="22"/>
        </w:rPr>
      </w:pPr>
      <w:r w:rsidRPr="0080708D">
        <w:rPr>
          <w:rFonts w:asciiTheme="minorHAnsi" w:hAnsiTheme="minorHAnsi" w:cstheme="minorHAnsi"/>
          <w:sz w:val="22"/>
          <w:szCs w:val="22"/>
        </w:rPr>
        <w:t>VESP is making adequate pro</w:t>
      </w:r>
      <w:r w:rsidR="0020133E">
        <w:rPr>
          <w:rFonts w:asciiTheme="minorHAnsi" w:hAnsiTheme="minorHAnsi" w:cstheme="minorHAnsi"/>
          <w:sz w:val="22"/>
          <w:szCs w:val="22"/>
        </w:rPr>
        <w:t>gress in some areas to achieve</w:t>
      </w:r>
      <w:r w:rsidRPr="0080708D">
        <w:rPr>
          <w:rFonts w:asciiTheme="minorHAnsi" w:hAnsiTheme="minorHAnsi" w:cstheme="minorHAnsi"/>
          <w:sz w:val="22"/>
          <w:szCs w:val="22"/>
        </w:rPr>
        <w:t xml:space="preserve"> intermediate outcome two.  However, full achievement of this outcome is likely to be constrained by a number of factors</w:t>
      </w:r>
      <w:r w:rsidR="0020133E">
        <w:rPr>
          <w:rFonts w:asciiTheme="minorHAnsi" w:hAnsiTheme="minorHAnsi" w:cstheme="minorHAnsi"/>
          <w:sz w:val="22"/>
          <w:szCs w:val="22"/>
        </w:rPr>
        <w:t>,</w:t>
      </w:r>
      <w:r w:rsidR="004A0532">
        <w:rPr>
          <w:rFonts w:asciiTheme="minorHAnsi" w:hAnsiTheme="minorHAnsi" w:cstheme="minorHAnsi"/>
          <w:sz w:val="22"/>
          <w:szCs w:val="22"/>
        </w:rPr>
        <w:t xml:space="preserve"> including</w:t>
      </w:r>
      <w:r w:rsidR="002A3FE8">
        <w:rPr>
          <w:rFonts w:asciiTheme="minorHAnsi" w:hAnsiTheme="minorHAnsi" w:cstheme="minorHAnsi"/>
          <w:sz w:val="22"/>
          <w:szCs w:val="22"/>
        </w:rPr>
        <w:t xml:space="preserve"> the</w:t>
      </w:r>
      <w:r w:rsidR="004A0532">
        <w:rPr>
          <w:rFonts w:asciiTheme="minorHAnsi" w:hAnsiTheme="minorHAnsi" w:cstheme="minorHAnsi"/>
          <w:sz w:val="22"/>
          <w:szCs w:val="22"/>
        </w:rPr>
        <w:t xml:space="preserve"> </w:t>
      </w:r>
      <w:r w:rsidR="0020133E">
        <w:rPr>
          <w:rFonts w:asciiTheme="minorHAnsi" w:hAnsiTheme="minorHAnsi" w:cstheme="minorHAnsi"/>
          <w:sz w:val="22"/>
          <w:szCs w:val="22"/>
        </w:rPr>
        <w:t xml:space="preserve">high number of </w:t>
      </w:r>
      <w:r w:rsidRPr="0080708D">
        <w:rPr>
          <w:rFonts w:asciiTheme="minorHAnsi" w:hAnsiTheme="minorHAnsi" w:cstheme="minorHAnsi"/>
          <w:sz w:val="22"/>
          <w:szCs w:val="22"/>
        </w:rPr>
        <w:t>over</w:t>
      </w:r>
      <w:r w:rsidR="0020133E">
        <w:rPr>
          <w:rFonts w:asciiTheme="minorHAnsi" w:hAnsiTheme="minorHAnsi" w:cstheme="minorHAnsi"/>
          <w:sz w:val="22"/>
          <w:szCs w:val="22"/>
        </w:rPr>
        <w:t>-</w:t>
      </w:r>
      <w:r w:rsidRPr="0080708D">
        <w:rPr>
          <w:rFonts w:asciiTheme="minorHAnsi" w:hAnsiTheme="minorHAnsi" w:cstheme="minorHAnsi"/>
          <w:sz w:val="22"/>
          <w:szCs w:val="22"/>
        </w:rPr>
        <w:t xml:space="preserve">age students in the school system. </w:t>
      </w:r>
    </w:p>
    <w:p w14:paraId="2EE51AB7" w14:textId="7C86A3AF" w:rsidR="00847CF5" w:rsidRPr="0080708D" w:rsidRDefault="00847CF5" w:rsidP="005043E7">
      <w:pPr>
        <w:pStyle w:val="Table-normal-text"/>
        <w:numPr>
          <w:ilvl w:val="0"/>
          <w:numId w:val="26"/>
        </w:numPr>
        <w:spacing w:before="0"/>
        <w:contextualSpacing/>
        <w:rPr>
          <w:rFonts w:asciiTheme="minorHAnsi" w:hAnsiTheme="minorHAnsi" w:cstheme="minorHAnsi"/>
          <w:sz w:val="22"/>
          <w:szCs w:val="22"/>
        </w:rPr>
      </w:pPr>
      <w:r w:rsidRPr="0080708D">
        <w:rPr>
          <w:rFonts w:asciiTheme="minorHAnsi" w:hAnsiTheme="minorHAnsi" w:cstheme="minorHAnsi"/>
          <w:sz w:val="22"/>
          <w:szCs w:val="22"/>
        </w:rPr>
        <w:t>VESP is makin</w:t>
      </w:r>
      <w:r w:rsidR="0020133E">
        <w:rPr>
          <w:rFonts w:asciiTheme="minorHAnsi" w:hAnsiTheme="minorHAnsi" w:cstheme="minorHAnsi"/>
          <w:sz w:val="22"/>
          <w:szCs w:val="22"/>
        </w:rPr>
        <w:t>g adequate progress to achieve intermediate outcome three, however</w:t>
      </w:r>
      <w:r w:rsidRPr="0080708D">
        <w:rPr>
          <w:rFonts w:asciiTheme="minorHAnsi" w:hAnsiTheme="minorHAnsi" w:cstheme="minorHAnsi"/>
          <w:sz w:val="22"/>
          <w:szCs w:val="22"/>
        </w:rPr>
        <w:t xml:space="preserve"> it is too early to assess results. For example, MoET’s devolution plans have the potential to positively impa</w:t>
      </w:r>
      <w:r w:rsidR="0020133E">
        <w:rPr>
          <w:rFonts w:asciiTheme="minorHAnsi" w:hAnsiTheme="minorHAnsi" w:cstheme="minorHAnsi"/>
          <w:sz w:val="22"/>
          <w:szCs w:val="22"/>
        </w:rPr>
        <w:t>ct on children’s learning, but</w:t>
      </w:r>
      <w:r w:rsidRPr="0080708D">
        <w:rPr>
          <w:rFonts w:asciiTheme="minorHAnsi" w:hAnsiTheme="minorHAnsi" w:cstheme="minorHAnsi"/>
          <w:sz w:val="22"/>
          <w:szCs w:val="22"/>
        </w:rPr>
        <w:t xml:space="preserve"> these reforms are at </w:t>
      </w:r>
      <w:r w:rsidR="0020133E">
        <w:rPr>
          <w:rFonts w:asciiTheme="minorHAnsi" w:hAnsiTheme="minorHAnsi" w:cstheme="minorHAnsi"/>
          <w:sz w:val="22"/>
          <w:szCs w:val="22"/>
        </w:rPr>
        <w:t>early stages of implementation.</w:t>
      </w:r>
    </w:p>
    <w:p w14:paraId="4E7FBB7B" w14:textId="188247D6" w:rsidR="00847CF5" w:rsidRPr="0080708D" w:rsidRDefault="00847CF5" w:rsidP="005043E7">
      <w:pPr>
        <w:pStyle w:val="Table-normal-text"/>
        <w:numPr>
          <w:ilvl w:val="0"/>
          <w:numId w:val="26"/>
        </w:numPr>
        <w:spacing w:before="0"/>
        <w:contextualSpacing/>
        <w:rPr>
          <w:rFonts w:asciiTheme="minorHAnsi" w:hAnsiTheme="minorHAnsi" w:cstheme="minorHAnsi"/>
          <w:sz w:val="22"/>
          <w:szCs w:val="22"/>
        </w:rPr>
      </w:pPr>
      <w:r w:rsidRPr="0080708D">
        <w:rPr>
          <w:rFonts w:asciiTheme="minorHAnsi" w:hAnsiTheme="minorHAnsi" w:cstheme="minorHAnsi"/>
          <w:sz w:val="22"/>
          <w:szCs w:val="22"/>
        </w:rPr>
        <w:t>While VESP is a well-functioning program, it is important to maintain a focus on the end of program outcomes (not just the intermediate outcomes).  Over the next 18 months and beyond, all stakeholders should increase their attention on how the inputs and outputs of VESP are building appropriate pathways towards end of program outcomes.</w:t>
      </w:r>
    </w:p>
    <w:p w14:paraId="782221E5" w14:textId="0A039556" w:rsidR="00847CF5" w:rsidRDefault="0020133E" w:rsidP="005043E7">
      <w:pPr>
        <w:pStyle w:val="Table-normal-text"/>
        <w:numPr>
          <w:ilvl w:val="0"/>
          <w:numId w:val="26"/>
        </w:numPr>
        <w:spacing w:before="0"/>
        <w:contextualSpacing/>
        <w:rPr>
          <w:rFonts w:asciiTheme="minorHAnsi" w:hAnsiTheme="minorHAnsi" w:cstheme="minorHAnsi"/>
          <w:sz w:val="22"/>
          <w:szCs w:val="22"/>
        </w:rPr>
      </w:pPr>
      <w:r w:rsidRPr="0080708D">
        <w:rPr>
          <w:rFonts w:asciiTheme="minorHAnsi" w:hAnsiTheme="minorHAnsi" w:cstheme="minorHAnsi"/>
          <w:sz w:val="22"/>
          <w:szCs w:val="22"/>
        </w:rPr>
        <w:t xml:space="preserve">VESP is contributing to a multi-decade agenda of </w:t>
      </w:r>
      <w:r>
        <w:rPr>
          <w:rFonts w:asciiTheme="minorHAnsi" w:hAnsiTheme="minorHAnsi" w:cstheme="minorHAnsi"/>
          <w:sz w:val="22"/>
          <w:szCs w:val="22"/>
        </w:rPr>
        <w:t xml:space="preserve">education </w:t>
      </w:r>
      <w:r w:rsidRPr="0080708D">
        <w:rPr>
          <w:rFonts w:asciiTheme="minorHAnsi" w:hAnsiTheme="minorHAnsi" w:cstheme="minorHAnsi"/>
          <w:sz w:val="22"/>
          <w:szCs w:val="22"/>
        </w:rPr>
        <w:t xml:space="preserve">sector strengthening.  </w:t>
      </w:r>
      <w:r>
        <w:rPr>
          <w:rFonts w:asciiTheme="minorHAnsi" w:hAnsiTheme="minorHAnsi" w:cstheme="minorHAnsi"/>
          <w:sz w:val="22"/>
          <w:szCs w:val="22"/>
        </w:rPr>
        <w:t>It is crucial</w:t>
      </w:r>
      <w:r w:rsidRPr="0080708D">
        <w:rPr>
          <w:rFonts w:asciiTheme="minorHAnsi" w:hAnsiTheme="minorHAnsi" w:cstheme="minorHAnsi"/>
          <w:sz w:val="22"/>
          <w:szCs w:val="22"/>
        </w:rPr>
        <w:t xml:space="preserve"> </w:t>
      </w:r>
      <w:r>
        <w:rPr>
          <w:rFonts w:asciiTheme="minorHAnsi" w:hAnsiTheme="minorHAnsi" w:cstheme="minorHAnsi"/>
          <w:sz w:val="22"/>
          <w:szCs w:val="22"/>
        </w:rPr>
        <w:t>to maintain</w:t>
      </w:r>
      <w:r w:rsidRPr="0080708D">
        <w:rPr>
          <w:rFonts w:asciiTheme="minorHAnsi" w:hAnsiTheme="minorHAnsi" w:cstheme="minorHAnsi"/>
          <w:sz w:val="22"/>
          <w:szCs w:val="22"/>
        </w:rPr>
        <w:t xml:space="preserve"> the momentum </w:t>
      </w:r>
      <w:r>
        <w:rPr>
          <w:rFonts w:asciiTheme="minorHAnsi" w:hAnsiTheme="minorHAnsi" w:cstheme="minorHAnsi"/>
          <w:sz w:val="22"/>
          <w:szCs w:val="22"/>
        </w:rPr>
        <w:t xml:space="preserve">of key </w:t>
      </w:r>
      <w:r w:rsidRPr="0080708D">
        <w:rPr>
          <w:rFonts w:asciiTheme="minorHAnsi" w:hAnsiTheme="minorHAnsi" w:cstheme="minorHAnsi"/>
          <w:sz w:val="22"/>
          <w:szCs w:val="22"/>
        </w:rPr>
        <w:t>reforms.</w:t>
      </w:r>
      <w:r w:rsidRPr="004A0532">
        <w:rPr>
          <w:rFonts w:asciiTheme="minorHAnsi" w:hAnsiTheme="minorHAnsi" w:cstheme="minorHAnsi"/>
          <w:sz w:val="22"/>
          <w:szCs w:val="22"/>
        </w:rPr>
        <w:t xml:space="preserve"> </w:t>
      </w:r>
      <w:r w:rsidRPr="0080708D">
        <w:rPr>
          <w:rFonts w:asciiTheme="minorHAnsi" w:hAnsiTheme="minorHAnsi" w:cstheme="minorHAnsi"/>
          <w:sz w:val="22"/>
          <w:szCs w:val="22"/>
        </w:rPr>
        <w:t xml:space="preserve">Loss of momentum </w:t>
      </w:r>
      <w:r>
        <w:rPr>
          <w:rFonts w:asciiTheme="minorHAnsi" w:hAnsiTheme="minorHAnsi" w:cstheme="minorHAnsi"/>
          <w:sz w:val="22"/>
          <w:szCs w:val="22"/>
        </w:rPr>
        <w:t xml:space="preserve">following </w:t>
      </w:r>
      <w:r w:rsidRPr="0080708D">
        <w:rPr>
          <w:rFonts w:asciiTheme="minorHAnsi" w:hAnsiTheme="minorHAnsi" w:cstheme="minorHAnsi"/>
          <w:sz w:val="22"/>
          <w:szCs w:val="22"/>
        </w:rPr>
        <w:t xml:space="preserve">early progress is a risk </w:t>
      </w:r>
      <w:r>
        <w:rPr>
          <w:rFonts w:asciiTheme="minorHAnsi" w:hAnsiTheme="minorHAnsi" w:cstheme="minorHAnsi"/>
          <w:sz w:val="22"/>
          <w:szCs w:val="22"/>
        </w:rPr>
        <w:t>for</w:t>
      </w:r>
      <w:r w:rsidRPr="0080708D">
        <w:rPr>
          <w:rFonts w:asciiTheme="minorHAnsi" w:hAnsiTheme="minorHAnsi" w:cstheme="minorHAnsi"/>
          <w:sz w:val="22"/>
          <w:szCs w:val="22"/>
        </w:rPr>
        <w:t xml:space="preserve"> transitioni</w:t>
      </w:r>
      <w:r>
        <w:rPr>
          <w:rFonts w:asciiTheme="minorHAnsi" w:hAnsiTheme="minorHAnsi" w:cstheme="minorHAnsi"/>
          <w:sz w:val="22"/>
          <w:szCs w:val="22"/>
        </w:rPr>
        <w:t>ng to the next phase of support</w:t>
      </w:r>
      <w:r w:rsidRPr="0080708D">
        <w:rPr>
          <w:rFonts w:asciiTheme="minorHAnsi" w:hAnsiTheme="minorHAnsi" w:cstheme="minorHAnsi"/>
          <w:sz w:val="22"/>
          <w:szCs w:val="22"/>
        </w:rPr>
        <w:t>.</w:t>
      </w:r>
    </w:p>
    <w:p w14:paraId="4684BADD" w14:textId="77777777" w:rsidR="0020133E" w:rsidRPr="0020133E" w:rsidRDefault="0020133E" w:rsidP="0020133E">
      <w:pPr>
        <w:pStyle w:val="Table-normal-text"/>
        <w:spacing w:before="0"/>
        <w:contextualSpacing/>
        <w:rPr>
          <w:rFonts w:asciiTheme="minorHAnsi" w:hAnsiTheme="minorHAnsi" w:cstheme="minorHAnsi"/>
          <w:sz w:val="22"/>
          <w:szCs w:val="22"/>
        </w:rPr>
      </w:pPr>
    </w:p>
    <w:p w14:paraId="3F486899" w14:textId="0314FE6C" w:rsidR="00746DE9" w:rsidRPr="0020133E" w:rsidRDefault="00354933" w:rsidP="0020133E">
      <w:pPr>
        <w:pStyle w:val="Heading2"/>
        <w:spacing w:before="120" w:after="120"/>
        <w:contextualSpacing/>
        <w:rPr>
          <w:szCs w:val="24"/>
        </w:rPr>
      </w:pPr>
      <w:r>
        <w:rPr>
          <w:szCs w:val="24"/>
        </w:rPr>
        <w:t>Overall r</w:t>
      </w:r>
      <w:r w:rsidR="009C5213" w:rsidRPr="00130CCA">
        <w:rPr>
          <w:szCs w:val="24"/>
        </w:rPr>
        <w:t xml:space="preserve">esponse to the </w:t>
      </w:r>
      <w:r>
        <w:rPr>
          <w:szCs w:val="24"/>
        </w:rPr>
        <w:t>evaluation</w:t>
      </w:r>
    </w:p>
    <w:p w14:paraId="72396976" w14:textId="7CCDAAF0" w:rsidR="001B139E" w:rsidRDefault="00746DE9" w:rsidP="005043E7">
      <w:pPr>
        <w:pStyle w:val="Table-normal-text"/>
        <w:spacing w:before="0"/>
        <w:contextualSpacing/>
        <w:rPr>
          <w:rFonts w:asciiTheme="minorHAnsi" w:hAnsiTheme="minorHAnsi" w:cstheme="minorHAnsi"/>
          <w:sz w:val="22"/>
        </w:rPr>
      </w:pPr>
      <w:r>
        <w:rPr>
          <w:rFonts w:asciiTheme="minorHAnsi" w:hAnsiTheme="minorHAnsi" w:cstheme="minorHAnsi"/>
          <w:sz w:val="22"/>
        </w:rPr>
        <w:t>DFAT we</w:t>
      </w:r>
      <w:r w:rsidR="001B139E">
        <w:rPr>
          <w:rFonts w:asciiTheme="minorHAnsi" w:hAnsiTheme="minorHAnsi" w:cstheme="minorHAnsi"/>
          <w:sz w:val="22"/>
        </w:rPr>
        <w:t xml:space="preserve">lcomes the </w:t>
      </w:r>
      <w:r w:rsidR="0020133E">
        <w:rPr>
          <w:rFonts w:asciiTheme="minorHAnsi" w:hAnsiTheme="minorHAnsi" w:cstheme="minorHAnsi"/>
          <w:sz w:val="22"/>
        </w:rPr>
        <w:t xml:space="preserve">review </w:t>
      </w:r>
      <w:r w:rsidR="001B139E">
        <w:rPr>
          <w:rFonts w:asciiTheme="minorHAnsi" w:hAnsiTheme="minorHAnsi" w:cstheme="minorHAnsi"/>
          <w:sz w:val="22"/>
        </w:rPr>
        <w:t xml:space="preserve">findings </w:t>
      </w:r>
      <w:r>
        <w:rPr>
          <w:rFonts w:asciiTheme="minorHAnsi" w:hAnsiTheme="minorHAnsi" w:cstheme="minorHAnsi"/>
          <w:sz w:val="22"/>
        </w:rPr>
        <w:t xml:space="preserve">and acknowledges the </w:t>
      </w:r>
      <w:r w:rsidR="001B139E">
        <w:rPr>
          <w:rFonts w:asciiTheme="minorHAnsi" w:hAnsiTheme="minorHAnsi" w:cstheme="minorHAnsi"/>
          <w:sz w:val="22"/>
        </w:rPr>
        <w:t>potential risks</w:t>
      </w:r>
      <w:r>
        <w:rPr>
          <w:rFonts w:asciiTheme="minorHAnsi" w:hAnsiTheme="minorHAnsi" w:cstheme="minorHAnsi"/>
          <w:sz w:val="22"/>
        </w:rPr>
        <w:t xml:space="preserve"> outlined </w:t>
      </w:r>
      <w:r w:rsidR="001B139E">
        <w:rPr>
          <w:rFonts w:asciiTheme="minorHAnsi" w:hAnsiTheme="minorHAnsi" w:cstheme="minorHAnsi"/>
          <w:sz w:val="22"/>
        </w:rPr>
        <w:t>in the report</w:t>
      </w:r>
      <w:r>
        <w:rPr>
          <w:rFonts w:asciiTheme="minorHAnsi" w:hAnsiTheme="minorHAnsi" w:cstheme="minorHAnsi"/>
          <w:sz w:val="22"/>
        </w:rPr>
        <w:t xml:space="preserve">. DFAT will </w:t>
      </w:r>
      <w:r w:rsidR="0020133E">
        <w:rPr>
          <w:rFonts w:asciiTheme="minorHAnsi" w:hAnsiTheme="minorHAnsi" w:cstheme="minorHAnsi"/>
          <w:sz w:val="22"/>
        </w:rPr>
        <w:t>work closely with partners to address the</w:t>
      </w:r>
      <w:r w:rsidR="00096F76">
        <w:rPr>
          <w:rFonts w:asciiTheme="minorHAnsi" w:hAnsiTheme="minorHAnsi" w:cstheme="minorHAnsi"/>
          <w:sz w:val="22"/>
        </w:rPr>
        <w:t xml:space="preserve"> </w:t>
      </w:r>
      <w:r w:rsidR="0020133E">
        <w:rPr>
          <w:rFonts w:asciiTheme="minorHAnsi" w:hAnsiTheme="minorHAnsi" w:cstheme="minorHAnsi"/>
          <w:sz w:val="22"/>
        </w:rPr>
        <w:t xml:space="preserve">risks </w:t>
      </w:r>
      <w:r w:rsidR="00096F76">
        <w:rPr>
          <w:rFonts w:asciiTheme="minorHAnsi" w:hAnsiTheme="minorHAnsi" w:cstheme="minorHAnsi"/>
          <w:sz w:val="22"/>
        </w:rPr>
        <w:t xml:space="preserve">in </w:t>
      </w:r>
      <w:r w:rsidR="0020133E">
        <w:rPr>
          <w:rFonts w:asciiTheme="minorHAnsi" w:hAnsiTheme="minorHAnsi" w:cstheme="minorHAnsi"/>
          <w:sz w:val="22"/>
        </w:rPr>
        <w:t>future implementation plans</w:t>
      </w:r>
      <w:r w:rsidR="00896AE4">
        <w:rPr>
          <w:rFonts w:asciiTheme="minorHAnsi" w:hAnsiTheme="minorHAnsi" w:cstheme="minorHAnsi"/>
          <w:sz w:val="22"/>
        </w:rPr>
        <w:t xml:space="preserve"> </w:t>
      </w:r>
      <w:r w:rsidR="001B139E">
        <w:rPr>
          <w:rFonts w:asciiTheme="minorHAnsi" w:hAnsiTheme="minorHAnsi" w:cstheme="minorHAnsi"/>
          <w:sz w:val="22"/>
        </w:rPr>
        <w:t>and in the design of the next phase for VESP.</w:t>
      </w:r>
    </w:p>
    <w:p w14:paraId="26F6028E" w14:textId="21DFCE1E" w:rsidR="00096F76" w:rsidRDefault="00096F76" w:rsidP="005043E7">
      <w:pPr>
        <w:pStyle w:val="Table-normal-text"/>
        <w:spacing w:before="0"/>
        <w:contextualSpacing/>
        <w:rPr>
          <w:rFonts w:asciiTheme="minorHAnsi" w:hAnsiTheme="minorHAnsi" w:cstheme="minorHAnsi"/>
          <w:sz w:val="22"/>
        </w:rPr>
      </w:pPr>
    </w:p>
    <w:p w14:paraId="712B1327" w14:textId="07BF2D02" w:rsidR="005321BB" w:rsidRDefault="000D2440" w:rsidP="005043E7">
      <w:pPr>
        <w:pStyle w:val="Table-normal-text"/>
        <w:spacing w:before="0"/>
        <w:contextualSpacing/>
        <w:rPr>
          <w:rFonts w:asciiTheme="minorHAnsi" w:hAnsiTheme="minorHAnsi" w:cstheme="minorHAnsi"/>
          <w:sz w:val="22"/>
        </w:rPr>
      </w:pPr>
      <w:r>
        <w:rPr>
          <w:rFonts w:asciiTheme="minorHAnsi" w:hAnsiTheme="minorHAnsi" w:cstheme="minorHAnsi"/>
          <w:sz w:val="22"/>
        </w:rPr>
        <w:t xml:space="preserve">DFAT agrees with all recommendations made and will work closely with MoET and other partners to ensure all recommendations are adequately addressed. In particular, </w:t>
      </w:r>
      <w:r w:rsidR="001B139E">
        <w:rPr>
          <w:rFonts w:asciiTheme="minorHAnsi" w:hAnsiTheme="minorHAnsi" w:cstheme="minorHAnsi"/>
          <w:sz w:val="22"/>
        </w:rPr>
        <w:t xml:space="preserve">DFAT acknowledges the impact of the program at the school level and </w:t>
      </w:r>
      <w:r w:rsidR="00170DDD">
        <w:rPr>
          <w:rFonts w:asciiTheme="minorHAnsi" w:hAnsiTheme="minorHAnsi" w:cstheme="minorHAnsi"/>
          <w:sz w:val="22"/>
        </w:rPr>
        <w:t xml:space="preserve">agrees with </w:t>
      </w:r>
      <w:r w:rsidR="001B139E">
        <w:rPr>
          <w:rFonts w:asciiTheme="minorHAnsi" w:hAnsiTheme="minorHAnsi" w:cstheme="minorHAnsi"/>
          <w:sz w:val="22"/>
        </w:rPr>
        <w:t xml:space="preserve">the need to </w:t>
      </w:r>
      <w:r w:rsidR="00096F76">
        <w:rPr>
          <w:rFonts w:asciiTheme="minorHAnsi" w:hAnsiTheme="minorHAnsi" w:cstheme="minorHAnsi"/>
          <w:sz w:val="22"/>
        </w:rPr>
        <w:t xml:space="preserve">maintain </w:t>
      </w:r>
      <w:r w:rsidR="001B139E">
        <w:rPr>
          <w:rFonts w:asciiTheme="minorHAnsi" w:hAnsiTheme="minorHAnsi" w:cstheme="minorHAnsi"/>
          <w:sz w:val="22"/>
        </w:rPr>
        <w:t xml:space="preserve">momentum and strengthen communication strategies to engage </w:t>
      </w:r>
      <w:r w:rsidR="005321BB">
        <w:rPr>
          <w:rFonts w:asciiTheme="minorHAnsi" w:hAnsiTheme="minorHAnsi" w:cstheme="minorHAnsi"/>
          <w:sz w:val="22"/>
        </w:rPr>
        <w:t>with the different stakeholders.</w:t>
      </w:r>
      <w:r w:rsidR="00096F76">
        <w:rPr>
          <w:rFonts w:asciiTheme="minorHAnsi" w:hAnsiTheme="minorHAnsi" w:cstheme="minorHAnsi"/>
          <w:sz w:val="22"/>
        </w:rPr>
        <w:t xml:space="preserve"> </w:t>
      </w:r>
      <w:r w:rsidR="005321BB">
        <w:rPr>
          <w:rFonts w:asciiTheme="minorHAnsi" w:hAnsiTheme="minorHAnsi" w:cstheme="minorHAnsi"/>
          <w:sz w:val="22"/>
        </w:rPr>
        <w:t>DFAT agree</w:t>
      </w:r>
      <w:r w:rsidR="00096F76">
        <w:rPr>
          <w:rFonts w:asciiTheme="minorHAnsi" w:hAnsiTheme="minorHAnsi" w:cstheme="minorHAnsi"/>
          <w:sz w:val="22"/>
        </w:rPr>
        <w:t>s</w:t>
      </w:r>
      <w:r w:rsidR="005321BB">
        <w:rPr>
          <w:rFonts w:asciiTheme="minorHAnsi" w:hAnsiTheme="minorHAnsi" w:cstheme="minorHAnsi"/>
          <w:sz w:val="22"/>
        </w:rPr>
        <w:t xml:space="preserve"> that there will be need to work on a </w:t>
      </w:r>
      <w:r w:rsidR="00096F76">
        <w:rPr>
          <w:rFonts w:asciiTheme="minorHAnsi" w:hAnsiTheme="minorHAnsi" w:cstheme="minorHAnsi"/>
          <w:sz w:val="22"/>
        </w:rPr>
        <w:t xml:space="preserve">robust </w:t>
      </w:r>
      <w:r w:rsidR="005321BB">
        <w:rPr>
          <w:rFonts w:asciiTheme="minorHAnsi" w:hAnsiTheme="minorHAnsi" w:cstheme="minorHAnsi"/>
          <w:sz w:val="22"/>
        </w:rPr>
        <w:t xml:space="preserve">design </w:t>
      </w:r>
      <w:r w:rsidR="00896AE4">
        <w:rPr>
          <w:rFonts w:asciiTheme="minorHAnsi" w:hAnsiTheme="minorHAnsi" w:cstheme="minorHAnsi"/>
          <w:sz w:val="22"/>
        </w:rPr>
        <w:t xml:space="preserve">for the next phase of support </w:t>
      </w:r>
      <w:r w:rsidR="005321BB">
        <w:rPr>
          <w:rFonts w:asciiTheme="minorHAnsi" w:hAnsiTheme="minorHAnsi" w:cstheme="minorHAnsi"/>
          <w:sz w:val="22"/>
        </w:rPr>
        <w:t>over the next 18 months</w:t>
      </w:r>
      <w:r>
        <w:rPr>
          <w:rFonts w:asciiTheme="minorHAnsi" w:hAnsiTheme="minorHAnsi" w:cstheme="minorHAnsi"/>
          <w:sz w:val="22"/>
        </w:rPr>
        <w:t xml:space="preserve">, with strong </w:t>
      </w:r>
      <w:r w:rsidR="00096F76">
        <w:rPr>
          <w:rFonts w:asciiTheme="minorHAnsi" w:hAnsiTheme="minorHAnsi" w:cstheme="minorHAnsi"/>
          <w:sz w:val="22"/>
        </w:rPr>
        <w:t>Mo</w:t>
      </w:r>
      <w:r w:rsidR="005321BB">
        <w:rPr>
          <w:rFonts w:asciiTheme="minorHAnsi" w:hAnsiTheme="minorHAnsi" w:cstheme="minorHAnsi"/>
          <w:sz w:val="22"/>
        </w:rPr>
        <w:t xml:space="preserve">ET ownership. DFAT will </w:t>
      </w:r>
      <w:r>
        <w:rPr>
          <w:rFonts w:asciiTheme="minorHAnsi" w:hAnsiTheme="minorHAnsi" w:cstheme="minorHAnsi"/>
          <w:sz w:val="22"/>
        </w:rPr>
        <w:t xml:space="preserve">also </w:t>
      </w:r>
      <w:r w:rsidR="005321BB">
        <w:rPr>
          <w:rFonts w:asciiTheme="minorHAnsi" w:hAnsiTheme="minorHAnsi" w:cstheme="minorHAnsi"/>
          <w:sz w:val="22"/>
        </w:rPr>
        <w:t>work closely with other development partners</w:t>
      </w:r>
      <w:r w:rsidR="00096F76">
        <w:rPr>
          <w:rFonts w:asciiTheme="minorHAnsi" w:hAnsiTheme="minorHAnsi" w:cstheme="minorHAnsi"/>
          <w:sz w:val="22"/>
        </w:rPr>
        <w:t xml:space="preserve"> over this period</w:t>
      </w:r>
      <w:r w:rsidR="005321BB">
        <w:rPr>
          <w:rFonts w:asciiTheme="minorHAnsi" w:hAnsiTheme="minorHAnsi" w:cstheme="minorHAnsi"/>
          <w:sz w:val="22"/>
        </w:rPr>
        <w:t>.</w:t>
      </w:r>
    </w:p>
    <w:p w14:paraId="470DC9DD" w14:textId="77777777" w:rsidR="005321BB" w:rsidRDefault="005321BB" w:rsidP="005043E7">
      <w:pPr>
        <w:pStyle w:val="Table-normal-text"/>
        <w:spacing w:before="0"/>
        <w:contextualSpacing/>
        <w:rPr>
          <w:rFonts w:asciiTheme="minorHAnsi" w:hAnsiTheme="minorHAnsi" w:cstheme="minorHAnsi"/>
          <w:sz w:val="22"/>
        </w:rPr>
      </w:pPr>
    </w:p>
    <w:p w14:paraId="227C167C" w14:textId="3AA22CF7" w:rsidR="009C5213" w:rsidRPr="00130CCA" w:rsidRDefault="00354933" w:rsidP="0020133E">
      <w:pPr>
        <w:pStyle w:val="Heading2"/>
        <w:spacing w:before="120" w:after="120"/>
        <w:contextualSpacing/>
        <w:rPr>
          <w:szCs w:val="24"/>
        </w:rPr>
      </w:pPr>
      <w:r>
        <w:rPr>
          <w:szCs w:val="24"/>
        </w:rPr>
        <w:t>R</w:t>
      </w:r>
      <w:r w:rsidR="009C5213" w:rsidRPr="00130CCA">
        <w:rPr>
          <w:szCs w:val="24"/>
        </w:rPr>
        <w:t>esponse to specific recommendations</w:t>
      </w:r>
    </w:p>
    <w:p w14:paraId="2EA67778" w14:textId="2D1AC16C" w:rsidR="009A0B64" w:rsidRPr="00096F76" w:rsidRDefault="00720ABC"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w:t>
      </w:r>
      <w:r w:rsidR="003F46E3" w:rsidRPr="00096F76">
        <w:rPr>
          <w:rFonts w:asciiTheme="minorHAnsi" w:hAnsiTheme="minorHAnsi" w:cstheme="minorHAnsi"/>
          <w:i/>
          <w:sz w:val="22"/>
        </w:rPr>
        <w:t>: Extend the current</w:t>
      </w:r>
      <w:r w:rsidR="00096F76">
        <w:rPr>
          <w:rFonts w:asciiTheme="minorHAnsi" w:hAnsiTheme="minorHAnsi" w:cstheme="minorHAnsi"/>
          <w:i/>
          <w:sz w:val="22"/>
        </w:rPr>
        <w:t xml:space="preserve"> phase of VESP to December 2018</w:t>
      </w:r>
    </w:p>
    <w:p w14:paraId="248D5AF3" w14:textId="77777777" w:rsidR="000D2440" w:rsidRDefault="000D2440" w:rsidP="000D2440">
      <w:pPr>
        <w:pStyle w:val="Table-normal-text"/>
        <w:spacing w:before="0"/>
        <w:contextualSpacing/>
        <w:rPr>
          <w:rFonts w:asciiTheme="minorHAnsi" w:hAnsiTheme="minorHAnsi" w:cstheme="minorHAnsi"/>
          <w:sz w:val="22"/>
          <w:u w:val="single"/>
        </w:rPr>
      </w:pPr>
    </w:p>
    <w:p w14:paraId="462B655A" w14:textId="2C9901CB" w:rsidR="00505C3A"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ED1176" w:rsidRPr="00AD0732">
        <w:rPr>
          <w:rFonts w:asciiTheme="minorHAnsi" w:hAnsiTheme="minorHAnsi" w:cstheme="minorHAnsi"/>
          <w:sz w:val="22"/>
        </w:rPr>
        <w:t>Agree</w:t>
      </w:r>
      <w:r w:rsidR="00096F76">
        <w:rPr>
          <w:rFonts w:asciiTheme="minorHAnsi" w:hAnsiTheme="minorHAnsi" w:cstheme="minorHAnsi"/>
          <w:sz w:val="22"/>
        </w:rPr>
        <w:t xml:space="preserve"> </w:t>
      </w:r>
    </w:p>
    <w:p w14:paraId="3927F327" w14:textId="6D9B933C" w:rsidR="003F46E3" w:rsidRDefault="003F46E3"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Th</w:t>
      </w:r>
      <w:r w:rsidR="00096F76">
        <w:rPr>
          <w:rFonts w:asciiTheme="minorHAnsi" w:hAnsiTheme="minorHAnsi" w:cstheme="minorHAnsi"/>
          <w:sz w:val="22"/>
        </w:rPr>
        <w:t xml:space="preserve">e </w:t>
      </w:r>
      <w:r w:rsidR="000F6048">
        <w:rPr>
          <w:rFonts w:asciiTheme="minorHAnsi" w:hAnsiTheme="minorHAnsi" w:cstheme="minorHAnsi"/>
          <w:sz w:val="22"/>
        </w:rPr>
        <w:t>original</w:t>
      </w:r>
      <w:r w:rsidR="00096F76">
        <w:rPr>
          <w:rFonts w:asciiTheme="minorHAnsi" w:hAnsiTheme="minorHAnsi" w:cstheme="minorHAnsi"/>
          <w:sz w:val="22"/>
        </w:rPr>
        <w:t xml:space="preserve"> contract with Coffey I</w:t>
      </w:r>
      <w:r>
        <w:rPr>
          <w:rFonts w:asciiTheme="minorHAnsi" w:hAnsiTheme="minorHAnsi" w:cstheme="minorHAnsi"/>
          <w:sz w:val="22"/>
        </w:rPr>
        <w:t xml:space="preserve">nternational </w:t>
      </w:r>
      <w:r w:rsidR="00096F76">
        <w:rPr>
          <w:rFonts w:asciiTheme="minorHAnsi" w:hAnsiTheme="minorHAnsi" w:cstheme="minorHAnsi"/>
          <w:sz w:val="22"/>
        </w:rPr>
        <w:t xml:space="preserve">Ltd </w:t>
      </w:r>
      <w:r w:rsidR="000F6048">
        <w:rPr>
          <w:rFonts w:asciiTheme="minorHAnsi" w:hAnsiTheme="minorHAnsi" w:cstheme="minorHAnsi"/>
          <w:sz w:val="22"/>
        </w:rPr>
        <w:t>offered</w:t>
      </w:r>
      <w:r>
        <w:rPr>
          <w:rFonts w:asciiTheme="minorHAnsi" w:hAnsiTheme="minorHAnsi" w:cstheme="minorHAnsi"/>
          <w:sz w:val="22"/>
        </w:rPr>
        <w:t xml:space="preserve"> the option to </w:t>
      </w:r>
      <w:r w:rsidR="00096F76">
        <w:rPr>
          <w:rFonts w:asciiTheme="minorHAnsi" w:hAnsiTheme="minorHAnsi" w:cstheme="minorHAnsi"/>
          <w:sz w:val="22"/>
        </w:rPr>
        <w:t>extend</w:t>
      </w:r>
      <w:r>
        <w:rPr>
          <w:rFonts w:asciiTheme="minorHAnsi" w:hAnsiTheme="minorHAnsi" w:cstheme="minorHAnsi"/>
          <w:sz w:val="22"/>
        </w:rPr>
        <w:t xml:space="preserve"> to 30 June 2018. </w:t>
      </w:r>
      <w:r w:rsidR="000F6048">
        <w:rPr>
          <w:rFonts w:asciiTheme="minorHAnsi" w:hAnsiTheme="minorHAnsi" w:cstheme="minorHAnsi"/>
          <w:sz w:val="22"/>
        </w:rPr>
        <w:t>DFAT acknowledged</w:t>
      </w:r>
      <w:r w:rsidR="00096F76">
        <w:rPr>
          <w:rFonts w:asciiTheme="minorHAnsi" w:hAnsiTheme="minorHAnsi" w:cstheme="minorHAnsi"/>
          <w:sz w:val="22"/>
        </w:rPr>
        <w:t xml:space="preserve"> that t</w:t>
      </w:r>
      <w:r>
        <w:rPr>
          <w:rFonts w:asciiTheme="minorHAnsi" w:hAnsiTheme="minorHAnsi" w:cstheme="minorHAnsi"/>
          <w:sz w:val="22"/>
        </w:rPr>
        <w:t xml:space="preserve">his timing does not match the calendar year and would end the </w:t>
      </w:r>
      <w:r w:rsidR="005321BB">
        <w:rPr>
          <w:rFonts w:asciiTheme="minorHAnsi" w:hAnsiTheme="minorHAnsi" w:cstheme="minorHAnsi"/>
          <w:sz w:val="22"/>
        </w:rPr>
        <w:t>program</w:t>
      </w:r>
      <w:r>
        <w:rPr>
          <w:rFonts w:asciiTheme="minorHAnsi" w:hAnsiTheme="minorHAnsi" w:cstheme="minorHAnsi"/>
          <w:sz w:val="22"/>
        </w:rPr>
        <w:t xml:space="preserve"> in the middle of the school year</w:t>
      </w:r>
      <w:r w:rsidR="00096F76">
        <w:rPr>
          <w:rFonts w:asciiTheme="minorHAnsi" w:hAnsiTheme="minorHAnsi" w:cstheme="minorHAnsi"/>
          <w:sz w:val="22"/>
        </w:rPr>
        <w:t>,</w:t>
      </w:r>
      <w:r>
        <w:rPr>
          <w:rFonts w:asciiTheme="minorHAnsi" w:hAnsiTheme="minorHAnsi" w:cstheme="minorHAnsi"/>
          <w:sz w:val="22"/>
        </w:rPr>
        <w:t xml:space="preserve"> with the risk </w:t>
      </w:r>
      <w:r w:rsidR="00096F76">
        <w:rPr>
          <w:rFonts w:asciiTheme="minorHAnsi" w:hAnsiTheme="minorHAnsi" w:cstheme="minorHAnsi"/>
          <w:sz w:val="22"/>
        </w:rPr>
        <w:t xml:space="preserve">of disrupting </w:t>
      </w:r>
      <w:r>
        <w:rPr>
          <w:rFonts w:asciiTheme="minorHAnsi" w:hAnsiTheme="minorHAnsi" w:cstheme="minorHAnsi"/>
          <w:sz w:val="22"/>
        </w:rPr>
        <w:t xml:space="preserve">the roll-out of the curriculum material and the teachers’ training. </w:t>
      </w:r>
      <w:r w:rsidR="000F6048">
        <w:rPr>
          <w:rFonts w:asciiTheme="minorHAnsi" w:hAnsiTheme="minorHAnsi" w:cstheme="minorHAnsi"/>
          <w:sz w:val="22"/>
        </w:rPr>
        <w:t xml:space="preserve">DFAT successfully negotiated (signed June 2017) with Coffey International Ltd the extension of the contract to the end of January 2019, to allow one month for handover for a future phase. The </w:t>
      </w:r>
      <w:r>
        <w:rPr>
          <w:rFonts w:asciiTheme="minorHAnsi" w:hAnsiTheme="minorHAnsi" w:cstheme="minorHAnsi"/>
          <w:sz w:val="22"/>
        </w:rPr>
        <w:t xml:space="preserve">extension </w:t>
      </w:r>
      <w:r w:rsidR="00096F76">
        <w:rPr>
          <w:rFonts w:asciiTheme="minorHAnsi" w:hAnsiTheme="minorHAnsi" w:cstheme="minorHAnsi"/>
          <w:sz w:val="22"/>
        </w:rPr>
        <w:t xml:space="preserve">to the end of the school year in 2018 </w:t>
      </w:r>
      <w:r>
        <w:rPr>
          <w:rFonts w:asciiTheme="minorHAnsi" w:hAnsiTheme="minorHAnsi" w:cstheme="minorHAnsi"/>
          <w:sz w:val="22"/>
        </w:rPr>
        <w:t>allow</w:t>
      </w:r>
      <w:r w:rsidR="000F6048">
        <w:rPr>
          <w:rFonts w:asciiTheme="minorHAnsi" w:hAnsiTheme="minorHAnsi" w:cstheme="minorHAnsi"/>
          <w:sz w:val="22"/>
        </w:rPr>
        <w:t>s</w:t>
      </w:r>
      <w:r>
        <w:rPr>
          <w:rFonts w:asciiTheme="minorHAnsi" w:hAnsiTheme="minorHAnsi" w:cstheme="minorHAnsi"/>
          <w:sz w:val="22"/>
        </w:rPr>
        <w:t xml:space="preserve"> </w:t>
      </w:r>
      <w:r w:rsidR="00096F76">
        <w:rPr>
          <w:rFonts w:asciiTheme="minorHAnsi" w:hAnsiTheme="minorHAnsi" w:cstheme="minorHAnsi"/>
          <w:sz w:val="22"/>
        </w:rPr>
        <w:t xml:space="preserve">adequate time to collect </w:t>
      </w:r>
      <w:r>
        <w:rPr>
          <w:rFonts w:asciiTheme="minorHAnsi" w:hAnsiTheme="minorHAnsi" w:cstheme="minorHAnsi"/>
          <w:sz w:val="22"/>
        </w:rPr>
        <w:t>data about the implementation of the curriculum and the language policy</w:t>
      </w:r>
      <w:r w:rsidR="00096F76">
        <w:rPr>
          <w:rFonts w:asciiTheme="minorHAnsi" w:hAnsiTheme="minorHAnsi" w:cstheme="minorHAnsi"/>
          <w:sz w:val="22"/>
        </w:rPr>
        <w:t xml:space="preserve"> in primary schools</w:t>
      </w:r>
      <w:r>
        <w:rPr>
          <w:rFonts w:asciiTheme="minorHAnsi" w:hAnsiTheme="minorHAnsi" w:cstheme="minorHAnsi"/>
          <w:sz w:val="22"/>
        </w:rPr>
        <w:t xml:space="preserve">. </w:t>
      </w:r>
    </w:p>
    <w:p w14:paraId="3E178E7F" w14:textId="77777777" w:rsidR="000D2440" w:rsidRPr="00AD0732" w:rsidRDefault="000D2440" w:rsidP="000D2440">
      <w:pPr>
        <w:pStyle w:val="Table-normal-text"/>
        <w:spacing w:before="0"/>
        <w:contextualSpacing/>
        <w:rPr>
          <w:rFonts w:asciiTheme="minorHAnsi" w:hAnsiTheme="minorHAnsi" w:cstheme="minorHAnsi"/>
          <w:sz w:val="22"/>
        </w:rPr>
      </w:pPr>
    </w:p>
    <w:p w14:paraId="1E6CF798" w14:textId="189011B0" w:rsidR="00720ABC" w:rsidRPr="00096F76" w:rsidRDefault="00720ABC"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2</w:t>
      </w:r>
      <w:r w:rsidRPr="00096F76">
        <w:rPr>
          <w:rFonts w:asciiTheme="minorHAnsi" w:hAnsiTheme="minorHAnsi" w:cstheme="minorHAnsi"/>
          <w:i/>
          <w:sz w:val="22"/>
        </w:rPr>
        <w:t xml:space="preserve">: </w:t>
      </w:r>
      <w:r w:rsidR="003F46E3" w:rsidRPr="00096F76">
        <w:rPr>
          <w:rFonts w:asciiTheme="minorHAnsi" w:hAnsiTheme="minorHAnsi" w:cstheme="minorHAnsi"/>
          <w:i/>
          <w:sz w:val="22"/>
        </w:rPr>
        <w:t>Star</w:t>
      </w:r>
      <w:r w:rsidR="005321BB" w:rsidRPr="00096F76">
        <w:rPr>
          <w:rFonts w:asciiTheme="minorHAnsi" w:hAnsiTheme="minorHAnsi" w:cstheme="minorHAnsi"/>
          <w:i/>
          <w:sz w:val="22"/>
        </w:rPr>
        <w:t xml:space="preserve">t </w:t>
      </w:r>
      <w:r w:rsidR="003F46E3" w:rsidRPr="00096F76">
        <w:rPr>
          <w:rFonts w:asciiTheme="minorHAnsi" w:hAnsiTheme="minorHAnsi" w:cstheme="minorHAnsi"/>
          <w:i/>
          <w:sz w:val="22"/>
        </w:rPr>
        <w:t>planning now for a smooth transition to VESP II</w:t>
      </w:r>
    </w:p>
    <w:p w14:paraId="13BBC72D" w14:textId="77777777" w:rsidR="000D2440" w:rsidRDefault="000D2440" w:rsidP="000D2440">
      <w:pPr>
        <w:pStyle w:val="Table-normal-text"/>
        <w:spacing w:before="0"/>
        <w:contextualSpacing/>
        <w:rPr>
          <w:rFonts w:asciiTheme="minorHAnsi" w:hAnsiTheme="minorHAnsi" w:cstheme="minorHAnsi"/>
          <w:sz w:val="22"/>
          <w:u w:val="single"/>
        </w:rPr>
      </w:pPr>
    </w:p>
    <w:p w14:paraId="3EAF0413" w14:textId="5748824E" w:rsidR="00AD0732"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2C8ACC43" w14:textId="627FAFA1" w:rsidR="003F46E3" w:rsidRDefault="00096F76"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The extension of P</w:t>
      </w:r>
      <w:r w:rsidR="003F46E3">
        <w:rPr>
          <w:rFonts w:asciiTheme="minorHAnsi" w:hAnsiTheme="minorHAnsi" w:cstheme="minorHAnsi"/>
          <w:sz w:val="22"/>
        </w:rPr>
        <w:t xml:space="preserve">hase I will allow time </w:t>
      </w:r>
      <w:r>
        <w:rPr>
          <w:rFonts w:asciiTheme="minorHAnsi" w:hAnsiTheme="minorHAnsi" w:cstheme="minorHAnsi"/>
          <w:sz w:val="22"/>
        </w:rPr>
        <w:t xml:space="preserve">for </w:t>
      </w:r>
      <w:r w:rsidR="003F46E3">
        <w:rPr>
          <w:rFonts w:asciiTheme="minorHAnsi" w:hAnsiTheme="minorHAnsi" w:cstheme="minorHAnsi"/>
          <w:sz w:val="22"/>
        </w:rPr>
        <w:t>joint planning with partners for the next phase</w:t>
      </w:r>
      <w:r w:rsidR="00E76BB5">
        <w:rPr>
          <w:rFonts w:asciiTheme="minorHAnsi" w:hAnsiTheme="minorHAnsi" w:cstheme="minorHAnsi"/>
          <w:sz w:val="22"/>
        </w:rPr>
        <w:t>,</w:t>
      </w:r>
      <w:r w:rsidR="003F46E3">
        <w:rPr>
          <w:rFonts w:asciiTheme="minorHAnsi" w:hAnsiTheme="minorHAnsi" w:cstheme="minorHAnsi"/>
          <w:sz w:val="22"/>
        </w:rPr>
        <w:t xml:space="preserve"> without losing momentum in implementation </w:t>
      </w:r>
      <w:r w:rsidR="005321BB">
        <w:rPr>
          <w:rFonts w:asciiTheme="minorHAnsi" w:hAnsiTheme="minorHAnsi" w:cstheme="minorHAnsi"/>
          <w:sz w:val="22"/>
        </w:rPr>
        <w:t>and</w:t>
      </w:r>
      <w:r w:rsidR="003F46E3">
        <w:rPr>
          <w:rFonts w:asciiTheme="minorHAnsi" w:hAnsiTheme="minorHAnsi" w:cstheme="minorHAnsi"/>
          <w:sz w:val="22"/>
        </w:rPr>
        <w:t xml:space="preserve"> the </w:t>
      </w:r>
      <w:r w:rsidR="005321BB">
        <w:rPr>
          <w:rFonts w:asciiTheme="minorHAnsi" w:hAnsiTheme="minorHAnsi" w:cstheme="minorHAnsi"/>
          <w:sz w:val="22"/>
        </w:rPr>
        <w:t xml:space="preserve">current </w:t>
      </w:r>
      <w:r w:rsidR="00E76BB5">
        <w:rPr>
          <w:rFonts w:asciiTheme="minorHAnsi" w:hAnsiTheme="minorHAnsi" w:cstheme="minorHAnsi"/>
          <w:sz w:val="22"/>
        </w:rPr>
        <w:t>program</w:t>
      </w:r>
      <w:r w:rsidR="003F46E3">
        <w:rPr>
          <w:rFonts w:asciiTheme="minorHAnsi" w:hAnsiTheme="minorHAnsi" w:cstheme="minorHAnsi"/>
          <w:sz w:val="22"/>
        </w:rPr>
        <w:t xml:space="preserve">.  </w:t>
      </w:r>
      <w:r w:rsidR="00E76BB5">
        <w:rPr>
          <w:rFonts w:asciiTheme="minorHAnsi" w:hAnsiTheme="minorHAnsi" w:cstheme="minorHAnsi"/>
          <w:sz w:val="22"/>
        </w:rPr>
        <w:t xml:space="preserve">DFAT will develop an </w:t>
      </w:r>
      <w:r w:rsidR="003F46E3">
        <w:rPr>
          <w:rFonts w:asciiTheme="minorHAnsi" w:hAnsiTheme="minorHAnsi" w:cstheme="minorHAnsi"/>
          <w:sz w:val="22"/>
        </w:rPr>
        <w:t>appropriate design process</w:t>
      </w:r>
      <w:r w:rsidR="00E76BB5">
        <w:rPr>
          <w:rFonts w:asciiTheme="minorHAnsi" w:hAnsiTheme="minorHAnsi" w:cstheme="minorHAnsi"/>
          <w:sz w:val="22"/>
        </w:rPr>
        <w:t xml:space="preserve"> and </w:t>
      </w:r>
      <w:r w:rsidR="003F46E3">
        <w:rPr>
          <w:rFonts w:asciiTheme="minorHAnsi" w:hAnsiTheme="minorHAnsi" w:cstheme="minorHAnsi"/>
          <w:sz w:val="22"/>
        </w:rPr>
        <w:t xml:space="preserve">recruit </w:t>
      </w:r>
      <w:r w:rsidR="00E76BB5">
        <w:rPr>
          <w:rFonts w:asciiTheme="minorHAnsi" w:hAnsiTheme="minorHAnsi" w:cstheme="minorHAnsi"/>
          <w:sz w:val="22"/>
        </w:rPr>
        <w:t xml:space="preserve">design team </w:t>
      </w:r>
      <w:r w:rsidR="003F46E3">
        <w:rPr>
          <w:rFonts w:asciiTheme="minorHAnsi" w:hAnsiTheme="minorHAnsi" w:cstheme="minorHAnsi"/>
          <w:sz w:val="22"/>
        </w:rPr>
        <w:t xml:space="preserve">members </w:t>
      </w:r>
      <w:r w:rsidR="00E76BB5">
        <w:rPr>
          <w:rFonts w:asciiTheme="minorHAnsi" w:hAnsiTheme="minorHAnsi" w:cstheme="minorHAnsi"/>
          <w:sz w:val="22"/>
        </w:rPr>
        <w:t xml:space="preserve">in consultation with partners. The timing and duration of the design process will maximise MoET </w:t>
      </w:r>
      <w:r w:rsidR="003F46E3">
        <w:rPr>
          <w:rFonts w:asciiTheme="minorHAnsi" w:hAnsiTheme="minorHAnsi" w:cstheme="minorHAnsi"/>
          <w:sz w:val="22"/>
        </w:rPr>
        <w:t>ownership of the process and the design</w:t>
      </w:r>
      <w:r w:rsidR="00E76BB5">
        <w:rPr>
          <w:rFonts w:asciiTheme="minorHAnsi" w:hAnsiTheme="minorHAnsi" w:cstheme="minorHAnsi"/>
          <w:sz w:val="22"/>
        </w:rPr>
        <w:t>.</w:t>
      </w:r>
    </w:p>
    <w:p w14:paraId="5781908C" w14:textId="77777777" w:rsidR="000D2440" w:rsidRPr="00AD0732" w:rsidRDefault="000D2440" w:rsidP="000D2440">
      <w:pPr>
        <w:pStyle w:val="Table-normal-text"/>
        <w:spacing w:before="0"/>
        <w:contextualSpacing/>
        <w:rPr>
          <w:rFonts w:asciiTheme="minorHAnsi" w:hAnsiTheme="minorHAnsi" w:cstheme="minorHAnsi"/>
          <w:sz w:val="22"/>
        </w:rPr>
      </w:pPr>
    </w:p>
    <w:p w14:paraId="471BAE12" w14:textId="6D4DC34C" w:rsidR="00720ABC" w:rsidRPr="00096F76" w:rsidRDefault="00720ABC"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3</w:t>
      </w:r>
      <w:r w:rsidRPr="00096F76">
        <w:rPr>
          <w:rFonts w:asciiTheme="minorHAnsi" w:hAnsiTheme="minorHAnsi" w:cstheme="minorHAnsi"/>
          <w:i/>
          <w:sz w:val="22"/>
        </w:rPr>
        <w:t xml:space="preserve">: </w:t>
      </w:r>
      <w:r w:rsidR="003F46E3" w:rsidRPr="00096F76">
        <w:rPr>
          <w:rFonts w:asciiTheme="minorHAnsi" w:hAnsiTheme="minorHAnsi" w:cstheme="minorHAnsi"/>
          <w:i/>
          <w:sz w:val="22"/>
        </w:rPr>
        <w:t>The VESP Steering Committee should closely monitor the implementation of the language transition strategy</w:t>
      </w:r>
    </w:p>
    <w:p w14:paraId="564F3B26" w14:textId="77777777" w:rsidR="000D2440" w:rsidRDefault="000D2440" w:rsidP="000D2440">
      <w:pPr>
        <w:pStyle w:val="Table-normal-text"/>
        <w:spacing w:before="0"/>
        <w:contextualSpacing/>
        <w:rPr>
          <w:rFonts w:asciiTheme="minorHAnsi" w:hAnsiTheme="minorHAnsi" w:cstheme="minorHAnsi"/>
          <w:sz w:val="22"/>
          <w:u w:val="single"/>
        </w:rPr>
      </w:pPr>
    </w:p>
    <w:p w14:paraId="2C230A28" w14:textId="70E9D9A3" w:rsidR="00AD0732"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064702">
        <w:rPr>
          <w:rFonts w:asciiTheme="minorHAnsi" w:hAnsiTheme="minorHAnsi" w:cstheme="minorHAnsi"/>
          <w:sz w:val="22"/>
        </w:rPr>
        <w:t>A</w:t>
      </w:r>
      <w:r w:rsidRPr="00AD0732">
        <w:rPr>
          <w:rFonts w:asciiTheme="minorHAnsi" w:hAnsiTheme="minorHAnsi" w:cstheme="minorHAnsi"/>
          <w:sz w:val="22"/>
        </w:rPr>
        <w:t>gree</w:t>
      </w:r>
    </w:p>
    <w:p w14:paraId="4AEF0B0A" w14:textId="39047E37" w:rsidR="003F46E3" w:rsidRDefault="00E76BB5"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Field work recorded evidence</w:t>
      </w:r>
      <w:r w:rsidR="003F46E3">
        <w:rPr>
          <w:rFonts w:asciiTheme="minorHAnsi" w:hAnsiTheme="minorHAnsi" w:cstheme="minorHAnsi"/>
          <w:sz w:val="22"/>
        </w:rPr>
        <w:t xml:space="preserve"> of </w:t>
      </w:r>
      <w:r>
        <w:rPr>
          <w:rFonts w:asciiTheme="minorHAnsi" w:hAnsiTheme="minorHAnsi" w:cstheme="minorHAnsi"/>
          <w:sz w:val="22"/>
        </w:rPr>
        <w:t xml:space="preserve">a </w:t>
      </w:r>
      <w:r w:rsidR="003F46E3">
        <w:rPr>
          <w:rFonts w:asciiTheme="minorHAnsi" w:hAnsiTheme="minorHAnsi" w:cstheme="minorHAnsi"/>
          <w:sz w:val="22"/>
        </w:rPr>
        <w:t>lack of understanding about the transition to the international languages</w:t>
      </w:r>
      <w:r>
        <w:rPr>
          <w:rFonts w:asciiTheme="minorHAnsi" w:hAnsiTheme="minorHAnsi" w:cstheme="minorHAnsi"/>
          <w:sz w:val="22"/>
        </w:rPr>
        <w:t xml:space="preserve"> (English and French)</w:t>
      </w:r>
      <w:r w:rsidR="003F46E3">
        <w:rPr>
          <w:rFonts w:asciiTheme="minorHAnsi" w:hAnsiTheme="minorHAnsi" w:cstheme="minorHAnsi"/>
          <w:sz w:val="22"/>
        </w:rPr>
        <w:t xml:space="preserve">. There is a need to focus on information dissemination to school leaders, teachers and the whole community. </w:t>
      </w:r>
      <w:r>
        <w:rPr>
          <w:rFonts w:asciiTheme="minorHAnsi" w:hAnsiTheme="minorHAnsi" w:cstheme="minorHAnsi"/>
          <w:sz w:val="22"/>
        </w:rPr>
        <w:t xml:space="preserve">MoET is responsible for implementing and closely monitoring the language transition strategy. Through </w:t>
      </w:r>
      <w:r w:rsidR="005321BB">
        <w:rPr>
          <w:rFonts w:asciiTheme="minorHAnsi" w:hAnsiTheme="minorHAnsi" w:cstheme="minorHAnsi"/>
          <w:sz w:val="22"/>
        </w:rPr>
        <w:t xml:space="preserve">steering committee </w:t>
      </w:r>
      <w:r>
        <w:rPr>
          <w:rFonts w:asciiTheme="minorHAnsi" w:hAnsiTheme="minorHAnsi" w:cstheme="minorHAnsi"/>
          <w:sz w:val="22"/>
        </w:rPr>
        <w:t xml:space="preserve">meetings and other regular contact with MoET officials, DFAT will regularly discuss implementation of the language transition strategy. Where appropriate, DFAT will provide support to MoET, including through </w:t>
      </w:r>
      <w:r w:rsidR="005321BB">
        <w:rPr>
          <w:rFonts w:asciiTheme="minorHAnsi" w:hAnsiTheme="minorHAnsi" w:cstheme="minorHAnsi"/>
          <w:sz w:val="22"/>
        </w:rPr>
        <w:t>joint monitoring visits</w:t>
      </w:r>
      <w:r>
        <w:rPr>
          <w:rFonts w:asciiTheme="minorHAnsi" w:hAnsiTheme="minorHAnsi" w:cstheme="minorHAnsi"/>
          <w:sz w:val="22"/>
        </w:rPr>
        <w:t>.</w:t>
      </w:r>
    </w:p>
    <w:p w14:paraId="7C6ADF81" w14:textId="77777777" w:rsidR="000D2440" w:rsidRPr="00AD0732" w:rsidRDefault="000D2440" w:rsidP="000D2440">
      <w:pPr>
        <w:pStyle w:val="Table-normal-text"/>
        <w:spacing w:before="0"/>
        <w:contextualSpacing/>
        <w:rPr>
          <w:rFonts w:asciiTheme="minorHAnsi" w:hAnsiTheme="minorHAnsi" w:cstheme="minorHAnsi"/>
          <w:sz w:val="22"/>
        </w:rPr>
      </w:pPr>
    </w:p>
    <w:p w14:paraId="7A8D6EC2" w14:textId="7F1C8551" w:rsidR="00720ABC" w:rsidRPr="00096F76" w:rsidRDefault="00720ABC"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4</w:t>
      </w:r>
      <w:r w:rsidRPr="00096F76">
        <w:rPr>
          <w:rFonts w:asciiTheme="minorHAnsi" w:hAnsiTheme="minorHAnsi" w:cstheme="minorHAnsi"/>
          <w:i/>
          <w:sz w:val="22"/>
        </w:rPr>
        <w:t xml:space="preserve">: </w:t>
      </w:r>
      <w:r w:rsidR="003F46E3" w:rsidRPr="00096F76">
        <w:rPr>
          <w:rFonts w:asciiTheme="minorHAnsi" w:hAnsiTheme="minorHAnsi" w:cstheme="minorHAnsi"/>
          <w:i/>
          <w:sz w:val="22"/>
        </w:rPr>
        <w:t>Training and professional development around the new curriculum should be intensive and ongoing.</w:t>
      </w:r>
    </w:p>
    <w:p w14:paraId="34F1197A" w14:textId="77777777" w:rsidR="000D2440" w:rsidRDefault="000D2440" w:rsidP="000D2440">
      <w:pPr>
        <w:pStyle w:val="Table-normal-text"/>
        <w:spacing w:before="0"/>
        <w:contextualSpacing/>
        <w:rPr>
          <w:rFonts w:asciiTheme="minorHAnsi" w:hAnsiTheme="minorHAnsi" w:cstheme="minorHAnsi"/>
          <w:sz w:val="22"/>
          <w:u w:val="single"/>
        </w:rPr>
      </w:pPr>
    </w:p>
    <w:p w14:paraId="5B3C1CA0" w14:textId="04C28190" w:rsidR="00AD0732"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65EC9D53" w14:textId="322C942D" w:rsidR="005321BB" w:rsidRDefault="005321BB"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Data show</w:t>
      </w:r>
      <w:r w:rsidR="004D0EC0">
        <w:rPr>
          <w:rFonts w:asciiTheme="minorHAnsi" w:hAnsiTheme="minorHAnsi" w:cstheme="minorHAnsi"/>
          <w:sz w:val="22"/>
        </w:rPr>
        <w:t>s</w:t>
      </w:r>
      <w:r>
        <w:rPr>
          <w:rFonts w:asciiTheme="minorHAnsi" w:hAnsiTheme="minorHAnsi" w:cstheme="minorHAnsi"/>
          <w:sz w:val="22"/>
        </w:rPr>
        <w:t xml:space="preserve"> that over 1</w:t>
      </w:r>
      <w:r w:rsidR="004D0EC0">
        <w:rPr>
          <w:rFonts w:asciiTheme="minorHAnsi" w:hAnsiTheme="minorHAnsi" w:cstheme="minorHAnsi"/>
          <w:sz w:val="22"/>
        </w:rPr>
        <w:t>,</w:t>
      </w:r>
      <w:r>
        <w:rPr>
          <w:rFonts w:asciiTheme="minorHAnsi" w:hAnsiTheme="minorHAnsi" w:cstheme="minorHAnsi"/>
          <w:sz w:val="22"/>
        </w:rPr>
        <w:t xml:space="preserve">000 teachers have benefited from in-service training. The task of implementing </w:t>
      </w:r>
      <w:r w:rsidR="00064702">
        <w:rPr>
          <w:rFonts w:asciiTheme="minorHAnsi" w:hAnsiTheme="minorHAnsi" w:cstheme="minorHAnsi"/>
          <w:sz w:val="22"/>
        </w:rPr>
        <w:t xml:space="preserve">a </w:t>
      </w:r>
      <w:r>
        <w:rPr>
          <w:rFonts w:asciiTheme="minorHAnsi" w:hAnsiTheme="minorHAnsi" w:cstheme="minorHAnsi"/>
          <w:sz w:val="22"/>
        </w:rPr>
        <w:t>new curr</w:t>
      </w:r>
      <w:r w:rsidR="007F1387">
        <w:rPr>
          <w:rFonts w:asciiTheme="minorHAnsi" w:hAnsiTheme="minorHAnsi" w:cstheme="minorHAnsi"/>
          <w:sz w:val="22"/>
        </w:rPr>
        <w:t>iculum, new teaching methodologies</w:t>
      </w:r>
      <w:r w:rsidR="004D0EC0">
        <w:rPr>
          <w:rFonts w:asciiTheme="minorHAnsi" w:hAnsiTheme="minorHAnsi" w:cstheme="minorHAnsi"/>
          <w:sz w:val="22"/>
        </w:rPr>
        <w:t xml:space="preserve"> and a </w:t>
      </w:r>
      <w:r w:rsidR="00107D7A">
        <w:rPr>
          <w:rFonts w:asciiTheme="minorHAnsi" w:hAnsiTheme="minorHAnsi" w:cstheme="minorHAnsi"/>
          <w:sz w:val="22"/>
        </w:rPr>
        <w:t>new lan</w:t>
      </w:r>
      <w:r>
        <w:rPr>
          <w:rFonts w:asciiTheme="minorHAnsi" w:hAnsiTheme="minorHAnsi" w:cstheme="minorHAnsi"/>
          <w:sz w:val="22"/>
        </w:rPr>
        <w:t>gu</w:t>
      </w:r>
      <w:r w:rsidR="00107D7A">
        <w:rPr>
          <w:rFonts w:asciiTheme="minorHAnsi" w:hAnsiTheme="minorHAnsi" w:cstheme="minorHAnsi"/>
          <w:sz w:val="22"/>
        </w:rPr>
        <w:t>ag</w:t>
      </w:r>
      <w:r w:rsidR="004D0EC0">
        <w:rPr>
          <w:rFonts w:asciiTheme="minorHAnsi" w:hAnsiTheme="minorHAnsi" w:cstheme="minorHAnsi"/>
          <w:sz w:val="22"/>
        </w:rPr>
        <w:t xml:space="preserve">e policy </w:t>
      </w:r>
      <w:r w:rsidR="00107D7A">
        <w:rPr>
          <w:rFonts w:asciiTheme="minorHAnsi" w:hAnsiTheme="minorHAnsi" w:cstheme="minorHAnsi"/>
          <w:sz w:val="22"/>
        </w:rPr>
        <w:t xml:space="preserve">requires continuous training, mentoring and support. </w:t>
      </w:r>
      <w:r w:rsidR="00064702">
        <w:rPr>
          <w:rFonts w:asciiTheme="minorHAnsi" w:hAnsiTheme="minorHAnsi" w:cstheme="minorHAnsi"/>
          <w:sz w:val="22"/>
        </w:rPr>
        <w:t xml:space="preserve"> </w:t>
      </w:r>
      <w:r w:rsidR="00107D7A">
        <w:rPr>
          <w:rFonts w:asciiTheme="minorHAnsi" w:hAnsiTheme="minorHAnsi" w:cstheme="minorHAnsi"/>
          <w:sz w:val="22"/>
        </w:rPr>
        <w:t xml:space="preserve">There </w:t>
      </w:r>
      <w:r w:rsidR="00064702">
        <w:rPr>
          <w:rFonts w:asciiTheme="minorHAnsi" w:hAnsiTheme="minorHAnsi" w:cstheme="minorHAnsi"/>
          <w:sz w:val="22"/>
        </w:rPr>
        <w:t xml:space="preserve">is </w:t>
      </w:r>
      <w:r w:rsidR="00107D7A">
        <w:rPr>
          <w:rFonts w:asciiTheme="minorHAnsi" w:hAnsiTheme="minorHAnsi" w:cstheme="minorHAnsi"/>
          <w:sz w:val="22"/>
        </w:rPr>
        <w:t xml:space="preserve">potential for different </w:t>
      </w:r>
      <w:r w:rsidR="00064702">
        <w:rPr>
          <w:rFonts w:asciiTheme="minorHAnsi" w:hAnsiTheme="minorHAnsi" w:cstheme="minorHAnsi"/>
          <w:sz w:val="22"/>
        </w:rPr>
        <w:t xml:space="preserve">forms </w:t>
      </w:r>
      <w:r w:rsidR="00107D7A">
        <w:rPr>
          <w:rFonts w:asciiTheme="minorHAnsi" w:hAnsiTheme="minorHAnsi" w:cstheme="minorHAnsi"/>
          <w:sz w:val="22"/>
        </w:rPr>
        <w:t>of training at this stage in the pr</w:t>
      </w:r>
      <w:r w:rsidR="00064702">
        <w:rPr>
          <w:rFonts w:asciiTheme="minorHAnsi" w:hAnsiTheme="minorHAnsi" w:cstheme="minorHAnsi"/>
          <w:sz w:val="22"/>
        </w:rPr>
        <w:t xml:space="preserve">ogram, such as cluster group training and </w:t>
      </w:r>
      <w:r w:rsidR="00107D7A">
        <w:rPr>
          <w:rFonts w:asciiTheme="minorHAnsi" w:hAnsiTheme="minorHAnsi" w:cstheme="minorHAnsi"/>
          <w:sz w:val="22"/>
        </w:rPr>
        <w:t>distance learning</w:t>
      </w:r>
      <w:r w:rsidR="00064702">
        <w:rPr>
          <w:rFonts w:asciiTheme="minorHAnsi" w:hAnsiTheme="minorHAnsi" w:cstheme="minorHAnsi"/>
          <w:sz w:val="22"/>
        </w:rPr>
        <w:t>. DFAT will work closely with partners to ensure training and professional development continues, and is appropriate to the context.</w:t>
      </w:r>
    </w:p>
    <w:p w14:paraId="733D5EF5" w14:textId="77777777" w:rsidR="000D2440" w:rsidRPr="00AD0732" w:rsidRDefault="000D2440" w:rsidP="000D2440">
      <w:pPr>
        <w:pStyle w:val="Table-normal-text"/>
        <w:spacing w:before="0"/>
        <w:contextualSpacing/>
        <w:rPr>
          <w:rFonts w:asciiTheme="minorHAnsi" w:hAnsiTheme="minorHAnsi" w:cstheme="minorHAnsi"/>
          <w:sz w:val="22"/>
        </w:rPr>
      </w:pPr>
    </w:p>
    <w:p w14:paraId="46725137" w14:textId="4860A34C" w:rsidR="009D4261" w:rsidRPr="00096F76" w:rsidRDefault="009D4261"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5</w:t>
      </w:r>
      <w:r w:rsidRPr="00096F76">
        <w:rPr>
          <w:rFonts w:asciiTheme="minorHAnsi" w:hAnsiTheme="minorHAnsi" w:cstheme="minorHAnsi"/>
          <w:i/>
          <w:sz w:val="22"/>
        </w:rPr>
        <w:t xml:space="preserve">: </w:t>
      </w:r>
      <w:r w:rsidR="003F46E3" w:rsidRPr="00096F76">
        <w:rPr>
          <w:rFonts w:asciiTheme="minorHAnsi" w:hAnsiTheme="minorHAnsi" w:cstheme="minorHAnsi"/>
          <w:i/>
          <w:sz w:val="22"/>
        </w:rPr>
        <w:t>The partnership between CDU and V</w:t>
      </w:r>
      <w:r w:rsidR="00064702">
        <w:rPr>
          <w:rFonts w:asciiTheme="minorHAnsi" w:hAnsiTheme="minorHAnsi" w:cstheme="minorHAnsi"/>
          <w:i/>
          <w:sz w:val="22"/>
        </w:rPr>
        <w:t>ITE/ISU be further strengthened</w:t>
      </w:r>
    </w:p>
    <w:p w14:paraId="2927E7A3" w14:textId="77777777" w:rsidR="000D2440" w:rsidRDefault="000D2440" w:rsidP="000D2440">
      <w:pPr>
        <w:pStyle w:val="Table-normal-text"/>
        <w:spacing w:before="0"/>
        <w:contextualSpacing/>
        <w:rPr>
          <w:rFonts w:asciiTheme="minorHAnsi" w:hAnsiTheme="minorHAnsi" w:cstheme="minorHAnsi"/>
          <w:sz w:val="22"/>
          <w:u w:val="single"/>
        </w:rPr>
      </w:pPr>
    </w:p>
    <w:p w14:paraId="574966D0" w14:textId="77C7056C" w:rsidR="00AD0732"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5574DE8C" w14:textId="47AA6CDB" w:rsidR="008B069A" w:rsidRDefault="0061597E" w:rsidP="004A3F2F">
      <w:pPr>
        <w:pStyle w:val="Table-normal-text"/>
        <w:spacing w:before="0"/>
        <w:contextualSpacing/>
        <w:rPr>
          <w:rFonts w:asciiTheme="minorHAnsi" w:hAnsiTheme="minorHAnsi" w:cstheme="minorHAnsi"/>
          <w:sz w:val="22"/>
        </w:rPr>
      </w:pPr>
      <w:r>
        <w:rPr>
          <w:rFonts w:asciiTheme="minorHAnsi" w:hAnsiTheme="minorHAnsi" w:cstheme="minorHAnsi"/>
          <w:sz w:val="22"/>
        </w:rPr>
        <w:t>The relationship between units in MoET - Curriculum Development Unit</w:t>
      </w:r>
      <w:r w:rsidR="00896AE4">
        <w:rPr>
          <w:rFonts w:asciiTheme="minorHAnsi" w:hAnsiTheme="minorHAnsi" w:cstheme="minorHAnsi"/>
          <w:sz w:val="22"/>
        </w:rPr>
        <w:t xml:space="preserve"> (CDU)</w:t>
      </w:r>
      <w:r>
        <w:rPr>
          <w:rFonts w:asciiTheme="minorHAnsi" w:hAnsiTheme="minorHAnsi" w:cstheme="minorHAnsi"/>
          <w:sz w:val="22"/>
        </w:rPr>
        <w:t xml:space="preserve">, Examination and Assessment and </w:t>
      </w:r>
      <w:r w:rsidR="00896AE4">
        <w:rPr>
          <w:rFonts w:asciiTheme="minorHAnsi" w:hAnsiTheme="minorHAnsi" w:cstheme="minorHAnsi"/>
          <w:sz w:val="22"/>
        </w:rPr>
        <w:t xml:space="preserve">the </w:t>
      </w:r>
      <w:r>
        <w:rPr>
          <w:rFonts w:asciiTheme="minorHAnsi" w:hAnsiTheme="minorHAnsi" w:cstheme="minorHAnsi"/>
          <w:sz w:val="22"/>
        </w:rPr>
        <w:t>Vanuatu Institute of Teachers’ Education (</w:t>
      </w:r>
      <w:r w:rsidR="00896AE4">
        <w:rPr>
          <w:rFonts w:asciiTheme="minorHAnsi" w:hAnsiTheme="minorHAnsi" w:cstheme="minorHAnsi"/>
          <w:sz w:val="22"/>
        </w:rPr>
        <w:t>VITE), which</w:t>
      </w:r>
      <w:r>
        <w:rPr>
          <w:rFonts w:asciiTheme="minorHAnsi" w:hAnsiTheme="minorHAnsi" w:cstheme="minorHAnsi"/>
          <w:sz w:val="22"/>
        </w:rPr>
        <w:t xml:space="preserve"> develops training for teachers</w:t>
      </w:r>
      <w:r w:rsidR="00AD7660">
        <w:rPr>
          <w:rFonts w:asciiTheme="minorHAnsi" w:hAnsiTheme="minorHAnsi" w:cstheme="minorHAnsi"/>
          <w:sz w:val="22"/>
        </w:rPr>
        <w:t xml:space="preserve"> </w:t>
      </w:r>
      <w:r>
        <w:rPr>
          <w:rFonts w:asciiTheme="minorHAnsi" w:hAnsiTheme="minorHAnsi" w:cstheme="minorHAnsi"/>
          <w:sz w:val="22"/>
        </w:rPr>
        <w:t>is crucial for the success and sustainability of the curriculum implementation. DFA</w:t>
      </w:r>
      <w:r w:rsidR="00AD7660">
        <w:rPr>
          <w:rFonts w:asciiTheme="minorHAnsi" w:hAnsiTheme="minorHAnsi" w:cstheme="minorHAnsi"/>
          <w:sz w:val="22"/>
        </w:rPr>
        <w:t>T will continue</w:t>
      </w:r>
      <w:r w:rsidR="004A3F2F">
        <w:rPr>
          <w:rFonts w:asciiTheme="minorHAnsi" w:hAnsiTheme="minorHAnsi" w:cstheme="minorHAnsi"/>
          <w:sz w:val="22"/>
        </w:rPr>
        <w:t xml:space="preserve"> to support this partnership, through support to </w:t>
      </w:r>
      <w:r w:rsidR="00AD7660">
        <w:rPr>
          <w:rFonts w:asciiTheme="minorHAnsi" w:hAnsiTheme="minorHAnsi" w:cstheme="minorHAnsi"/>
          <w:sz w:val="22"/>
        </w:rPr>
        <w:t xml:space="preserve">CDU </w:t>
      </w:r>
      <w:r w:rsidR="003B54C4">
        <w:rPr>
          <w:rFonts w:asciiTheme="minorHAnsi" w:hAnsiTheme="minorHAnsi" w:cstheme="minorHAnsi"/>
          <w:sz w:val="22"/>
        </w:rPr>
        <w:t>to manage</w:t>
      </w:r>
      <w:r w:rsidR="00AD7660">
        <w:rPr>
          <w:rFonts w:asciiTheme="minorHAnsi" w:hAnsiTheme="minorHAnsi" w:cstheme="minorHAnsi"/>
          <w:sz w:val="22"/>
        </w:rPr>
        <w:t xml:space="preserve"> a quality process for curriculum</w:t>
      </w:r>
      <w:r w:rsidR="004A3F2F">
        <w:rPr>
          <w:rFonts w:asciiTheme="minorHAnsi" w:hAnsiTheme="minorHAnsi" w:cstheme="minorHAnsi"/>
          <w:sz w:val="22"/>
        </w:rPr>
        <w:t xml:space="preserve">, and </w:t>
      </w:r>
      <w:r w:rsidR="0087036D">
        <w:rPr>
          <w:rFonts w:asciiTheme="minorHAnsi" w:hAnsiTheme="minorHAnsi" w:cstheme="minorHAnsi"/>
          <w:sz w:val="22"/>
        </w:rPr>
        <w:t xml:space="preserve">support </w:t>
      </w:r>
      <w:r w:rsidR="004A3F2F">
        <w:rPr>
          <w:rFonts w:asciiTheme="minorHAnsi" w:hAnsiTheme="minorHAnsi" w:cstheme="minorHAnsi"/>
          <w:sz w:val="22"/>
        </w:rPr>
        <w:t xml:space="preserve">to </w:t>
      </w:r>
      <w:r w:rsidR="0087036D">
        <w:rPr>
          <w:rFonts w:asciiTheme="minorHAnsi" w:hAnsiTheme="minorHAnsi" w:cstheme="minorHAnsi"/>
          <w:sz w:val="22"/>
        </w:rPr>
        <w:t xml:space="preserve">VITE in revitalising </w:t>
      </w:r>
      <w:r w:rsidR="004A3F2F">
        <w:rPr>
          <w:rFonts w:asciiTheme="minorHAnsi" w:hAnsiTheme="minorHAnsi" w:cstheme="minorHAnsi"/>
          <w:sz w:val="22"/>
        </w:rPr>
        <w:t xml:space="preserve">training efforts and exploring </w:t>
      </w:r>
      <w:r w:rsidR="004A3F2F" w:rsidRPr="001B6839">
        <w:rPr>
          <w:rFonts w:asciiTheme="minorHAnsi" w:hAnsiTheme="minorHAnsi" w:cstheme="minorHAnsi"/>
          <w:sz w:val="22"/>
        </w:rPr>
        <w:t xml:space="preserve">approaches </w:t>
      </w:r>
      <w:r w:rsidR="003B54C4">
        <w:rPr>
          <w:rFonts w:asciiTheme="minorHAnsi" w:hAnsiTheme="minorHAnsi" w:cstheme="minorHAnsi"/>
          <w:sz w:val="22"/>
        </w:rPr>
        <w:t xml:space="preserve">for more proactive engagement </w:t>
      </w:r>
      <w:r w:rsidR="003B54C4" w:rsidRPr="001B6839">
        <w:rPr>
          <w:rFonts w:asciiTheme="minorHAnsi" w:hAnsiTheme="minorHAnsi" w:cstheme="minorHAnsi"/>
          <w:sz w:val="22"/>
        </w:rPr>
        <w:t>in</w:t>
      </w:r>
      <w:r w:rsidR="004A3F2F" w:rsidRPr="001B6839">
        <w:rPr>
          <w:rFonts w:asciiTheme="minorHAnsi" w:hAnsiTheme="minorHAnsi" w:cstheme="minorHAnsi"/>
          <w:sz w:val="22"/>
        </w:rPr>
        <w:t xml:space="preserve"> new in-service training. </w:t>
      </w:r>
    </w:p>
    <w:p w14:paraId="54C6A36D" w14:textId="77777777" w:rsidR="000D2440" w:rsidRPr="00AD0732" w:rsidRDefault="000D2440" w:rsidP="000D2440">
      <w:pPr>
        <w:pStyle w:val="Table-normal-text"/>
        <w:spacing w:before="0"/>
        <w:contextualSpacing/>
        <w:rPr>
          <w:rFonts w:asciiTheme="minorHAnsi" w:hAnsiTheme="minorHAnsi" w:cstheme="minorHAnsi"/>
          <w:sz w:val="22"/>
        </w:rPr>
      </w:pPr>
    </w:p>
    <w:p w14:paraId="159A15E4" w14:textId="354C9CAD" w:rsidR="009D4261" w:rsidRPr="00096F76" w:rsidRDefault="009D4261"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6</w:t>
      </w:r>
      <w:r w:rsidRPr="00096F76">
        <w:rPr>
          <w:rFonts w:asciiTheme="minorHAnsi" w:hAnsiTheme="minorHAnsi" w:cstheme="minorHAnsi"/>
          <w:i/>
          <w:sz w:val="22"/>
        </w:rPr>
        <w:t xml:space="preserve">: </w:t>
      </w:r>
      <w:r w:rsidR="003F46E3" w:rsidRPr="00096F76">
        <w:rPr>
          <w:rFonts w:asciiTheme="minorHAnsi" w:hAnsiTheme="minorHAnsi" w:cstheme="minorHAnsi"/>
          <w:i/>
          <w:sz w:val="22"/>
        </w:rPr>
        <w:t>The VSEP Steering Committee closely consider the fin</w:t>
      </w:r>
      <w:r w:rsidR="00B36A1D">
        <w:rPr>
          <w:rFonts w:asciiTheme="minorHAnsi" w:hAnsiTheme="minorHAnsi" w:cstheme="minorHAnsi"/>
          <w:i/>
          <w:sz w:val="22"/>
        </w:rPr>
        <w:t>dings of all monitoring studies</w:t>
      </w:r>
    </w:p>
    <w:p w14:paraId="77E5B872" w14:textId="77777777" w:rsidR="000D2440" w:rsidRDefault="000D2440" w:rsidP="000D2440">
      <w:pPr>
        <w:pStyle w:val="List"/>
        <w:ind w:left="0" w:firstLine="0"/>
        <w:rPr>
          <w:rFonts w:asciiTheme="minorHAnsi" w:hAnsiTheme="minorHAnsi" w:cstheme="minorHAnsi"/>
          <w:sz w:val="22"/>
          <w:u w:val="single"/>
        </w:rPr>
      </w:pPr>
    </w:p>
    <w:p w14:paraId="66FBA234" w14:textId="5A0B205F" w:rsidR="009D4261" w:rsidRDefault="00AD0732" w:rsidP="000D2440">
      <w:pPr>
        <w:pStyle w:val="List"/>
        <w:ind w:left="0" w:firstLine="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w:t>
      </w:r>
      <w:r w:rsidR="00107D7A">
        <w:rPr>
          <w:rFonts w:asciiTheme="minorHAnsi" w:hAnsiTheme="minorHAnsi" w:cstheme="minorHAnsi"/>
          <w:sz w:val="22"/>
        </w:rPr>
        <w:t xml:space="preserve"> A</w:t>
      </w:r>
      <w:r>
        <w:rPr>
          <w:rFonts w:asciiTheme="minorHAnsi" w:hAnsiTheme="minorHAnsi" w:cstheme="minorHAnsi"/>
          <w:sz w:val="22"/>
        </w:rPr>
        <w:t>gree</w:t>
      </w:r>
    </w:p>
    <w:p w14:paraId="2F60B9DC" w14:textId="1BCC1A48" w:rsidR="00107D7A" w:rsidRDefault="00C50BE0" w:rsidP="000D2440">
      <w:pPr>
        <w:pStyle w:val="Table-normal-text"/>
        <w:spacing w:before="0"/>
        <w:contextualSpacing/>
        <w:rPr>
          <w:rFonts w:asciiTheme="minorHAnsi" w:hAnsiTheme="minorHAnsi" w:cstheme="minorHAnsi"/>
          <w:sz w:val="22"/>
        </w:rPr>
      </w:pPr>
      <w:r w:rsidRPr="00131E1E">
        <w:rPr>
          <w:rFonts w:asciiTheme="minorHAnsi" w:hAnsiTheme="minorHAnsi" w:cstheme="minorHAnsi"/>
          <w:sz w:val="22"/>
        </w:rPr>
        <w:t>When completed, the f</w:t>
      </w:r>
      <w:r w:rsidR="00B36A1D" w:rsidRPr="00131E1E">
        <w:rPr>
          <w:rFonts w:asciiTheme="minorHAnsi" w:hAnsiTheme="minorHAnsi" w:cstheme="minorHAnsi"/>
          <w:sz w:val="22"/>
        </w:rPr>
        <w:t xml:space="preserve">indings from the </w:t>
      </w:r>
      <w:r w:rsidR="00107D7A" w:rsidRPr="00131E1E">
        <w:rPr>
          <w:rFonts w:asciiTheme="minorHAnsi" w:hAnsiTheme="minorHAnsi" w:cstheme="minorHAnsi"/>
          <w:sz w:val="22"/>
        </w:rPr>
        <w:t>monitoring studies</w:t>
      </w:r>
      <w:r w:rsidR="003E5BD7" w:rsidRPr="00131E1E">
        <w:rPr>
          <w:rFonts w:asciiTheme="minorHAnsi" w:hAnsiTheme="minorHAnsi" w:cstheme="minorHAnsi"/>
          <w:sz w:val="22"/>
        </w:rPr>
        <w:t xml:space="preserve"> </w:t>
      </w:r>
      <w:r w:rsidRPr="00131E1E">
        <w:rPr>
          <w:rFonts w:asciiTheme="minorHAnsi" w:hAnsiTheme="minorHAnsi" w:cstheme="minorHAnsi"/>
          <w:sz w:val="22"/>
        </w:rPr>
        <w:t>will</w:t>
      </w:r>
      <w:r w:rsidR="00B36A1D" w:rsidRPr="00131E1E">
        <w:rPr>
          <w:rFonts w:asciiTheme="minorHAnsi" w:hAnsiTheme="minorHAnsi" w:cstheme="minorHAnsi"/>
          <w:sz w:val="22"/>
        </w:rPr>
        <w:t xml:space="preserve"> </w:t>
      </w:r>
      <w:r w:rsidR="003E5BD7" w:rsidRPr="00131E1E">
        <w:rPr>
          <w:rFonts w:asciiTheme="minorHAnsi" w:hAnsiTheme="minorHAnsi" w:cstheme="minorHAnsi"/>
          <w:sz w:val="22"/>
        </w:rPr>
        <w:t xml:space="preserve">be presented </w:t>
      </w:r>
      <w:r w:rsidR="00B36A1D" w:rsidRPr="00131E1E">
        <w:rPr>
          <w:rFonts w:asciiTheme="minorHAnsi" w:hAnsiTheme="minorHAnsi" w:cstheme="minorHAnsi"/>
          <w:sz w:val="22"/>
        </w:rPr>
        <w:t>to the Steering Committee,</w:t>
      </w:r>
      <w:r w:rsidR="00131E1E" w:rsidRPr="00131E1E">
        <w:rPr>
          <w:rFonts w:asciiTheme="minorHAnsi" w:hAnsiTheme="minorHAnsi" w:cstheme="minorHAnsi"/>
          <w:sz w:val="22"/>
        </w:rPr>
        <w:t xml:space="preserve"> which</w:t>
      </w:r>
      <w:r w:rsidR="00B36A1D" w:rsidRPr="00131E1E">
        <w:rPr>
          <w:rFonts w:asciiTheme="minorHAnsi" w:hAnsiTheme="minorHAnsi" w:cstheme="minorHAnsi"/>
          <w:sz w:val="22"/>
        </w:rPr>
        <w:t xml:space="preserve"> </w:t>
      </w:r>
      <w:r w:rsidR="00107D7A" w:rsidRPr="00131E1E">
        <w:rPr>
          <w:rFonts w:asciiTheme="minorHAnsi" w:hAnsiTheme="minorHAnsi" w:cstheme="minorHAnsi"/>
          <w:sz w:val="22"/>
        </w:rPr>
        <w:t xml:space="preserve">will inform decisions </w:t>
      </w:r>
      <w:r w:rsidR="00192EF2" w:rsidRPr="00131E1E">
        <w:rPr>
          <w:rFonts w:asciiTheme="minorHAnsi" w:hAnsiTheme="minorHAnsi" w:cstheme="minorHAnsi"/>
          <w:sz w:val="22"/>
        </w:rPr>
        <w:t xml:space="preserve">for the </w:t>
      </w:r>
      <w:r w:rsidR="00107D7A" w:rsidRPr="00131E1E">
        <w:rPr>
          <w:rFonts w:asciiTheme="minorHAnsi" w:hAnsiTheme="minorHAnsi" w:cstheme="minorHAnsi"/>
          <w:sz w:val="22"/>
        </w:rPr>
        <w:t xml:space="preserve">short, medium and long term. </w:t>
      </w:r>
      <w:r w:rsidR="00192EF2" w:rsidRPr="00131E1E">
        <w:rPr>
          <w:rFonts w:asciiTheme="minorHAnsi" w:hAnsiTheme="minorHAnsi" w:cstheme="minorHAnsi"/>
          <w:sz w:val="22"/>
        </w:rPr>
        <w:t xml:space="preserve">These </w:t>
      </w:r>
      <w:r w:rsidR="00131E1E" w:rsidRPr="00131E1E">
        <w:rPr>
          <w:rFonts w:asciiTheme="minorHAnsi" w:hAnsiTheme="minorHAnsi" w:cstheme="minorHAnsi"/>
          <w:sz w:val="22"/>
        </w:rPr>
        <w:t xml:space="preserve">studies will </w:t>
      </w:r>
      <w:r w:rsidR="00192EF2" w:rsidRPr="00131E1E">
        <w:rPr>
          <w:rFonts w:asciiTheme="minorHAnsi" w:hAnsiTheme="minorHAnsi" w:cstheme="minorHAnsi"/>
          <w:sz w:val="22"/>
        </w:rPr>
        <w:t>provide</w:t>
      </w:r>
      <w:r w:rsidR="003E5BD7" w:rsidRPr="00131E1E">
        <w:rPr>
          <w:rFonts w:asciiTheme="minorHAnsi" w:hAnsiTheme="minorHAnsi" w:cstheme="minorHAnsi"/>
          <w:sz w:val="22"/>
        </w:rPr>
        <w:t xml:space="preserve"> </w:t>
      </w:r>
      <w:r w:rsidR="00107D7A" w:rsidRPr="00131E1E">
        <w:rPr>
          <w:rFonts w:asciiTheme="minorHAnsi" w:hAnsiTheme="minorHAnsi" w:cstheme="minorHAnsi"/>
          <w:sz w:val="22"/>
        </w:rPr>
        <w:t xml:space="preserve">evidence </w:t>
      </w:r>
      <w:r w:rsidR="00192EF2" w:rsidRPr="00131E1E">
        <w:rPr>
          <w:rFonts w:asciiTheme="minorHAnsi" w:hAnsiTheme="minorHAnsi" w:cstheme="minorHAnsi"/>
          <w:sz w:val="22"/>
        </w:rPr>
        <w:t xml:space="preserve">to inform </w:t>
      </w:r>
      <w:r w:rsidR="00107D7A" w:rsidRPr="00131E1E">
        <w:rPr>
          <w:rFonts w:asciiTheme="minorHAnsi" w:hAnsiTheme="minorHAnsi" w:cstheme="minorHAnsi"/>
          <w:sz w:val="22"/>
        </w:rPr>
        <w:t>plan</w:t>
      </w:r>
      <w:r w:rsidR="00192EF2" w:rsidRPr="00131E1E">
        <w:rPr>
          <w:rFonts w:asciiTheme="minorHAnsi" w:hAnsiTheme="minorHAnsi" w:cstheme="minorHAnsi"/>
          <w:sz w:val="22"/>
        </w:rPr>
        <w:t>ning, policy development</w:t>
      </w:r>
      <w:r w:rsidR="00107D7A" w:rsidRPr="00131E1E">
        <w:rPr>
          <w:rFonts w:asciiTheme="minorHAnsi" w:hAnsiTheme="minorHAnsi" w:cstheme="minorHAnsi"/>
          <w:sz w:val="22"/>
        </w:rPr>
        <w:t>, activities a</w:t>
      </w:r>
      <w:r w:rsidR="00192EF2" w:rsidRPr="00131E1E">
        <w:rPr>
          <w:rFonts w:asciiTheme="minorHAnsi" w:hAnsiTheme="minorHAnsi" w:cstheme="minorHAnsi"/>
          <w:sz w:val="22"/>
        </w:rPr>
        <w:t>nd budgets for the coming years for all members of the Steering Committee, including the Prime Minister’s Office, MoET and the Ministry of Finance and Economic Management.</w:t>
      </w:r>
    </w:p>
    <w:p w14:paraId="75579B25" w14:textId="77777777" w:rsidR="000D2440" w:rsidRPr="00613203" w:rsidRDefault="000D2440" w:rsidP="000D2440">
      <w:pPr>
        <w:pStyle w:val="Table-normal-text"/>
        <w:spacing w:before="0"/>
        <w:contextualSpacing/>
        <w:rPr>
          <w:rFonts w:asciiTheme="minorHAnsi" w:hAnsiTheme="minorHAnsi" w:cstheme="minorHAnsi"/>
          <w:sz w:val="22"/>
        </w:rPr>
      </w:pPr>
    </w:p>
    <w:p w14:paraId="38278BFF" w14:textId="3A87A3DB" w:rsidR="009D4261"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7</w:t>
      </w:r>
      <w:r w:rsidRPr="00096F76">
        <w:rPr>
          <w:rFonts w:asciiTheme="minorHAnsi" w:hAnsiTheme="minorHAnsi" w:cstheme="minorHAnsi"/>
          <w:i/>
          <w:sz w:val="22"/>
        </w:rPr>
        <w:t xml:space="preserve">: </w:t>
      </w:r>
      <w:r w:rsidR="003F46E3" w:rsidRPr="00096F76">
        <w:rPr>
          <w:rFonts w:asciiTheme="minorHAnsi" w:hAnsiTheme="minorHAnsi" w:cstheme="minorHAnsi"/>
          <w:i/>
          <w:sz w:val="22"/>
        </w:rPr>
        <w:t xml:space="preserve">The VESP Steering Committee should increase its attention on how VESP activities are building pathways towards the higher level end of program outcomes. </w:t>
      </w:r>
    </w:p>
    <w:p w14:paraId="61A3A441" w14:textId="77777777" w:rsidR="000D2440" w:rsidRDefault="000D2440" w:rsidP="000D2440">
      <w:pPr>
        <w:pStyle w:val="Table-normal-text"/>
        <w:spacing w:before="0"/>
        <w:contextualSpacing/>
        <w:rPr>
          <w:rFonts w:asciiTheme="minorHAnsi" w:hAnsiTheme="minorHAnsi" w:cstheme="minorHAnsi"/>
          <w:sz w:val="22"/>
          <w:u w:val="single"/>
        </w:rPr>
      </w:pPr>
    </w:p>
    <w:p w14:paraId="35FA21F0" w14:textId="6439B6CB" w:rsidR="00AD0732" w:rsidRDefault="00AD0732" w:rsidP="000D2440">
      <w:pPr>
        <w:pStyle w:val="Table-normal-text"/>
        <w:spacing w:before="0"/>
        <w:contextualSpacing/>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816C61">
        <w:rPr>
          <w:rFonts w:asciiTheme="minorHAnsi" w:hAnsiTheme="minorHAnsi" w:cstheme="minorHAnsi"/>
          <w:sz w:val="22"/>
        </w:rPr>
        <w:t xml:space="preserve">Partially </w:t>
      </w:r>
      <w:r w:rsidRPr="00AD0732">
        <w:rPr>
          <w:rFonts w:asciiTheme="minorHAnsi" w:hAnsiTheme="minorHAnsi" w:cstheme="minorHAnsi"/>
          <w:sz w:val="22"/>
        </w:rPr>
        <w:t>Agree</w:t>
      </w:r>
    </w:p>
    <w:p w14:paraId="74474B0A" w14:textId="654322EC" w:rsidR="00107D7A" w:rsidRDefault="00C50BE0" w:rsidP="000D2440">
      <w:pPr>
        <w:pStyle w:val="Table-normal-text"/>
        <w:spacing w:before="0"/>
        <w:contextualSpacing/>
        <w:rPr>
          <w:rFonts w:asciiTheme="minorHAnsi" w:hAnsiTheme="minorHAnsi" w:cstheme="minorHAnsi"/>
          <w:sz w:val="22"/>
        </w:rPr>
      </w:pPr>
      <w:r w:rsidRPr="00131E1E">
        <w:rPr>
          <w:rFonts w:asciiTheme="minorHAnsi" w:hAnsiTheme="minorHAnsi" w:cstheme="minorHAnsi"/>
          <w:sz w:val="22"/>
        </w:rPr>
        <w:t xml:space="preserve">The end of program outcomes </w:t>
      </w:r>
      <w:r w:rsidR="00131E1E" w:rsidRPr="00131E1E">
        <w:rPr>
          <w:rFonts w:asciiTheme="minorHAnsi" w:hAnsiTheme="minorHAnsi" w:cstheme="minorHAnsi"/>
          <w:sz w:val="22"/>
        </w:rPr>
        <w:t xml:space="preserve">are </w:t>
      </w:r>
      <w:r w:rsidRPr="00131E1E">
        <w:rPr>
          <w:rFonts w:asciiTheme="minorHAnsi" w:hAnsiTheme="minorHAnsi" w:cstheme="minorHAnsi"/>
          <w:sz w:val="22"/>
        </w:rPr>
        <w:t>for a 10-year horizon. In the coming months, the program</w:t>
      </w:r>
      <w:r w:rsidR="00107D7A" w:rsidRPr="00131E1E">
        <w:rPr>
          <w:rFonts w:asciiTheme="minorHAnsi" w:hAnsiTheme="minorHAnsi" w:cstheme="minorHAnsi"/>
          <w:sz w:val="22"/>
        </w:rPr>
        <w:t xml:space="preserve"> </w:t>
      </w:r>
      <w:r w:rsidRPr="00131E1E">
        <w:rPr>
          <w:rFonts w:asciiTheme="minorHAnsi" w:hAnsiTheme="minorHAnsi" w:cstheme="minorHAnsi"/>
          <w:sz w:val="22"/>
        </w:rPr>
        <w:t>will continue to monitor progress against outcomes</w:t>
      </w:r>
      <w:r w:rsidR="00131E1E" w:rsidRPr="00131E1E">
        <w:rPr>
          <w:rFonts w:asciiTheme="minorHAnsi" w:hAnsiTheme="minorHAnsi" w:cstheme="minorHAnsi"/>
          <w:sz w:val="22"/>
        </w:rPr>
        <w:t xml:space="preserve"> in line with the M&amp;E system</w:t>
      </w:r>
      <w:r w:rsidRPr="00131E1E">
        <w:rPr>
          <w:rFonts w:asciiTheme="minorHAnsi" w:hAnsiTheme="minorHAnsi" w:cstheme="minorHAnsi"/>
          <w:sz w:val="22"/>
        </w:rPr>
        <w:t xml:space="preserve">. There will be an opportunity in the design of next phase to review </w:t>
      </w:r>
      <w:r w:rsidR="00131E1E" w:rsidRPr="00131E1E">
        <w:rPr>
          <w:rFonts w:asciiTheme="minorHAnsi" w:hAnsiTheme="minorHAnsi" w:cstheme="minorHAnsi"/>
          <w:sz w:val="22"/>
        </w:rPr>
        <w:t>end of program outcomes.</w:t>
      </w:r>
    </w:p>
    <w:p w14:paraId="231E70D5" w14:textId="77777777" w:rsidR="000D2440" w:rsidRPr="00AD0732" w:rsidRDefault="000D2440" w:rsidP="000D2440">
      <w:pPr>
        <w:pStyle w:val="Table-normal-text"/>
        <w:spacing w:before="0"/>
        <w:contextualSpacing/>
        <w:rPr>
          <w:rFonts w:asciiTheme="minorHAnsi" w:hAnsiTheme="minorHAnsi" w:cstheme="minorHAnsi"/>
          <w:sz w:val="22"/>
        </w:rPr>
      </w:pPr>
    </w:p>
    <w:p w14:paraId="75E2C872" w14:textId="10F8F841"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8</w:t>
      </w:r>
      <w:r w:rsidRPr="00096F76">
        <w:rPr>
          <w:rFonts w:asciiTheme="minorHAnsi" w:hAnsiTheme="minorHAnsi" w:cstheme="minorHAnsi"/>
          <w:i/>
          <w:sz w:val="22"/>
        </w:rPr>
        <w:t xml:space="preserve">: </w:t>
      </w:r>
      <w:r w:rsidR="003F46E3" w:rsidRPr="00096F76">
        <w:rPr>
          <w:rFonts w:asciiTheme="minorHAnsi" w:hAnsiTheme="minorHAnsi" w:cstheme="minorHAnsi"/>
          <w:i/>
          <w:sz w:val="22"/>
        </w:rPr>
        <w:t>Dealing with over</w:t>
      </w:r>
      <w:r w:rsidR="00192EF2">
        <w:rPr>
          <w:rFonts w:asciiTheme="minorHAnsi" w:hAnsiTheme="minorHAnsi" w:cstheme="minorHAnsi"/>
          <w:i/>
          <w:sz w:val="22"/>
        </w:rPr>
        <w:t>-</w:t>
      </w:r>
      <w:r w:rsidR="003F46E3" w:rsidRPr="00096F76">
        <w:rPr>
          <w:rFonts w:asciiTheme="minorHAnsi" w:hAnsiTheme="minorHAnsi" w:cstheme="minorHAnsi"/>
          <w:i/>
          <w:sz w:val="22"/>
        </w:rPr>
        <w:t>age enrolment should be</w:t>
      </w:r>
      <w:r w:rsidR="00192EF2">
        <w:rPr>
          <w:rFonts w:asciiTheme="minorHAnsi" w:hAnsiTheme="minorHAnsi" w:cstheme="minorHAnsi"/>
          <w:i/>
          <w:sz w:val="22"/>
        </w:rPr>
        <w:t xml:space="preserve"> a key priority for the sector</w:t>
      </w:r>
    </w:p>
    <w:p w14:paraId="42BD214E" w14:textId="77777777" w:rsidR="000D2440" w:rsidRDefault="000D2440" w:rsidP="000D2440">
      <w:pPr>
        <w:pStyle w:val="List"/>
        <w:ind w:left="0" w:firstLine="0"/>
        <w:rPr>
          <w:rFonts w:asciiTheme="minorHAnsi" w:hAnsiTheme="minorHAnsi" w:cstheme="minorHAnsi"/>
          <w:sz w:val="22"/>
          <w:u w:val="single"/>
        </w:rPr>
      </w:pPr>
    </w:p>
    <w:p w14:paraId="1DE4CACF" w14:textId="38342005" w:rsidR="00AE5CA6" w:rsidRDefault="00AD0732" w:rsidP="000D2440">
      <w:pPr>
        <w:pStyle w:val="List"/>
        <w:ind w:left="0" w:firstLine="0"/>
        <w:rPr>
          <w:rFonts w:asciiTheme="minorHAnsi" w:hAnsiTheme="minorHAnsi" w:cstheme="minorHAnsi"/>
          <w:sz w:val="22"/>
          <w:szCs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3F46E3">
        <w:rPr>
          <w:rFonts w:asciiTheme="minorHAnsi" w:hAnsiTheme="minorHAnsi" w:cstheme="minorHAnsi"/>
          <w:sz w:val="22"/>
        </w:rPr>
        <w:t>A</w:t>
      </w:r>
      <w:r w:rsidR="00F74E5F" w:rsidRPr="00AD0732">
        <w:rPr>
          <w:rFonts w:asciiTheme="minorHAnsi" w:hAnsiTheme="minorHAnsi" w:cstheme="minorHAnsi"/>
          <w:sz w:val="22"/>
          <w:szCs w:val="22"/>
        </w:rPr>
        <w:t>gree</w:t>
      </w:r>
    </w:p>
    <w:p w14:paraId="4FC910C4" w14:textId="752770FC" w:rsidR="001B6839" w:rsidRDefault="00107D7A" w:rsidP="007702FA">
      <w:pPr>
        <w:pStyle w:val="Table-normal-text"/>
        <w:spacing w:before="0"/>
        <w:contextualSpacing/>
        <w:rPr>
          <w:rFonts w:asciiTheme="minorHAnsi" w:hAnsiTheme="minorHAnsi" w:cstheme="minorHAnsi"/>
          <w:sz w:val="22"/>
        </w:rPr>
      </w:pPr>
      <w:r w:rsidRPr="007702FA">
        <w:rPr>
          <w:rFonts w:asciiTheme="minorHAnsi" w:hAnsiTheme="minorHAnsi" w:cstheme="minorHAnsi"/>
          <w:sz w:val="22"/>
        </w:rPr>
        <w:t>This issue has been disc</w:t>
      </w:r>
      <w:r w:rsidR="0034389F" w:rsidRPr="007702FA">
        <w:rPr>
          <w:rFonts w:asciiTheme="minorHAnsi" w:hAnsiTheme="minorHAnsi" w:cstheme="minorHAnsi"/>
          <w:sz w:val="22"/>
        </w:rPr>
        <w:t>ussed with the Director General</w:t>
      </w:r>
      <w:r w:rsidR="00816C61">
        <w:rPr>
          <w:rFonts w:asciiTheme="minorHAnsi" w:hAnsiTheme="minorHAnsi" w:cstheme="minorHAnsi"/>
          <w:sz w:val="22"/>
        </w:rPr>
        <w:t xml:space="preserve"> of MoET</w:t>
      </w:r>
      <w:r w:rsidR="001B6839">
        <w:rPr>
          <w:rFonts w:asciiTheme="minorHAnsi" w:hAnsiTheme="minorHAnsi" w:cstheme="minorHAnsi"/>
          <w:sz w:val="22"/>
        </w:rPr>
        <w:t>, and in Steering Committee meetings</w:t>
      </w:r>
      <w:r w:rsidR="0034389F" w:rsidRPr="007702FA">
        <w:rPr>
          <w:rFonts w:asciiTheme="minorHAnsi" w:hAnsiTheme="minorHAnsi" w:cstheme="minorHAnsi"/>
          <w:sz w:val="22"/>
        </w:rPr>
        <w:t>. I</w:t>
      </w:r>
      <w:r w:rsidRPr="007702FA">
        <w:rPr>
          <w:rFonts w:asciiTheme="minorHAnsi" w:hAnsiTheme="minorHAnsi" w:cstheme="minorHAnsi"/>
          <w:sz w:val="22"/>
        </w:rPr>
        <w:t xml:space="preserve">t has </w:t>
      </w:r>
      <w:r w:rsidR="007702FA" w:rsidRPr="007702FA">
        <w:rPr>
          <w:rFonts w:asciiTheme="minorHAnsi" w:hAnsiTheme="minorHAnsi" w:cstheme="minorHAnsi"/>
          <w:sz w:val="22"/>
        </w:rPr>
        <w:t>financial implications</w:t>
      </w:r>
      <w:r w:rsidRPr="007702FA">
        <w:rPr>
          <w:rFonts w:asciiTheme="minorHAnsi" w:hAnsiTheme="minorHAnsi" w:cstheme="minorHAnsi"/>
          <w:sz w:val="22"/>
        </w:rPr>
        <w:t xml:space="preserve"> for MoET</w:t>
      </w:r>
      <w:r w:rsidR="00192EF2" w:rsidRPr="007702FA">
        <w:rPr>
          <w:rFonts w:asciiTheme="minorHAnsi" w:hAnsiTheme="minorHAnsi" w:cstheme="minorHAnsi"/>
          <w:sz w:val="22"/>
        </w:rPr>
        <w:t>,</w:t>
      </w:r>
      <w:r w:rsidRPr="007702FA">
        <w:rPr>
          <w:rFonts w:asciiTheme="minorHAnsi" w:hAnsiTheme="minorHAnsi" w:cstheme="minorHAnsi"/>
          <w:sz w:val="22"/>
        </w:rPr>
        <w:t xml:space="preserve"> </w:t>
      </w:r>
      <w:r w:rsidR="0034389F" w:rsidRPr="007702FA">
        <w:rPr>
          <w:rFonts w:asciiTheme="minorHAnsi" w:hAnsiTheme="minorHAnsi" w:cstheme="minorHAnsi"/>
          <w:sz w:val="22"/>
        </w:rPr>
        <w:t xml:space="preserve">as </w:t>
      </w:r>
      <w:r w:rsidR="007702FA" w:rsidRPr="007702FA">
        <w:rPr>
          <w:rFonts w:asciiTheme="minorHAnsi" w:hAnsiTheme="minorHAnsi" w:cstheme="minorHAnsi"/>
          <w:sz w:val="22"/>
        </w:rPr>
        <w:t xml:space="preserve">school </w:t>
      </w:r>
      <w:r w:rsidR="0034389F" w:rsidRPr="007702FA">
        <w:rPr>
          <w:rFonts w:asciiTheme="minorHAnsi" w:hAnsiTheme="minorHAnsi" w:cstheme="minorHAnsi"/>
          <w:sz w:val="22"/>
        </w:rPr>
        <w:t>grant</w:t>
      </w:r>
      <w:r w:rsidR="007702FA" w:rsidRPr="007702FA">
        <w:rPr>
          <w:rFonts w:asciiTheme="minorHAnsi" w:hAnsiTheme="minorHAnsi" w:cstheme="minorHAnsi"/>
          <w:sz w:val="22"/>
        </w:rPr>
        <w:t>s</w:t>
      </w:r>
      <w:r w:rsidR="0034389F" w:rsidRPr="007702FA">
        <w:rPr>
          <w:rFonts w:asciiTheme="minorHAnsi" w:hAnsiTheme="minorHAnsi" w:cstheme="minorHAnsi"/>
          <w:sz w:val="22"/>
        </w:rPr>
        <w:t xml:space="preserve"> </w:t>
      </w:r>
      <w:r w:rsidR="007702FA" w:rsidRPr="007702FA">
        <w:rPr>
          <w:rFonts w:asciiTheme="minorHAnsi" w:hAnsiTheme="minorHAnsi" w:cstheme="minorHAnsi"/>
          <w:sz w:val="22"/>
        </w:rPr>
        <w:t xml:space="preserve">are </w:t>
      </w:r>
      <w:r w:rsidR="0034389F" w:rsidRPr="007702FA">
        <w:rPr>
          <w:rFonts w:asciiTheme="minorHAnsi" w:hAnsiTheme="minorHAnsi" w:cstheme="minorHAnsi"/>
          <w:sz w:val="22"/>
        </w:rPr>
        <w:t>calculated on enrolment</w:t>
      </w:r>
      <w:r w:rsidR="007702FA" w:rsidRPr="007702FA">
        <w:rPr>
          <w:rFonts w:asciiTheme="minorHAnsi" w:hAnsiTheme="minorHAnsi" w:cstheme="minorHAnsi"/>
          <w:sz w:val="22"/>
        </w:rPr>
        <w:t xml:space="preserve"> data</w:t>
      </w:r>
      <w:r w:rsidR="00192EF2" w:rsidRPr="007702FA">
        <w:rPr>
          <w:rFonts w:asciiTheme="minorHAnsi" w:hAnsiTheme="minorHAnsi" w:cstheme="minorHAnsi"/>
          <w:sz w:val="22"/>
        </w:rPr>
        <w:t>,</w:t>
      </w:r>
      <w:r w:rsidR="0034389F" w:rsidRPr="007702FA">
        <w:rPr>
          <w:rFonts w:asciiTheme="minorHAnsi" w:hAnsiTheme="minorHAnsi" w:cstheme="minorHAnsi"/>
          <w:sz w:val="22"/>
        </w:rPr>
        <w:t xml:space="preserve"> but </w:t>
      </w:r>
      <w:r w:rsidR="00192EF2" w:rsidRPr="007702FA">
        <w:rPr>
          <w:rFonts w:asciiTheme="minorHAnsi" w:hAnsiTheme="minorHAnsi" w:cstheme="minorHAnsi"/>
          <w:sz w:val="22"/>
        </w:rPr>
        <w:t xml:space="preserve">it </w:t>
      </w:r>
      <w:r w:rsidR="0034389F" w:rsidRPr="007702FA">
        <w:rPr>
          <w:rFonts w:asciiTheme="minorHAnsi" w:hAnsiTheme="minorHAnsi" w:cstheme="minorHAnsi"/>
          <w:sz w:val="22"/>
        </w:rPr>
        <w:t xml:space="preserve">also has a strong </w:t>
      </w:r>
      <w:r w:rsidR="00181F20" w:rsidRPr="007702FA">
        <w:rPr>
          <w:rFonts w:asciiTheme="minorHAnsi" w:hAnsiTheme="minorHAnsi" w:cstheme="minorHAnsi"/>
          <w:sz w:val="22"/>
        </w:rPr>
        <w:t xml:space="preserve">impact on </w:t>
      </w:r>
      <w:r w:rsidR="00192EF2" w:rsidRPr="007702FA">
        <w:rPr>
          <w:rFonts w:asciiTheme="minorHAnsi" w:hAnsiTheme="minorHAnsi" w:cstheme="minorHAnsi"/>
          <w:sz w:val="22"/>
        </w:rPr>
        <w:t xml:space="preserve">learning outcomes for children. </w:t>
      </w:r>
      <w:r w:rsidR="00C50BE0" w:rsidRPr="007702FA">
        <w:rPr>
          <w:rFonts w:asciiTheme="minorHAnsi" w:hAnsiTheme="minorHAnsi" w:cstheme="minorHAnsi"/>
          <w:sz w:val="22"/>
        </w:rPr>
        <w:t xml:space="preserve">Through the current program, a communication strategy </w:t>
      </w:r>
      <w:r w:rsidR="00C50BE0" w:rsidRPr="007702FA">
        <w:rPr>
          <w:rFonts w:asciiTheme="minorHAnsi" w:hAnsiTheme="minorHAnsi" w:cstheme="minorHAnsi"/>
          <w:sz w:val="22"/>
        </w:rPr>
        <w:lastRenderedPageBreak/>
        <w:t xml:space="preserve">was developed to target </w:t>
      </w:r>
      <w:r w:rsidR="007702FA" w:rsidRPr="007702FA">
        <w:rPr>
          <w:rFonts w:asciiTheme="minorHAnsi" w:hAnsiTheme="minorHAnsi" w:cstheme="minorHAnsi"/>
          <w:sz w:val="22"/>
        </w:rPr>
        <w:t xml:space="preserve">children </w:t>
      </w:r>
      <w:r w:rsidR="00C50BE0" w:rsidRPr="007702FA">
        <w:rPr>
          <w:rFonts w:asciiTheme="minorHAnsi" w:hAnsiTheme="minorHAnsi" w:cstheme="minorHAnsi"/>
          <w:sz w:val="22"/>
        </w:rPr>
        <w:t>entering primary education at th</w:t>
      </w:r>
      <w:r w:rsidR="007702FA" w:rsidRPr="007702FA">
        <w:rPr>
          <w:rFonts w:asciiTheme="minorHAnsi" w:hAnsiTheme="minorHAnsi" w:cstheme="minorHAnsi"/>
          <w:sz w:val="22"/>
        </w:rPr>
        <w:t>e right age (</w:t>
      </w:r>
      <w:r w:rsidR="00C50BE0" w:rsidRPr="007702FA">
        <w:rPr>
          <w:rFonts w:asciiTheme="minorHAnsi" w:hAnsiTheme="minorHAnsi" w:cstheme="minorHAnsi"/>
          <w:i/>
          <w:sz w:val="22"/>
        </w:rPr>
        <w:t xml:space="preserve">6 </w:t>
      </w:r>
      <w:r w:rsidR="007702FA" w:rsidRPr="007702FA">
        <w:rPr>
          <w:rFonts w:asciiTheme="minorHAnsi" w:hAnsiTheme="minorHAnsi" w:cstheme="minorHAnsi"/>
          <w:i/>
          <w:sz w:val="22"/>
        </w:rPr>
        <w:t>Yia, K</w:t>
      </w:r>
      <w:r w:rsidR="00C50BE0" w:rsidRPr="007702FA">
        <w:rPr>
          <w:rFonts w:asciiTheme="minorHAnsi" w:hAnsiTheme="minorHAnsi" w:cstheme="minorHAnsi"/>
          <w:i/>
          <w:sz w:val="22"/>
        </w:rPr>
        <w:t>las</w:t>
      </w:r>
      <w:r w:rsidR="002A3FE8">
        <w:rPr>
          <w:rFonts w:asciiTheme="minorHAnsi" w:hAnsiTheme="minorHAnsi" w:cstheme="minorHAnsi"/>
          <w:i/>
          <w:sz w:val="22"/>
        </w:rPr>
        <w:t xml:space="preserve"> </w:t>
      </w:r>
      <w:r w:rsidR="00C50BE0" w:rsidRPr="007702FA">
        <w:rPr>
          <w:rFonts w:asciiTheme="minorHAnsi" w:hAnsiTheme="minorHAnsi" w:cstheme="minorHAnsi"/>
          <w:i/>
          <w:sz w:val="22"/>
        </w:rPr>
        <w:t>1</w:t>
      </w:r>
      <w:r w:rsidR="007702FA" w:rsidRPr="007702FA">
        <w:rPr>
          <w:rFonts w:asciiTheme="minorHAnsi" w:hAnsiTheme="minorHAnsi" w:cstheme="minorHAnsi"/>
          <w:sz w:val="22"/>
        </w:rPr>
        <w:t>)</w:t>
      </w:r>
      <w:r w:rsidR="00192EF2" w:rsidRPr="007702FA">
        <w:rPr>
          <w:rFonts w:asciiTheme="minorHAnsi" w:hAnsiTheme="minorHAnsi" w:cstheme="minorHAnsi"/>
          <w:sz w:val="22"/>
        </w:rPr>
        <w:t>.</w:t>
      </w:r>
      <w:r w:rsidR="00C50BE0" w:rsidRPr="007702FA">
        <w:rPr>
          <w:rFonts w:asciiTheme="minorHAnsi" w:hAnsiTheme="minorHAnsi" w:cstheme="minorHAnsi"/>
          <w:sz w:val="22"/>
        </w:rPr>
        <w:t xml:space="preserve"> </w:t>
      </w:r>
      <w:r w:rsidR="00676F85" w:rsidRPr="007702FA">
        <w:rPr>
          <w:rFonts w:asciiTheme="minorHAnsi" w:hAnsiTheme="minorHAnsi" w:cstheme="minorHAnsi"/>
          <w:sz w:val="22"/>
        </w:rPr>
        <w:t xml:space="preserve">DFAT will </w:t>
      </w:r>
      <w:r w:rsidR="001B6839">
        <w:rPr>
          <w:rFonts w:asciiTheme="minorHAnsi" w:hAnsiTheme="minorHAnsi" w:cstheme="minorHAnsi"/>
          <w:sz w:val="22"/>
        </w:rPr>
        <w:t xml:space="preserve">explore this issue as part of </w:t>
      </w:r>
      <w:r w:rsidR="003B54C4">
        <w:rPr>
          <w:rFonts w:asciiTheme="minorHAnsi" w:hAnsiTheme="minorHAnsi" w:cstheme="minorHAnsi"/>
          <w:sz w:val="22"/>
        </w:rPr>
        <w:t xml:space="preserve">the </w:t>
      </w:r>
      <w:r w:rsidR="001B6839">
        <w:rPr>
          <w:rFonts w:asciiTheme="minorHAnsi" w:hAnsiTheme="minorHAnsi" w:cstheme="minorHAnsi"/>
          <w:sz w:val="22"/>
        </w:rPr>
        <w:t xml:space="preserve">design of phase II and </w:t>
      </w:r>
      <w:r w:rsidR="003B54C4">
        <w:rPr>
          <w:rFonts w:asciiTheme="minorHAnsi" w:hAnsiTheme="minorHAnsi" w:cstheme="minorHAnsi"/>
          <w:sz w:val="22"/>
        </w:rPr>
        <w:t xml:space="preserve">will </w:t>
      </w:r>
      <w:r w:rsidR="001B6839">
        <w:rPr>
          <w:rFonts w:asciiTheme="minorHAnsi" w:hAnsiTheme="minorHAnsi" w:cstheme="minorHAnsi"/>
          <w:sz w:val="22"/>
        </w:rPr>
        <w:t>continue strategic discussions with MoET</w:t>
      </w:r>
      <w:r w:rsidR="003B54C4">
        <w:rPr>
          <w:rFonts w:asciiTheme="minorHAnsi" w:hAnsiTheme="minorHAnsi" w:cstheme="minorHAnsi"/>
          <w:sz w:val="22"/>
        </w:rPr>
        <w:t>,</w:t>
      </w:r>
      <w:r w:rsidR="001B6839">
        <w:rPr>
          <w:rFonts w:asciiTheme="minorHAnsi" w:hAnsiTheme="minorHAnsi" w:cstheme="minorHAnsi"/>
          <w:sz w:val="22"/>
        </w:rPr>
        <w:t xml:space="preserve"> including t</w:t>
      </w:r>
      <w:r w:rsidR="003B54C4">
        <w:rPr>
          <w:rFonts w:asciiTheme="minorHAnsi" w:hAnsiTheme="minorHAnsi" w:cstheme="minorHAnsi"/>
          <w:sz w:val="22"/>
        </w:rPr>
        <w:t>hrough t</w:t>
      </w:r>
      <w:r w:rsidR="001B6839">
        <w:rPr>
          <w:rFonts w:asciiTheme="minorHAnsi" w:hAnsiTheme="minorHAnsi" w:cstheme="minorHAnsi"/>
          <w:sz w:val="22"/>
        </w:rPr>
        <w:t xml:space="preserve">he upcoming review of the school grant criteria. </w:t>
      </w:r>
    </w:p>
    <w:p w14:paraId="159B4DCC" w14:textId="41067E49" w:rsidR="00676F85" w:rsidRDefault="00676F85" w:rsidP="000D2440">
      <w:pPr>
        <w:pStyle w:val="Table-normal-text"/>
        <w:spacing w:before="0"/>
        <w:contextualSpacing/>
        <w:rPr>
          <w:rFonts w:asciiTheme="minorHAnsi" w:hAnsiTheme="minorHAnsi" w:cstheme="minorHAnsi"/>
          <w:sz w:val="22"/>
        </w:rPr>
      </w:pPr>
    </w:p>
    <w:p w14:paraId="62148813" w14:textId="067F2B81"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9</w:t>
      </w:r>
      <w:r w:rsidRPr="00096F76">
        <w:rPr>
          <w:rFonts w:asciiTheme="minorHAnsi" w:hAnsiTheme="minorHAnsi" w:cstheme="minorHAnsi"/>
          <w:i/>
          <w:sz w:val="22"/>
        </w:rPr>
        <w:t xml:space="preserve">: </w:t>
      </w:r>
      <w:r w:rsidR="003F46E3" w:rsidRPr="00096F76">
        <w:rPr>
          <w:rFonts w:asciiTheme="minorHAnsi" w:hAnsiTheme="minorHAnsi" w:cstheme="minorHAnsi"/>
          <w:i/>
          <w:sz w:val="22"/>
        </w:rPr>
        <w:t xml:space="preserve">MoET should continue to implement the recommendation of the SECCE Evaluation. </w:t>
      </w:r>
    </w:p>
    <w:p w14:paraId="04383AAB" w14:textId="77777777" w:rsidR="000D2440" w:rsidRDefault="000D2440" w:rsidP="000D2440">
      <w:pPr>
        <w:pStyle w:val="List"/>
        <w:ind w:left="0" w:firstLine="0"/>
        <w:rPr>
          <w:rFonts w:asciiTheme="minorHAnsi" w:hAnsiTheme="minorHAnsi" w:cstheme="minorHAnsi"/>
          <w:sz w:val="22"/>
          <w:szCs w:val="22"/>
          <w:u w:val="single"/>
        </w:rPr>
      </w:pPr>
    </w:p>
    <w:p w14:paraId="1E508FE3" w14:textId="20F8CF5F" w:rsidR="00AE5CA6" w:rsidRDefault="00AD0732" w:rsidP="000D2440">
      <w:pPr>
        <w:pStyle w:val="List"/>
        <w:ind w:left="0" w:firstLine="0"/>
        <w:rPr>
          <w:rFonts w:asciiTheme="minorHAnsi" w:hAnsiTheme="minorHAnsi" w:cstheme="minorHAnsi"/>
          <w:sz w:val="22"/>
          <w:szCs w:val="22"/>
        </w:rPr>
      </w:pPr>
      <w:r w:rsidRPr="00AD0732">
        <w:rPr>
          <w:rFonts w:asciiTheme="minorHAnsi" w:hAnsiTheme="minorHAnsi" w:cstheme="minorHAnsi"/>
          <w:sz w:val="22"/>
          <w:szCs w:val="22"/>
          <w:u w:val="single"/>
        </w:rPr>
        <w:t>DFAT response</w:t>
      </w:r>
      <w:r>
        <w:rPr>
          <w:rFonts w:asciiTheme="minorHAnsi" w:hAnsiTheme="minorHAnsi" w:cstheme="minorHAnsi"/>
          <w:sz w:val="22"/>
          <w:szCs w:val="22"/>
        </w:rPr>
        <w:t xml:space="preserve">: </w:t>
      </w:r>
      <w:r w:rsidR="0087200F">
        <w:rPr>
          <w:rFonts w:asciiTheme="minorHAnsi" w:hAnsiTheme="minorHAnsi" w:cstheme="minorHAnsi"/>
          <w:sz w:val="22"/>
          <w:szCs w:val="22"/>
        </w:rPr>
        <w:t>A</w:t>
      </w:r>
      <w:r w:rsidR="00D14107">
        <w:rPr>
          <w:rFonts w:asciiTheme="minorHAnsi" w:hAnsiTheme="minorHAnsi" w:cstheme="minorHAnsi"/>
          <w:sz w:val="22"/>
          <w:szCs w:val="22"/>
        </w:rPr>
        <w:t>gree</w:t>
      </w:r>
    </w:p>
    <w:p w14:paraId="5A4B2FA4" w14:textId="7C6ED040" w:rsidR="00181F20" w:rsidRDefault="00181F20" w:rsidP="000D2440">
      <w:pPr>
        <w:pStyle w:val="Table-normal-text"/>
        <w:spacing w:before="0"/>
        <w:contextualSpacing/>
        <w:rPr>
          <w:rFonts w:asciiTheme="minorHAnsi" w:hAnsiTheme="minorHAnsi" w:cstheme="minorHAnsi"/>
          <w:sz w:val="22"/>
        </w:rPr>
      </w:pPr>
      <w:r w:rsidRPr="00613203">
        <w:rPr>
          <w:rFonts w:asciiTheme="minorHAnsi" w:hAnsiTheme="minorHAnsi" w:cstheme="minorHAnsi"/>
          <w:sz w:val="22"/>
        </w:rPr>
        <w:t xml:space="preserve">MoET </w:t>
      </w:r>
      <w:r w:rsidR="00192EF2" w:rsidRPr="00613203">
        <w:rPr>
          <w:rFonts w:asciiTheme="minorHAnsi" w:hAnsiTheme="minorHAnsi" w:cstheme="minorHAnsi"/>
          <w:sz w:val="22"/>
        </w:rPr>
        <w:t>extended</w:t>
      </w:r>
      <w:r w:rsidRPr="00613203">
        <w:rPr>
          <w:rFonts w:asciiTheme="minorHAnsi" w:hAnsiTheme="minorHAnsi" w:cstheme="minorHAnsi"/>
          <w:sz w:val="22"/>
        </w:rPr>
        <w:t xml:space="preserve"> World Vision’s contract to </w:t>
      </w:r>
      <w:r w:rsidR="00192EF2" w:rsidRPr="00613203">
        <w:rPr>
          <w:rFonts w:asciiTheme="minorHAnsi" w:hAnsiTheme="minorHAnsi" w:cstheme="minorHAnsi"/>
          <w:sz w:val="22"/>
        </w:rPr>
        <w:t xml:space="preserve">ensure </w:t>
      </w:r>
      <w:r w:rsidRPr="00613203">
        <w:rPr>
          <w:rFonts w:asciiTheme="minorHAnsi" w:hAnsiTheme="minorHAnsi" w:cstheme="minorHAnsi"/>
          <w:sz w:val="22"/>
        </w:rPr>
        <w:t>a smooth transition from the pilot program to the</w:t>
      </w:r>
      <w:r w:rsidR="00192EF2" w:rsidRPr="00613203">
        <w:rPr>
          <w:rFonts w:asciiTheme="minorHAnsi" w:hAnsiTheme="minorHAnsi" w:cstheme="minorHAnsi"/>
          <w:sz w:val="22"/>
        </w:rPr>
        <w:t xml:space="preserve"> Early Childhood Care and Education (ECCE) Unit.</w:t>
      </w:r>
    </w:p>
    <w:p w14:paraId="6F17F3DD" w14:textId="77777777" w:rsidR="000D2440" w:rsidRPr="00613203" w:rsidRDefault="000D2440" w:rsidP="000D2440">
      <w:pPr>
        <w:pStyle w:val="Table-normal-text"/>
        <w:spacing w:before="0"/>
        <w:contextualSpacing/>
        <w:rPr>
          <w:rFonts w:asciiTheme="minorHAnsi" w:hAnsiTheme="minorHAnsi" w:cstheme="minorHAnsi"/>
          <w:sz w:val="22"/>
        </w:rPr>
      </w:pPr>
    </w:p>
    <w:p w14:paraId="5F60F483" w14:textId="626AAB4E"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10</w:t>
      </w:r>
      <w:r w:rsidRPr="00096F76">
        <w:rPr>
          <w:rFonts w:asciiTheme="minorHAnsi" w:hAnsiTheme="minorHAnsi" w:cstheme="minorHAnsi"/>
          <w:i/>
          <w:sz w:val="22"/>
        </w:rPr>
        <w:t xml:space="preserve">: </w:t>
      </w:r>
      <w:r w:rsidR="003F46E3" w:rsidRPr="00096F76">
        <w:rPr>
          <w:rFonts w:asciiTheme="minorHAnsi" w:hAnsiTheme="minorHAnsi" w:cstheme="minorHAnsi"/>
          <w:i/>
          <w:sz w:val="22"/>
        </w:rPr>
        <w:t xml:space="preserve"> MoET should continue to strengthen connections between </w:t>
      </w:r>
      <w:r w:rsidR="00192EF2">
        <w:rPr>
          <w:rFonts w:asciiTheme="minorHAnsi" w:hAnsiTheme="minorHAnsi" w:cstheme="minorHAnsi"/>
          <w:i/>
          <w:sz w:val="22"/>
        </w:rPr>
        <w:t xml:space="preserve">kindergartens </w:t>
      </w:r>
      <w:r w:rsidR="003F46E3" w:rsidRPr="00096F76">
        <w:rPr>
          <w:rFonts w:asciiTheme="minorHAnsi" w:hAnsiTheme="minorHAnsi" w:cstheme="minorHAnsi"/>
          <w:i/>
          <w:sz w:val="22"/>
        </w:rPr>
        <w:t>and primary schools, including a focus on h</w:t>
      </w:r>
      <w:r w:rsidR="00192EF2">
        <w:rPr>
          <w:rFonts w:asciiTheme="minorHAnsi" w:hAnsiTheme="minorHAnsi" w:cstheme="minorHAnsi"/>
          <w:i/>
          <w:sz w:val="22"/>
        </w:rPr>
        <w:t>ousehold financial contribution</w:t>
      </w:r>
      <w:r w:rsidR="003F46E3" w:rsidRPr="00096F76">
        <w:rPr>
          <w:rFonts w:asciiTheme="minorHAnsi" w:hAnsiTheme="minorHAnsi" w:cstheme="minorHAnsi"/>
          <w:i/>
          <w:sz w:val="22"/>
        </w:rPr>
        <w:t xml:space="preserve"> </w:t>
      </w:r>
    </w:p>
    <w:p w14:paraId="1AFBBCE5" w14:textId="77777777" w:rsidR="000D2440" w:rsidRDefault="000D2440" w:rsidP="000D2440">
      <w:pPr>
        <w:contextualSpacing/>
        <w:rPr>
          <w:rFonts w:asciiTheme="minorHAnsi" w:hAnsiTheme="minorHAnsi" w:cstheme="minorHAnsi"/>
          <w:sz w:val="22"/>
          <w:u w:val="single"/>
        </w:rPr>
      </w:pPr>
    </w:p>
    <w:p w14:paraId="636E8AF2" w14:textId="700C17D8" w:rsidR="00D14107" w:rsidRDefault="00652ADA" w:rsidP="000D2440">
      <w:pPr>
        <w:contextualSpacing/>
        <w:rPr>
          <w:rFonts w:asciiTheme="minorHAnsi" w:hAnsiTheme="minorHAnsi" w:cstheme="minorHAnsi"/>
          <w:sz w:val="22"/>
        </w:rPr>
      </w:pPr>
      <w:r w:rsidRPr="00652ADA">
        <w:rPr>
          <w:rFonts w:asciiTheme="minorHAnsi" w:hAnsiTheme="minorHAnsi" w:cstheme="minorHAnsi"/>
          <w:sz w:val="22"/>
          <w:u w:val="single"/>
        </w:rPr>
        <w:t>DFAT response</w:t>
      </w:r>
      <w:r w:rsidR="003F46E3">
        <w:rPr>
          <w:rFonts w:asciiTheme="minorHAnsi" w:hAnsiTheme="minorHAnsi" w:cstheme="minorHAnsi"/>
          <w:sz w:val="22"/>
        </w:rPr>
        <w:t xml:space="preserve">: </w:t>
      </w:r>
      <w:r w:rsidR="0087200F">
        <w:rPr>
          <w:rFonts w:asciiTheme="minorHAnsi" w:hAnsiTheme="minorHAnsi" w:cstheme="minorHAnsi"/>
          <w:sz w:val="22"/>
        </w:rPr>
        <w:t>A</w:t>
      </w:r>
      <w:r>
        <w:rPr>
          <w:rFonts w:asciiTheme="minorHAnsi" w:hAnsiTheme="minorHAnsi" w:cstheme="minorHAnsi"/>
          <w:sz w:val="22"/>
        </w:rPr>
        <w:t>gree</w:t>
      </w:r>
    </w:p>
    <w:p w14:paraId="409F9C8C" w14:textId="6D473CED" w:rsidR="00181F20" w:rsidRDefault="00181F20"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ECCE is the foundation of education</w:t>
      </w:r>
      <w:r w:rsidR="00192EF2">
        <w:rPr>
          <w:rFonts w:asciiTheme="minorHAnsi" w:hAnsiTheme="minorHAnsi" w:cstheme="minorHAnsi"/>
          <w:sz w:val="22"/>
        </w:rPr>
        <w:t>. If the link between ECCE and p</w:t>
      </w:r>
      <w:r>
        <w:rPr>
          <w:rFonts w:asciiTheme="minorHAnsi" w:hAnsiTheme="minorHAnsi" w:cstheme="minorHAnsi"/>
          <w:sz w:val="22"/>
        </w:rPr>
        <w:t xml:space="preserve">rimary education is not </w:t>
      </w:r>
      <w:r w:rsidR="006448F0">
        <w:rPr>
          <w:rFonts w:asciiTheme="minorHAnsi" w:hAnsiTheme="minorHAnsi" w:cstheme="minorHAnsi"/>
          <w:sz w:val="22"/>
        </w:rPr>
        <w:t>strengthened,</w:t>
      </w:r>
      <w:r>
        <w:rPr>
          <w:rFonts w:asciiTheme="minorHAnsi" w:hAnsiTheme="minorHAnsi" w:cstheme="minorHAnsi"/>
          <w:sz w:val="22"/>
        </w:rPr>
        <w:t xml:space="preserve"> there is a risk </w:t>
      </w:r>
      <w:r w:rsidR="00192EF2">
        <w:rPr>
          <w:rFonts w:asciiTheme="minorHAnsi" w:hAnsiTheme="minorHAnsi" w:cstheme="minorHAnsi"/>
          <w:sz w:val="22"/>
        </w:rPr>
        <w:t xml:space="preserve">to </w:t>
      </w:r>
      <w:r>
        <w:rPr>
          <w:rFonts w:asciiTheme="minorHAnsi" w:hAnsiTheme="minorHAnsi" w:cstheme="minorHAnsi"/>
          <w:sz w:val="22"/>
        </w:rPr>
        <w:t>the implementation of the language and curriculum reforms</w:t>
      </w:r>
      <w:r w:rsidR="00192EF2">
        <w:rPr>
          <w:rFonts w:asciiTheme="minorHAnsi" w:hAnsiTheme="minorHAnsi" w:cstheme="minorHAnsi"/>
          <w:sz w:val="22"/>
        </w:rPr>
        <w:t>,</w:t>
      </w:r>
      <w:r>
        <w:rPr>
          <w:rFonts w:asciiTheme="minorHAnsi" w:hAnsiTheme="minorHAnsi" w:cstheme="minorHAnsi"/>
          <w:sz w:val="22"/>
        </w:rPr>
        <w:t xml:space="preserve"> amongst other policies. </w:t>
      </w:r>
      <w:r w:rsidR="00192EF2" w:rsidRPr="007702FA">
        <w:rPr>
          <w:rFonts w:asciiTheme="minorHAnsi" w:hAnsiTheme="minorHAnsi" w:cstheme="minorHAnsi"/>
          <w:sz w:val="22"/>
        </w:rPr>
        <w:t xml:space="preserve">DFAT will work closely with </w:t>
      </w:r>
      <w:r w:rsidRPr="007702FA">
        <w:rPr>
          <w:rFonts w:asciiTheme="minorHAnsi" w:hAnsiTheme="minorHAnsi" w:cstheme="minorHAnsi"/>
          <w:sz w:val="22"/>
        </w:rPr>
        <w:t xml:space="preserve">MoET </w:t>
      </w:r>
      <w:r w:rsidR="00192EF2" w:rsidRPr="007702FA">
        <w:rPr>
          <w:rFonts w:asciiTheme="minorHAnsi" w:hAnsiTheme="minorHAnsi" w:cstheme="minorHAnsi"/>
          <w:sz w:val="22"/>
        </w:rPr>
        <w:t xml:space="preserve">to address this issue, including any </w:t>
      </w:r>
      <w:r w:rsidRPr="007702FA">
        <w:rPr>
          <w:rFonts w:asciiTheme="minorHAnsi" w:hAnsiTheme="minorHAnsi" w:cstheme="minorHAnsi"/>
          <w:sz w:val="22"/>
        </w:rPr>
        <w:t>budget</w:t>
      </w:r>
      <w:r w:rsidR="00192EF2" w:rsidRPr="007702FA">
        <w:rPr>
          <w:rFonts w:asciiTheme="minorHAnsi" w:hAnsiTheme="minorHAnsi" w:cstheme="minorHAnsi"/>
          <w:sz w:val="22"/>
        </w:rPr>
        <w:t>ary constraints.</w:t>
      </w:r>
      <w:r w:rsidR="007702FA" w:rsidRPr="007702FA">
        <w:rPr>
          <w:rFonts w:asciiTheme="minorHAnsi" w:hAnsiTheme="minorHAnsi" w:cstheme="minorHAnsi"/>
          <w:sz w:val="22"/>
        </w:rPr>
        <w:t xml:space="preserve"> </w:t>
      </w:r>
      <w:r w:rsidR="00816C61" w:rsidRPr="007702FA">
        <w:rPr>
          <w:rFonts w:asciiTheme="minorHAnsi" w:hAnsiTheme="minorHAnsi" w:cstheme="minorHAnsi"/>
          <w:sz w:val="22"/>
        </w:rPr>
        <w:t>The five</w:t>
      </w:r>
      <w:r w:rsidR="007702FA" w:rsidRPr="007702FA">
        <w:rPr>
          <w:rFonts w:asciiTheme="minorHAnsi" w:hAnsiTheme="minorHAnsi" w:cstheme="minorHAnsi"/>
          <w:sz w:val="22"/>
        </w:rPr>
        <w:t xml:space="preserve"> </w:t>
      </w:r>
      <w:r w:rsidR="0096410B" w:rsidRPr="007702FA">
        <w:rPr>
          <w:rFonts w:asciiTheme="minorHAnsi" w:hAnsiTheme="minorHAnsi" w:cstheme="minorHAnsi"/>
          <w:sz w:val="22"/>
        </w:rPr>
        <w:t xml:space="preserve">year strategy </w:t>
      </w:r>
      <w:r w:rsidR="007702FA" w:rsidRPr="007702FA">
        <w:rPr>
          <w:rFonts w:asciiTheme="minorHAnsi" w:hAnsiTheme="minorHAnsi" w:cstheme="minorHAnsi"/>
          <w:sz w:val="22"/>
        </w:rPr>
        <w:t>(</w:t>
      </w:r>
      <w:r w:rsidR="0096410B" w:rsidRPr="007702FA">
        <w:rPr>
          <w:rFonts w:asciiTheme="minorHAnsi" w:hAnsiTheme="minorHAnsi" w:cstheme="minorHAnsi"/>
          <w:sz w:val="22"/>
        </w:rPr>
        <w:t>to be completed</w:t>
      </w:r>
      <w:r w:rsidR="007702FA" w:rsidRPr="007702FA">
        <w:rPr>
          <w:rFonts w:asciiTheme="minorHAnsi" w:hAnsiTheme="minorHAnsi" w:cstheme="minorHAnsi"/>
          <w:sz w:val="22"/>
        </w:rPr>
        <w:t xml:space="preserve"> by June 2017 with VESP support)</w:t>
      </w:r>
      <w:r w:rsidR="0096410B" w:rsidRPr="007702FA">
        <w:rPr>
          <w:rFonts w:asciiTheme="minorHAnsi" w:hAnsiTheme="minorHAnsi" w:cstheme="minorHAnsi"/>
          <w:sz w:val="22"/>
        </w:rPr>
        <w:t xml:space="preserve"> will present costing options for MoET to consider.</w:t>
      </w:r>
      <w:r w:rsidR="0096410B">
        <w:rPr>
          <w:rFonts w:asciiTheme="minorHAnsi" w:hAnsiTheme="minorHAnsi" w:cstheme="minorHAnsi"/>
          <w:sz w:val="22"/>
        </w:rPr>
        <w:t xml:space="preserve"> </w:t>
      </w:r>
    </w:p>
    <w:p w14:paraId="12E0A4CE" w14:textId="77777777" w:rsidR="000D2440" w:rsidRDefault="000D2440" w:rsidP="000D2440">
      <w:pPr>
        <w:pStyle w:val="Table-normal-text"/>
        <w:spacing w:before="0"/>
        <w:contextualSpacing/>
        <w:rPr>
          <w:rFonts w:asciiTheme="minorHAnsi" w:hAnsiTheme="minorHAnsi" w:cstheme="minorHAnsi"/>
          <w:sz w:val="22"/>
        </w:rPr>
      </w:pPr>
    </w:p>
    <w:p w14:paraId="42E3EA06" w14:textId="12955620"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11</w:t>
      </w:r>
      <w:r w:rsidRPr="00096F76">
        <w:rPr>
          <w:rFonts w:asciiTheme="minorHAnsi" w:hAnsiTheme="minorHAnsi" w:cstheme="minorHAnsi"/>
          <w:i/>
          <w:sz w:val="22"/>
        </w:rPr>
        <w:t xml:space="preserve">: </w:t>
      </w:r>
      <w:r w:rsidR="00192EF2">
        <w:rPr>
          <w:rFonts w:asciiTheme="minorHAnsi" w:hAnsiTheme="minorHAnsi" w:cstheme="minorHAnsi"/>
          <w:i/>
          <w:sz w:val="22"/>
        </w:rPr>
        <w:t xml:space="preserve"> Reducing the numbers of out-of-</w:t>
      </w:r>
      <w:r w:rsidR="003F46E3" w:rsidRPr="00096F76">
        <w:rPr>
          <w:rFonts w:asciiTheme="minorHAnsi" w:hAnsiTheme="minorHAnsi" w:cstheme="minorHAnsi"/>
          <w:i/>
          <w:sz w:val="22"/>
        </w:rPr>
        <w:t>school children should remain a priority for the sector and should bec</w:t>
      </w:r>
      <w:r w:rsidR="00192EF2">
        <w:rPr>
          <w:rFonts w:asciiTheme="minorHAnsi" w:hAnsiTheme="minorHAnsi" w:cstheme="minorHAnsi"/>
          <w:i/>
          <w:sz w:val="22"/>
        </w:rPr>
        <w:t>ome more of a focus for VESP II</w:t>
      </w:r>
    </w:p>
    <w:p w14:paraId="15EA5736" w14:textId="77777777" w:rsidR="000D2440" w:rsidRDefault="000D2440" w:rsidP="000D2440">
      <w:pPr>
        <w:contextualSpacing/>
        <w:rPr>
          <w:rFonts w:asciiTheme="minorHAnsi" w:hAnsiTheme="minorHAnsi" w:cstheme="minorHAnsi"/>
          <w:sz w:val="22"/>
          <w:u w:val="single"/>
        </w:rPr>
      </w:pPr>
    </w:p>
    <w:p w14:paraId="4F0ACA89" w14:textId="1C68EAFD" w:rsidR="00652ADA" w:rsidRDefault="00652ADA" w:rsidP="000D2440">
      <w:pPr>
        <w:contextualSpacing/>
        <w:rPr>
          <w:rFonts w:asciiTheme="minorHAnsi" w:hAnsiTheme="minorHAnsi" w:cstheme="minorHAnsi"/>
          <w:sz w:val="22"/>
        </w:rPr>
      </w:pPr>
      <w:r w:rsidRPr="00652ADA">
        <w:rPr>
          <w:rFonts w:asciiTheme="minorHAnsi" w:hAnsiTheme="minorHAnsi" w:cstheme="minorHAnsi"/>
          <w:sz w:val="22"/>
          <w:u w:val="single"/>
        </w:rPr>
        <w:t>DFAT response</w:t>
      </w:r>
      <w:r w:rsidR="0087200F">
        <w:rPr>
          <w:rFonts w:asciiTheme="minorHAnsi" w:hAnsiTheme="minorHAnsi" w:cstheme="minorHAnsi"/>
          <w:sz w:val="22"/>
        </w:rPr>
        <w:t>: A</w:t>
      </w:r>
      <w:r>
        <w:rPr>
          <w:rFonts w:asciiTheme="minorHAnsi" w:hAnsiTheme="minorHAnsi" w:cstheme="minorHAnsi"/>
          <w:sz w:val="22"/>
        </w:rPr>
        <w:t>gree</w:t>
      </w:r>
      <w:r w:rsidR="00192EF2">
        <w:rPr>
          <w:rFonts w:asciiTheme="minorHAnsi" w:hAnsiTheme="minorHAnsi" w:cstheme="minorHAnsi"/>
          <w:sz w:val="22"/>
        </w:rPr>
        <w:t xml:space="preserve"> </w:t>
      </w:r>
    </w:p>
    <w:p w14:paraId="67E1F54B" w14:textId="790B9562" w:rsidR="00181F20" w:rsidRDefault="00192EF2"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DFAT will work closely with Mo</w:t>
      </w:r>
      <w:r w:rsidR="0087200F">
        <w:rPr>
          <w:rFonts w:asciiTheme="minorHAnsi" w:hAnsiTheme="minorHAnsi" w:cstheme="minorHAnsi"/>
          <w:sz w:val="22"/>
        </w:rPr>
        <w:t>ET to prioritise better access</w:t>
      </w:r>
      <w:r>
        <w:rPr>
          <w:rFonts w:asciiTheme="minorHAnsi" w:hAnsiTheme="minorHAnsi" w:cstheme="minorHAnsi"/>
          <w:sz w:val="22"/>
        </w:rPr>
        <w:t xml:space="preserve"> to education for out-of-school children</w:t>
      </w:r>
      <w:r w:rsidR="0087200F">
        <w:rPr>
          <w:rFonts w:asciiTheme="minorHAnsi" w:hAnsiTheme="minorHAnsi" w:cstheme="minorHAnsi"/>
          <w:sz w:val="22"/>
        </w:rPr>
        <w:t xml:space="preserve">. </w:t>
      </w:r>
      <w:r>
        <w:rPr>
          <w:rFonts w:asciiTheme="minorHAnsi" w:hAnsiTheme="minorHAnsi" w:cstheme="minorHAnsi"/>
          <w:sz w:val="22"/>
        </w:rPr>
        <w:t>The Strategy for Australia’s Aid Investment in Education 2015-2020 prioritises equity,</w:t>
      </w:r>
      <w:r w:rsidR="00181F20">
        <w:rPr>
          <w:rFonts w:asciiTheme="minorHAnsi" w:hAnsiTheme="minorHAnsi" w:cstheme="minorHAnsi"/>
          <w:sz w:val="22"/>
        </w:rPr>
        <w:t xml:space="preserve"> </w:t>
      </w:r>
      <w:r w:rsidR="00181F20" w:rsidRPr="00181F20">
        <w:rPr>
          <w:rFonts w:asciiTheme="minorHAnsi" w:hAnsiTheme="minorHAnsi" w:cstheme="minorHAnsi"/>
          <w:sz w:val="22"/>
        </w:rPr>
        <w:t>with a particular focus on gender and disability inclusiveness, because fairer education systems are also the most effective.</w:t>
      </w:r>
    </w:p>
    <w:p w14:paraId="4C6EBEE5" w14:textId="77777777" w:rsidR="000D2440" w:rsidRDefault="000D2440" w:rsidP="000D2440">
      <w:pPr>
        <w:pStyle w:val="Table-normal-text"/>
        <w:spacing w:before="0"/>
        <w:contextualSpacing/>
        <w:rPr>
          <w:rFonts w:asciiTheme="minorHAnsi" w:hAnsiTheme="minorHAnsi" w:cstheme="minorHAnsi"/>
          <w:sz w:val="22"/>
        </w:rPr>
      </w:pPr>
    </w:p>
    <w:p w14:paraId="0C416187" w14:textId="6A10A12F"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12</w:t>
      </w:r>
      <w:r w:rsidRPr="00096F76">
        <w:rPr>
          <w:rFonts w:asciiTheme="minorHAnsi" w:hAnsiTheme="minorHAnsi" w:cstheme="minorHAnsi"/>
          <w:i/>
          <w:sz w:val="22"/>
        </w:rPr>
        <w:t xml:space="preserve">:  </w:t>
      </w:r>
      <w:r w:rsidR="003F46E3" w:rsidRPr="00096F76">
        <w:rPr>
          <w:rFonts w:asciiTheme="minorHAnsi" w:hAnsiTheme="minorHAnsi" w:cstheme="minorHAnsi"/>
          <w:i/>
          <w:sz w:val="22"/>
        </w:rPr>
        <w:t>MoET place</w:t>
      </w:r>
      <w:r w:rsidR="00140F34" w:rsidRPr="00096F76">
        <w:rPr>
          <w:rFonts w:asciiTheme="minorHAnsi" w:hAnsiTheme="minorHAnsi" w:cstheme="minorHAnsi"/>
          <w:i/>
          <w:sz w:val="22"/>
        </w:rPr>
        <w:t>s</w:t>
      </w:r>
      <w:r w:rsidR="003F46E3" w:rsidRPr="00096F76">
        <w:rPr>
          <w:rFonts w:asciiTheme="minorHAnsi" w:hAnsiTheme="minorHAnsi" w:cstheme="minorHAnsi"/>
          <w:i/>
          <w:sz w:val="22"/>
        </w:rPr>
        <w:t xml:space="preserve"> a stronger focus on communications and regulatory oversight as important strategies to progress refor</w:t>
      </w:r>
      <w:r w:rsidR="00192EF2">
        <w:rPr>
          <w:rFonts w:asciiTheme="minorHAnsi" w:hAnsiTheme="minorHAnsi" w:cstheme="minorHAnsi"/>
          <w:i/>
          <w:sz w:val="22"/>
        </w:rPr>
        <w:t>ms (both now and in the future)</w:t>
      </w:r>
    </w:p>
    <w:p w14:paraId="46F58F08" w14:textId="77777777" w:rsidR="000D2440" w:rsidRDefault="000D2440" w:rsidP="000D2440">
      <w:pPr>
        <w:contextualSpacing/>
        <w:rPr>
          <w:rFonts w:asciiTheme="minorHAnsi" w:hAnsiTheme="minorHAnsi" w:cstheme="minorHAnsi"/>
          <w:sz w:val="22"/>
          <w:u w:val="single"/>
        </w:rPr>
      </w:pPr>
    </w:p>
    <w:p w14:paraId="3C125120" w14:textId="1AEE6717" w:rsidR="000C398F" w:rsidRDefault="000C398F" w:rsidP="000D2440">
      <w:pPr>
        <w:contextualSpacing/>
        <w:rPr>
          <w:rFonts w:asciiTheme="minorHAnsi" w:hAnsiTheme="minorHAnsi" w:cstheme="minorHAnsi"/>
          <w:sz w:val="22"/>
        </w:rPr>
      </w:pPr>
      <w:r w:rsidRPr="000C398F">
        <w:rPr>
          <w:rFonts w:asciiTheme="minorHAnsi" w:hAnsiTheme="minorHAnsi" w:cstheme="minorHAnsi"/>
          <w:sz w:val="22"/>
          <w:u w:val="single"/>
        </w:rPr>
        <w:t>DFAT response</w:t>
      </w:r>
      <w:r>
        <w:rPr>
          <w:rFonts w:asciiTheme="minorHAnsi" w:hAnsiTheme="minorHAnsi" w:cstheme="minorHAnsi"/>
          <w:sz w:val="22"/>
        </w:rPr>
        <w:t>: Agree</w:t>
      </w:r>
    </w:p>
    <w:p w14:paraId="23B1AB70" w14:textId="3586F770" w:rsidR="00181F20" w:rsidRDefault="00181F20"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 xml:space="preserve">Developing a strong communication strategy is </w:t>
      </w:r>
      <w:r w:rsidR="00192EF2">
        <w:rPr>
          <w:rFonts w:asciiTheme="minorHAnsi" w:hAnsiTheme="minorHAnsi" w:cstheme="minorHAnsi"/>
          <w:sz w:val="22"/>
        </w:rPr>
        <w:t xml:space="preserve">an </w:t>
      </w:r>
      <w:r w:rsidR="000D2440">
        <w:rPr>
          <w:rFonts w:asciiTheme="minorHAnsi" w:hAnsiTheme="minorHAnsi" w:cstheme="minorHAnsi"/>
          <w:sz w:val="22"/>
        </w:rPr>
        <w:t>activity</w:t>
      </w:r>
      <w:r>
        <w:rPr>
          <w:rFonts w:asciiTheme="minorHAnsi" w:hAnsiTheme="minorHAnsi" w:cstheme="minorHAnsi"/>
          <w:sz w:val="22"/>
        </w:rPr>
        <w:t xml:space="preserve"> in the 2017 Annual Implementation Plan. </w:t>
      </w:r>
    </w:p>
    <w:p w14:paraId="15CF610D" w14:textId="77777777" w:rsidR="000D2440" w:rsidRPr="000C398F" w:rsidRDefault="000D2440" w:rsidP="000D2440">
      <w:pPr>
        <w:pStyle w:val="Table-normal-text"/>
        <w:spacing w:before="0"/>
        <w:contextualSpacing/>
        <w:rPr>
          <w:rFonts w:asciiTheme="minorHAnsi" w:hAnsiTheme="minorHAnsi" w:cstheme="minorHAnsi"/>
          <w:sz w:val="22"/>
        </w:rPr>
      </w:pPr>
    </w:p>
    <w:p w14:paraId="3411CE88" w14:textId="37A0AEDF" w:rsidR="00AE5CA6" w:rsidRPr="00096F76" w:rsidRDefault="00AE5CA6"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13</w:t>
      </w:r>
      <w:r w:rsidRPr="00096F76">
        <w:rPr>
          <w:rFonts w:asciiTheme="minorHAnsi" w:hAnsiTheme="minorHAnsi" w:cstheme="minorHAnsi"/>
          <w:i/>
          <w:sz w:val="22"/>
        </w:rPr>
        <w:t xml:space="preserve">: </w:t>
      </w:r>
      <w:r w:rsidR="003F46E3" w:rsidRPr="00096F76">
        <w:rPr>
          <w:rFonts w:asciiTheme="minorHAnsi" w:hAnsiTheme="minorHAnsi" w:cstheme="minorHAnsi"/>
          <w:i/>
          <w:sz w:val="22"/>
        </w:rPr>
        <w:t xml:space="preserve">The VESP Secretariat continues to monitor and report to the VESP Steering Committee on the effectiveness of its capacity development activities. </w:t>
      </w:r>
    </w:p>
    <w:p w14:paraId="051DB0B5" w14:textId="77777777" w:rsidR="000D2440" w:rsidRDefault="000D2440" w:rsidP="000D2440">
      <w:pPr>
        <w:contextualSpacing/>
        <w:rPr>
          <w:rFonts w:asciiTheme="minorHAnsi" w:hAnsiTheme="minorHAnsi" w:cstheme="minorHAnsi"/>
          <w:sz w:val="22"/>
          <w:u w:val="single"/>
        </w:rPr>
      </w:pPr>
    </w:p>
    <w:p w14:paraId="3E24DEF7" w14:textId="1FCFE1FF" w:rsidR="000C398F" w:rsidRDefault="000C398F" w:rsidP="000D2440">
      <w:pPr>
        <w:contextualSpacing/>
        <w:rPr>
          <w:rFonts w:asciiTheme="minorHAnsi" w:hAnsiTheme="minorHAnsi" w:cstheme="minorHAnsi"/>
          <w:sz w:val="22"/>
        </w:rPr>
      </w:pPr>
      <w:r w:rsidRPr="000C398F">
        <w:rPr>
          <w:rFonts w:asciiTheme="minorHAnsi" w:hAnsiTheme="minorHAnsi" w:cstheme="minorHAnsi"/>
          <w:sz w:val="22"/>
          <w:u w:val="single"/>
        </w:rPr>
        <w:t>DFAT response</w:t>
      </w:r>
      <w:r>
        <w:rPr>
          <w:rFonts w:asciiTheme="minorHAnsi" w:hAnsiTheme="minorHAnsi" w:cstheme="minorHAnsi"/>
          <w:sz w:val="22"/>
        </w:rPr>
        <w:t>: Agree</w:t>
      </w:r>
    </w:p>
    <w:p w14:paraId="645A1509" w14:textId="44858C07" w:rsidR="0087200F" w:rsidRDefault="00192EF2"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Reporting on progress at Steering Committee meetings is led by Mo</w:t>
      </w:r>
      <w:r w:rsidR="0087200F">
        <w:rPr>
          <w:rFonts w:asciiTheme="minorHAnsi" w:hAnsiTheme="minorHAnsi" w:cstheme="minorHAnsi"/>
          <w:sz w:val="22"/>
        </w:rPr>
        <w:t xml:space="preserve">ET managers </w:t>
      </w:r>
      <w:r>
        <w:rPr>
          <w:rFonts w:asciiTheme="minorHAnsi" w:hAnsiTheme="minorHAnsi" w:cstheme="minorHAnsi"/>
          <w:sz w:val="22"/>
        </w:rPr>
        <w:t>responsible for this exercis</w:t>
      </w:r>
      <w:r w:rsidR="0087200F">
        <w:rPr>
          <w:rFonts w:asciiTheme="minorHAnsi" w:hAnsiTheme="minorHAnsi" w:cstheme="minorHAnsi"/>
          <w:sz w:val="22"/>
        </w:rPr>
        <w:t>e</w:t>
      </w:r>
      <w:r>
        <w:rPr>
          <w:rFonts w:asciiTheme="minorHAnsi" w:hAnsiTheme="minorHAnsi" w:cstheme="minorHAnsi"/>
          <w:sz w:val="22"/>
        </w:rPr>
        <w:t>,</w:t>
      </w:r>
      <w:r w:rsidR="0087200F">
        <w:rPr>
          <w:rFonts w:asciiTheme="minorHAnsi" w:hAnsiTheme="minorHAnsi" w:cstheme="minorHAnsi"/>
          <w:sz w:val="22"/>
        </w:rPr>
        <w:t xml:space="preserve"> with support of VESP</w:t>
      </w:r>
      <w:r>
        <w:rPr>
          <w:rFonts w:asciiTheme="minorHAnsi" w:hAnsiTheme="minorHAnsi" w:cstheme="minorHAnsi"/>
          <w:sz w:val="22"/>
        </w:rPr>
        <w:t xml:space="preserve"> advisers</w:t>
      </w:r>
      <w:r w:rsidR="0087200F">
        <w:rPr>
          <w:rFonts w:asciiTheme="minorHAnsi" w:hAnsiTheme="minorHAnsi" w:cstheme="minorHAnsi"/>
          <w:sz w:val="22"/>
        </w:rPr>
        <w:t xml:space="preserve">. </w:t>
      </w:r>
    </w:p>
    <w:p w14:paraId="2A421A48" w14:textId="77777777" w:rsidR="000D2440" w:rsidRDefault="000D2440" w:rsidP="000D2440">
      <w:pPr>
        <w:pStyle w:val="Table-normal-text"/>
        <w:spacing w:before="0"/>
        <w:contextualSpacing/>
        <w:rPr>
          <w:rFonts w:asciiTheme="minorHAnsi" w:hAnsiTheme="minorHAnsi" w:cstheme="minorHAnsi"/>
          <w:sz w:val="22"/>
        </w:rPr>
      </w:pPr>
    </w:p>
    <w:p w14:paraId="0772169F" w14:textId="75AE58FF" w:rsidR="003F46E3" w:rsidRPr="00096F76" w:rsidRDefault="003F46E3" w:rsidP="000D2440">
      <w:pPr>
        <w:shd w:val="clear" w:color="auto" w:fill="E8E8E8"/>
        <w:contextualSpacing/>
        <w:rPr>
          <w:rFonts w:asciiTheme="minorHAnsi" w:hAnsiTheme="minorHAnsi" w:cstheme="minorHAnsi"/>
          <w:i/>
          <w:sz w:val="22"/>
        </w:rPr>
      </w:pPr>
      <w:r w:rsidRPr="00096F76">
        <w:rPr>
          <w:rFonts w:asciiTheme="minorHAnsi" w:hAnsiTheme="minorHAnsi" w:cstheme="minorHAnsi"/>
          <w:i/>
          <w:sz w:val="22"/>
          <w:u w:val="single"/>
        </w:rPr>
        <w:t>Recommendation 14</w:t>
      </w:r>
      <w:r w:rsidRPr="00096F76">
        <w:rPr>
          <w:rFonts w:asciiTheme="minorHAnsi" w:hAnsiTheme="minorHAnsi" w:cstheme="minorHAnsi"/>
          <w:i/>
          <w:sz w:val="22"/>
        </w:rPr>
        <w:t>: MoET look</w:t>
      </w:r>
      <w:r w:rsidR="00140F34" w:rsidRPr="00096F76">
        <w:rPr>
          <w:rFonts w:asciiTheme="minorHAnsi" w:hAnsiTheme="minorHAnsi" w:cstheme="minorHAnsi"/>
          <w:i/>
          <w:sz w:val="22"/>
        </w:rPr>
        <w:t>s</w:t>
      </w:r>
      <w:r w:rsidRPr="00096F76">
        <w:rPr>
          <w:rFonts w:asciiTheme="minorHAnsi" w:hAnsiTheme="minorHAnsi" w:cstheme="minorHAnsi"/>
          <w:i/>
          <w:sz w:val="22"/>
        </w:rPr>
        <w:t xml:space="preserve"> to strengthen the integration of VESP within broader sector governance mechanism.  </w:t>
      </w:r>
    </w:p>
    <w:p w14:paraId="008F58A3" w14:textId="77777777" w:rsidR="000D2440" w:rsidRDefault="000D2440" w:rsidP="000D2440">
      <w:pPr>
        <w:contextualSpacing/>
        <w:rPr>
          <w:rFonts w:asciiTheme="minorHAnsi" w:hAnsiTheme="minorHAnsi" w:cstheme="minorHAnsi"/>
          <w:sz w:val="22"/>
          <w:u w:val="single"/>
        </w:rPr>
      </w:pPr>
    </w:p>
    <w:p w14:paraId="3EDA9486" w14:textId="7688FE43" w:rsidR="003F46E3" w:rsidRDefault="003F46E3" w:rsidP="000D2440">
      <w:pPr>
        <w:contextualSpacing/>
        <w:rPr>
          <w:rFonts w:asciiTheme="minorHAnsi" w:hAnsiTheme="minorHAnsi" w:cstheme="minorHAnsi"/>
          <w:sz w:val="22"/>
        </w:rPr>
      </w:pPr>
      <w:r w:rsidRPr="000C398F">
        <w:rPr>
          <w:rFonts w:asciiTheme="minorHAnsi" w:hAnsiTheme="minorHAnsi" w:cstheme="minorHAnsi"/>
          <w:sz w:val="22"/>
          <w:u w:val="single"/>
        </w:rPr>
        <w:t>DFAT response</w:t>
      </w:r>
      <w:r>
        <w:rPr>
          <w:rFonts w:asciiTheme="minorHAnsi" w:hAnsiTheme="minorHAnsi" w:cstheme="minorHAnsi"/>
          <w:sz w:val="22"/>
        </w:rPr>
        <w:t>: Agree</w:t>
      </w:r>
    </w:p>
    <w:p w14:paraId="578F3A0E" w14:textId="78046EB2" w:rsidR="000C398F" w:rsidRPr="000C398F" w:rsidRDefault="00181F20" w:rsidP="000D2440">
      <w:pPr>
        <w:pStyle w:val="Table-normal-text"/>
        <w:spacing w:before="0"/>
        <w:contextualSpacing/>
        <w:rPr>
          <w:rFonts w:asciiTheme="minorHAnsi" w:hAnsiTheme="minorHAnsi" w:cstheme="minorHAnsi"/>
          <w:sz w:val="22"/>
        </w:rPr>
      </w:pPr>
      <w:r>
        <w:rPr>
          <w:rFonts w:asciiTheme="minorHAnsi" w:hAnsiTheme="minorHAnsi" w:cstheme="minorHAnsi"/>
          <w:sz w:val="22"/>
        </w:rPr>
        <w:t>DFAT acknowledges that it is important to make sure VESP is not perceived or presented as a stand-alone program</w:t>
      </w:r>
      <w:r w:rsidR="00192EF2">
        <w:rPr>
          <w:rFonts w:asciiTheme="minorHAnsi" w:hAnsiTheme="minorHAnsi" w:cstheme="minorHAnsi"/>
          <w:sz w:val="22"/>
        </w:rPr>
        <w:t>,</w:t>
      </w:r>
      <w:r>
        <w:rPr>
          <w:rFonts w:asciiTheme="minorHAnsi" w:hAnsiTheme="minorHAnsi" w:cstheme="minorHAnsi"/>
          <w:sz w:val="22"/>
        </w:rPr>
        <w:t xml:space="preserve"> but is integrated in </w:t>
      </w:r>
      <w:r w:rsidR="00192EF2">
        <w:rPr>
          <w:rFonts w:asciiTheme="minorHAnsi" w:hAnsiTheme="minorHAnsi" w:cstheme="minorHAnsi"/>
          <w:sz w:val="22"/>
        </w:rPr>
        <w:t>MoET’s Business P</w:t>
      </w:r>
      <w:r>
        <w:rPr>
          <w:rFonts w:asciiTheme="minorHAnsi" w:hAnsiTheme="minorHAnsi" w:cstheme="minorHAnsi"/>
          <w:sz w:val="22"/>
        </w:rPr>
        <w:t xml:space="preserve">lan, Corporate </w:t>
      </w:r>
      <w:r w:rsidR="00140F34">
        <w:rPr>
          <w:rFonts w:asciiTheme="minorHAnsi" w:hAnsiTheme="minorHAnsi" w:cstheme="minorHAnsi"/>
          <w:sz w:val="22"/>
        </w:rPr>
        <w:t>P</w:t>
      </w:r>
      <w:r>
        <w:rPr>
          <w:rFonts w:asciiTheme="minorHAnsi" w:hAnsiTheme="minorHAnsi" w:cstheme="minorHAnsi"/>
          <w:sz w:val="22"/>
        </w:rPr>
        <w:t xml:space="preserve">lan and the Vanuatu Education Sector Strategy. </w:t>
      </w:r>
      <w:r w:rsidR="003B54C4">
        <w:rPr>
          <w:rFonts w:asciiTheme="minorHAnsi" w:hAnsiTheme="minorHAnsi" w:cstheme="minorHAnsi"/>
          <w:sz w:val="22"/>
        </w:rPr>
        <w:t>DFAT will work closely with MoET to ensure t</w:t>
      </w:r>
      <w:r>
        <w:rPr>
          <w:rFonts w:asciiTheme="minorHAnsi" w:hAnsiTheme="minorHAnsi" w:cstheme="minorHAnsi"/>
          <w:sz w:val="22"/>
        </w:rPr>
        <w:t xml:space="preserve">he current program and the next phase </w:t>
      </w:r>
      <w:r w:rsidR="00B155A0">
        <w:rPr>
          <w:rFonts w:asciiTheme="minorHAnsi" w:hAnsiTheme="minorHAnsi" w:cstheme="minorHAnsi"/>
          <w:sz w:val="22"/>
        </w:rPr>
        <w:t>respond</w:t>
      </w:r>
      <w:r>
        <w:rPr>
          <w:rFonts w:asciiTheme="minorHAnsi" w:hAnsiTheme="minorHAnsi" w:cstheme="minorHAnsi"/>
          <w:sz w:val="22"/>
        </w:rPr>
        <w:t xml:space="preserve"> to MoET</w:t>
      </w:r>
      <w:r w:rsidR="00A24CD9">
        <w:rPr>
          <w:rFonts w:asciiTheme="minorHAnsi" w:hAnsiTheme="minorHAnsi" w:cstheme="minorHAnsi"/>
          <w:sz w:val="22"/>
        </w:rPr>
        <w:t>’s plan and priorities</w:t>
      </w:r>
      <w:r w:rsidR="00B155A0">
        <w:rPr>
          <w:rFonts w:asciiTheme="minorHAnsi" w:hAnsiTheme="minorHAnsi" w:cstheme="minorHAnsi"/>
          <w:sz w:val="22"/>
        </w:rPr>
        <w:t>.</w:t>
      </w:r>
    </w:p>
    <w:sectPr w:rsidR="000C398F" w:rsidRPr="000C398F" w:rsidSect="00131E1E">
      <w:headerReference w:type="even" r:id="rId8"/>
      <w:headerReference w:type="default" r:id="rId9"/>
      <w:footerReference w:type="even" r:id="rId10"/>
      <w:footerReference w:type="default" r:id="rId11"/>
      <w:headerReference w:type="first" r:id="rId12"/>
      <w:footerReference w:type="first" r:id="rId13"/>
      <w:pgSz w:w="11906" w:h="16838"/>
      <w:pgMar w:top="1135" w:right="1274" w:bottom="851" w:left="1134" w:header="284"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65C8" w14:textId="77777777" w:rsidR="008D508F" w:rsidRDefault="008D508F" w:rsidP="00E2054F">
      <w:r>
        <w:separator/>
      </w:r>
    </w:p>
  </w:endnote>
  <w:endnote w:type="continuationSeparator" w:id="0">
    <w:p w14:paraId="70497C4D" w14:textId="77777777" w:rsidR="008D508F" w:rsidRDefault="008D508F"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12C7" w14:textId="77777777" w:rsidR="00BA4159" w:rsidRDefault="00BA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28371"/>
      <w:docPartObj>
        <w:docPartGallery w:val="Page Numbers (Bottom of Page)"/>
        <w:docPartUnique/>
      </w:docPartObj>
    </w:sdtPr>
    <w:sdtEndPr>
      <w:rPr>
        <w:rFonts w:asciiTheme="minorHAnsi" w:hAnsiTheme="minorHAnsi" w:cstheme="minorHAnsi"/>
        <w:noProof/>
        <w:sz w:val="20"/>
      </w:rPr>
    </w:sdtEndPr>
    <w:sdtContent>
      <w:p w14:paraId="4B1C0F77" w14:textId="3F66FC1E" w:rsidR="00192EF2" w:rsidRPr="009C5213" w:rsidRDefault="00192EF2">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3A0C1B">
          <w:rPr>
            <w:rFonts w:asciiTheme="minorHAnsi" w:hAnsiTheme="minorHAnsi" w:cstheme="minorHAnsi"/>
            <w:noProof/>
            <w:sz w:val="20"/>
          </w:rPr>
          <w:t>4</w:t>
        </w:r>
        <w:r w:rsidRPr="009C5213">
          <w:rPr>
            <w:rFonts w:asciiTheme="minorHAnsi" w:hAnsiTheme="minorHAnsi" w:cstheme="minorHAnsi"/>
            <w:noProof/>
            <w:sz w:val="20"/>
          </w:rPr>
          <w:fldChar w:fldCharType="end"/>
        </w:r>
      </w:p>
    </w:sdtContent>
  </w:sdt>
  <w:p w14:paraId="538F68FE" w14:textId="744CD05F" w:rsidR="00192EF2" w:rsidRPr="009C5213" w:rsidRDefault="00192EF2"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CAF2" w14:textId="77777777" w:rsidR="00BA4159" w:rsidRDefault="00BA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643D" w14:textId="77777777" w:rsidR="008D508F" w:rsidRDefault="008D508F" w:rsidP="00E2054F">
      <w:r>
        <w:separator/>
      </w:r>
    </w:p>
  </w:footnote>
  <w:footnote w:type="continuationSeparator" w:id="0">
    <w:p w14:paraId="4D6865C2" w14:textId="77777777" w:rsidR="008D508F" w:rsidRDefault="008D508F" w:rsidP="00E2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493C" w14:textId="77777777" w:rsidR="00BA4159" w:rsidRDefault="00BA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C832" w14:textId="3ADDF76A" w:rsidR="00192EF2" w:rsidRPr="009C5213" w:rsidRDefault="00192EF2"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7EC4" w14:textId="77777777" w:rsidR="00BA4159" w:rsidRDefault="00BA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EB6"/>
    <w:multiLevelType w:val="hybridMultilevel"/>
    <w:tmpl w:val="FA9E2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12574"/>
    <w:multiLevelType w:val="hybridMultilevel"/>
    <w:tmpl w:val="68142938"/>
    <w:lvl w:ilvl="0" w:tplc="96CA2F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69219D"/>
    <w:multiLevelType w:val="hybridMultilevel"/>
    <w:tmpl w:val="7700BAD0"/>
    <w:lvl w:ilvl="0" w:tplc="A3EE65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57D0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587B10"/>
    <w:multiLevelType w:val="hybridMultilevel"/>
    <w:tmpl w:val="EE86536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B106E"/>
    <w:multiLevelType w:val="multilevel"/>
    <w:tmpl w:val="E63A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B1139F"/>
    <w:multiLevelType w:val="hybridMultilevel"/>
    <w:tmpl w:val="BFB61CC0"/>
    <w:lvl w:ilvl="0" w:tplc="538ED9A8">
      <w:start w:val="1"/>
      <w:numFmt w:val="bullet"/>
      <w:lvlText w:val=""/>
      <w:lvlJc w:val="left"/>
      <w:pPr>
        <w:tabs>
          <w:tab w:val="num" w:pos="720"/>
        </w:tabs>
        <w:ind w:left="720" w:hanging="360"/>
      </w:pPr>
      <w:rPr>
        <w:rFonts w:ascii="Wingdings 2" w:hAnsi="Wingdings 2" w:hint="default"/>
      </w:rPr>
    </w:lvl>
    <w:lvl w:ilvl="1" w:tplc="C466FCBC">
      <w:start w:val="1"/>
      <w:numFmt w:val="bullet"/>
      <w:lvlText w:val=""/>
      <w:lvlJc w:val="left"/>
      <w:pPr>
        <w:tabs>
          <w:tab w:val="num" w:pos="1440"/>
        </w:tabs>
        <w:ind w:left="1440" w:hanging="360"/>
      </w:pPr>
      <w:rPr>
        <w:rFonts w:ascii="Wingdings 2" w:hAnsi="Wingdings 2" w:hint="default"/>
      </w:rPr>
    </w:lvl>
    <w:lvl w:ilvl="2" w:tplc="797604FC" w:tentative="1">
      <w:start w:val="1"/>
      <w:numFmt w:val="bullet"/>
      <w:lvlText w:val=""/>
      <w:lvlJc w:val="left"/>
      <w:pPr>
        <w:tabs>
          <w:tab w:val="num" w:pos="2160"/>
        </w:tabs>
        <w:ind w:left="2160" w:hanging="360"/>
      </w:pPr>
      <w:rPr>
        <w:rFonts w:ascii="Wingdings 2" w:hAnsi="Wingdings 2" w:hint="default"/>
      </w:rPr>
    </w:lvl>
    <w:lvl w:ilvl="3" w:tplc="71C07758" w:tentative="1">
      <w:start w:val="1"/>
      <w:numFmt w:val="bullet"/>
      <w:lvlText w:val=""/>
      <w:lvlJc w:val="left"/>
      <w:pPr>
        <w:tabs>
          <w:tab w:val="num" w:pos="2880"/>
        </w:tabs>
        <w:ind w:left="2880" w:hanging="360"/>
      </w:pPr>
      <w:rPr>
        <w:rFonts w:ascii="Wingdings 2" w:hAnsi="Wingdings 2" w:hint="default"/>
      </w:rPr>
    </w:lvl>
    <w:lvl w:ilvl="4" w:tplc="E2A20830" w:tentative="1">
      <w:start w:val="1"/>
      <w:numFmt w:val="bullet"/>
      <w:lvlText w:val=""/>
      <w:lvlJc w:val="left"/>
      <w:pPr>
        <w:tabs>
          <w:tab w:val="num" w:pos="3600"/>
        </w:tabs>
        <w:ind w:left="3600" w:hanging="360"/>
      </w:pPr>
      <w:rPr>
        <w:rFonts w:ascii="Wingdings 2" w:hAnsi="Wingdings 2" w:hint="default"/>
      </w:rPr>
    </w:lvl>
    <w:lvl w:ilvl="5" w:tplc="8A10EB92" w:tentative="1">
      <w:start w:val="1"/>
      <w:numFmt w:val="bullet"/>
      <w:lvlText w:val=""/>
      <w:lvlJc w:val="left"/>
      <w:pPr>
        <w:tabs>
          <w:tab w:val="num" w:pos="4320"/>
        </w:tabs>
        <w:ind w:left="4320" w:hanging="360"/>
      </w:pPr>
      <w:rPr>
        <w:rFonts w:ascii="Wingdings 2" w:hAnsi="Wingdings 2" w:hint="default"/>
      </w:rPr>
    </w:lvl>
    <w:lvl w:ilvl="6" w:tplc="CEBA60EC" w:tentative="1">
      <w:start w:val="1"/>
      <w:numFmt w:val="bullet"/>
      <w:lvlText w:val=""/>
      <w:lvlJc w:val="left"/>
      <w:pPr>
        <w:tabs>
          <w:tab w:val="num" w:pos="5040"/>
        </w:tabs>
        <w:ind w:left="5040" w:hanging="360"/>
      </w:pPr>
      <w:rPr>
        <w:rFonts w:ascii="Wingdings 2" w:hAnsi="Wingdings 2" w:hint="default"/>
      </w:rPr>
    </w:lvl>
    <w:lvl w:ilvl="7" w:tplc="A6D2476E" w:tentative="1">
      <w:start w:val="1"/>
      <w:numFmt w:val="bullet"/>
      <w:lvlText w:val=""/>
      <w:lvlJc w:val="left"/>
      <w:pPr>
        <w:tabs>
          <w:tab w:val="num" w:pos="5760"/>
        </w:tabs>
        <w:ind w:left="5760" w:hanging="360"/>
      </w:pPr>
      <w:rPr>
        <w:rFonts w:ascii="Wingdings 2" w:hAnsi="Wingdings 2" w:hint="default"/>
      </w:rPr>
    </w:lvl>
    <w:lvl w:ilvl="8" w:tplc="C646DD6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2D04E29"/>
    <w:multiLevelType w:val="hybridMultilevel"/>
    <w:tmpl w:val="A456E0F6"/>
    <w:lvl w:ilvl="0" w:tplc="0C090001">
      <w:start w:val="1"/>
      <w:numFmt w:val="bullet"/>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42C6D"/>
    <w:multiLevelType w:val="hybridMultilevel"/>
    <w:tmpl w:val="1FD44984"/>
    <w:lvl w:ilvl="0" w:tplc="A53EC748">
      <w:start w:val="7"/>
      <w:numFmt w:val="decimal"/>
      <w:lvlText w:val="%1."/>
      <w:lvlJc w:val="left"/>
      <w:pPr>
        <w:tabs>
          <w:tab w:val="num" w:pos="720"/>
        </w:tabs>
        <w:ind w:left="720" w:hanging="360"/>
      </w:pPr>
    </w:lvl>
    <w:lvl w:ilvl="1" w:tplc="8CE21C3C" w:tentative="1">
      <w:start w:val="1"/>
      <w:numFmt w:val="decimal"/>
      <w:lvlText w:val="%2."/>
      <w:lvlJc w:val="left"/>
      <w:pPr>
        <w:tabs>
          <w:tab w:val="num" w:pos="1440"/>
        </w:tabs>
        <w:ind w:left="1440" w:hanging="360"/>
      </w:pPr>
    </w:lvl>
    <w:lvl w:ilvl="2" w:tplc="6A629AE6" w:tentative="1">
      <w:start w:val="1"/>
      <w:numFmt w:val="decimal"/>
      <w:lvlText w:val="%3."/>
      <w:lvlJc w:val="left"/>
      <w:pPr>
        <w:tabs>
          <w:tab w:val="num" w:pos="2160"/>
        </w:tabs>
        <w:ind w:left="2160" w:hanging="360"/>
      </w:pPr>
    </w:lvl>
    <w:lvl w:ilvl="3" w:tplc="DD0E0DE4" w:tentative="1">
      <w:start w:val="1"/>
      <w:numFmt w:val="decimal"/>
      <w:lvlText w:val="%4."/>
      <w:lvlJc w:val="left"/>
      <w:pPr>
        <w:tabs>
          <w:tab w:val="num" w:pos="2880"/>
        </w:tabs>
        <w:ind w:left="2880" w:hanging="360"/>
      </w:pPr>
    </w:lvl>
    <w:lvl w:ilvl="4" w:tplc="52EA5CBC" w:tentative="1">
      <w:start w:val="1"/>
      <w:numFmt w:val="decimal"/>
      <w:lvlText w:val="%5."/>
      <w:lvlJc w:val="left"/>
      <w:pPr>
        <w:tabs>
          <w:tab w:val="num" w:pos="3600"/>
        </w:tabs>
        <w:ind w:left="3600" w:hanging="360"/>
      </w:pPr>
    </w:lvl>
    <w:lvl w:ilvl="5" w:tplc="F4E23D7C" w:tentative="1">
      <w:start w:val="1"/>
      <w:numFmt w:val="decimal"/>
      <w:lvlText w:val="%6."/>
      <w:lvlJc w:val="left"/>
      <w:pPr>
        <w:tabs>
          <w:tab w:val="num" w:pos="4320"/>
        </w:tabs>
        <w:ind w:left="4320" w:hanging="360"/>
      </w:pPr>
    </w:lvl>
    <w:lvl w:ilvl="6" w:tplc="496E6444" w:tentative="1">
      <w:start w:val="1"/>
      <w:numFmt w:val="decimal"/>
      <w:lvlText w:val="%7."/>
      <w:lvlJc w:val="left"/>
      <w:pPr>
        <w:tabs>
          <w:tab w:val="num" w:pos="5040"/>
        </w:tabs>
        <w:ind w:left="5040" w:hanging="360"/>
      </w:pPr>
    </w:lvl>
    <w:lvl w:ilvl="7" w:tplc="11949E70" w:tentative="1">
      <w:start w:val="1"/>
      <w:numFmt w:val="decimal"/>
      <w:lvlText w:val="%8."/>
      <w:lvlJc w:val="left"/>
      <w:pPr>
        <w:tabs>
          <w:tab w:val="num" w:pos="5760"/>
        </w:tabs>
        <w:ind w:left="5760" w:hanging="360"/>
      </w:pPr>
    </w:lvl>
    <w:lvl w:ilvl="8" w:tplc="ABF2D8EE" w:tentative="1">
      <w:start w:val="1"/>
      <w:numFmt w:val="decimal"/>
      <w:lvlText w:val="%9."/>
      <w:lvlJc w:val="left"/>
      <w:pPr>
        <w:tabs>
          <w:tab w:val="num" w:pos="6480"/>
        </w:tabs>
        <w:ind w:left="6480" w:hanging="360"/>
      </w:pPr>
    </w:lvl>
  </w:abstractNum>
  <w:abstractNum w:abstractNumId="9" w15:restartNumberingAfterBreak="0">
    <w:nsid w:val="3D96632A"/>
    <w:multiLevelType w:val="hybridMultilevel"/>
    <w:tmpl w:val="5E00B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0B433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AA6AD8"/>
    <w:multiLevelType w:val="hybridMultilevel"/>
    <w:tmpl w:val="3D2633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2156456"/>
    <w:multiLevelType w:val="hybridMultilevel"/>
    <w:tmpl w:val="EAEC0A2C"/>
    <w:lvl w:ilvl="0" w:tplc="BBA42190">
      <w:start w:val="5"/>
      <w:numFmt w:val="decimal"/>
      <w:lvlText w:val="%1."/>
      <w:lvlJc w:val="left"/>
      <w:pPr>
        <w:tabs>
          <w:tab w:val="num" w:pos="720"/>
        </w:tabs>
        <w:ind w:left="720" w:hanging="360"/>
      </w:pPr>
    </w:lvl>
    <w:lvl w:ilvl="1" w:tplc="0CAA5430" w:tentative="1">
      <w:start w:val="1"/>
      <w:numFmt w:val="decimal"/>
      <w:lvlText w:val="%2."/>
      <w:lvlJc w:val="left"/>
      <w:pPr>
        <w:tabs>
          <w:tab w:val="num" w:pos="1440"/>
        </w:tabs>
        <w:ind w:left="1440" w:hanging="360"/>
      </w:pPr>
    </w:lvl>
    <w:lvl w:ilvl="2" w:tplc="4C724ABA" w:tentative="1">
      <w:start w:val="1"/>
      <w:numFmt w:val="decimal"/>
      <w:lvlText w:val="%3."/>
      <w:lvlJc w:val="left"/>
      <w:pPr>
        <w:tabs>
          <w:tab w:val="num" w:pos="2160"/>
        </w:tabs>
        <w:ind w:left="2160" w:hanging="360"/>
      </w:pPr>
    </w:lvl>
    <w:lvl w:ilvl="3" w:tplc="15385ACA" w:tentative="1">
      <w:start w:val="1"/>
      <w:numFmt w:val="decimal"/>
      <w:lvlText w:val="%4."/>
      <w:lvlJc w:val="left"/>
      <w:pPr>
        <w:tabs>
          <w:tab w:val="num" w:pos="2880"/>
        </w:tabs>
        <w:ind w:left="2880" w:hanging="360"/>
      </w:pPr>
    </w:lvl>
    <w:lvl w:ilvl="4" w:tplc="89089FF0" w:tentative="1">
      <w:start w:val="1"/>
      <w:numFmt w:val="decimal"/>
      <w:lvlText w:val="%5."/>
      <w:lvlJc w:val="left"/>
      <w:pPr>
        <w:tabs>
          <w:tab w:val="num" w:pos="3600"/>
        </w:tabs>
        <w:ind w:left="3600" w:hanging="360"/>
      </w:pPr>
    </w:lvl>
    <w:lvl w:ilvl="5" w:tplc="6A04A2DA" w:tentative="1">
      <w:start w:val="1"/>
      <w:numFmt w:val="decimal"/>
      <w:lvlText w:val="%6."/>
      <w:lvlJc w:val="left"/>
      <w:pPr>
        <w:tabs>
          <w:tab w:val="num" w:pos="4320"/>
        </w:tabs>
        <w:ind w:left="4320" w:hanging="360"/>
      </w:pPr>
    </w:lvl>
    <w:lvl w:ilvl="6" w:tplc="3248456A" w:tentative="1">
      <w:start w:val="1"/>
      <w:numFmt w:val="decimal"/>
      <w:lvlText w:val="%7."/>
      <w:lvlJc w:val="left"/>
      <w:pPr>
        <w:tabs>
          <w:tab w:val="num" w:pos="5040"/>
        </w:tabs>
        <w:ind w:left="5040" w:hanging="360"/>
      </w:pPr>
    </w:lvl>
    <w:lvl w:ilvl="7" w:tplc="43F2EAC2" w:tentative="1">
      <w:start w:val="1"/>
      <w:numFmt w:val="decimal"/>
      <w:lvlText w:val="%8."/>
      <w:lvlJc w:val="left"/>
      <w:pPr>
        <w:tabs>
          <w:tab w:val="num" w:pos="5760"/>
        </w:tabs>
        <w:ind w:left="5760" w:hanging="360"/>
      </w:pPr>
    </w:lvl>
    <w:lvl w:ilvl="8" w:tplc="CD42EACC" w:tentative="1">
      <w:start w:val="1"/>
      <w:numFmt w:val="decimal"/>
      <w:lvlText w:val="%9."/>
      <w:lvlJc w:val="left"/>
      <w:pPr>
        <w:tabs>
          <w:tab w:val="num" w:pos="6480"/>
        </w:tabs>
        <w:ind w:left="6480" w:hanging="360"/>
      </w:pPr>
    </w:lvl>
  </w:abstractNum>
  <w:abstractNum w:abstractNumId="13" w15:restartNumberingAfterBreak="0">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1672E6"/>
    <w:multiLevelType w:val="hybridMultilevel"/>
    <w:tmpl w:val="56BE2E74"/>
    <w:lvl w:ilvl="0" w:tplc="89E485AE">
      <w:numFmt w:val="bullet"/>
      <w:lvlText w:val="•"/>
      <w:lvlJc w:val="left"/>
      <w:pPr>
        <w:ind w:left="413" w:hanging="284"/>
      </w:pPr>
      <w:rPr>
        <w:rFonts w:ascii="Cambria" w:eastAsia="Cambria" w:hAnsi="Cambria" w:cs="Cambria" w:hint="default"/>
        <w:w w:val="104"/>
        <w:sz w:val="16"/>
        <w:szCs w:val="16"/>
      </w:rPr>
    </w:lvl>
    <w:lvl w:ilvl="1" w:tplc="DC4045CE">
      <w:numFmt w:val="bullet"/>
      <w:lvlText w:val="•"/>
      <w:lvlJc w:val="left"/>
      <w:pPr>
        <w:ind w:left="950" w:hanging="284"/>
      </w:pPr>
      <w:rPr>
        <w:rFonts w:hint="default"/>
      </w:rPr>
    </w:lvl>
    <w:lvl w:ilvl="2" w:tplc="804A1104">
      <w:numFmt w:val="bullet"/>
      <w:lvlText w:val="•"/>
      <w:lvlJc w:val="left"/>
      <w:pPr>
        <w:ind w:left="1480" w:hanging="284"/>
      </w:pPr>
      <w:rPr>
        <w:rFonts w:hint="default"/>
      </w:rPr>
    </w:lvl>
    <w:lvl w:ilvl="3" w:tplc="31FE522A">
      <w:numFmt w:val="bullet"/>
      <w:lvlText w:val="•"/>
      <w:lvlJc w:val="left"/>
      <w:pPr>
        <w:ind w:left="2011" w:hanging="284"/>
      </w:pPr>
      <w:rPr>
        <w:rFonts w:hint="default"/>
      </w:rPr>
    </w:lvl>
    <w:lvl w:ilvl="4" w:tplc="8FD0BE08">
      <w:numFmt w:val="bullet"/>
      <w:lvlText w:val="•"/>
      <w:lvlJc w:val="left"/>
      <w:pPr>
        <w:ind w:left="2541" w:hanging="284"/>
      </w:pPr>
      <w:rPr>
        <w:rFonts w:hint="default"/>
      </w:rPr>
    </w:lvl>
    <w:lvl w:ilvl="5" w:tplc="D4626CC4">
      <w:numFmt w:val="bullet"/>
      <w:lvlText w:val="•"/>
      <w:lvlJc w:val="left"/>
      <w:pPr>
        <w:ind w:left="3072" w:hanging="284"/>
      </w:pPr>
      <w:rPr>
        <w:rFonts w:hint="default"/>
      </w:rPr>
    </w:lvl>
    <w:lvl w:ilvl="6" w:tplc="2978601E">
      <w:numFmt w:val="bullet"/>
      <w:lvlText w:val="•"/>
      <w:lvlJc w:val="left"/>
      <w:pPr>
        <w:ind w:left="3602" w:hanging="284"/>
      </w:pPr>
      <w:rPr>
        <w:rFonts w:hint="default"/>
      </w:rPr>
    </w:lvl>
    <w:lvl w:ilvl="7" w:tplc="D682EAD8">
      <w:numFmt w:val="bullet"/>
      <w:lvlText w:val="•"/>
      <w:lvlJc w:val="left"/>
      <w:pPr>
        <w:ind w:left="4133" w:hanging="284"/>
      </w:pPr>
      <w:rPr>
        <w:rFonts w:hint="default"/>
      </w:rPr>
    </w:lvl>
    <w:lvl w:ilvl="8" w:tplc="258831AA">
      <w:numFmt w:val="bullet"/>
      <w:lvlText w:val="•"/>
      <w:lvlJc w:val="left"/>
      <w:pPr>
        <w:ind w:left="4663" w:hanging="284"/>
      </w:pPr>
      <w:rPr>
        <w:rFonts w:hint="default"/>
      </w:rPr>
    </w:lvl>
  </w:abstractNum>
  <w:abstractNum w:abstractNumId="15" w15:restartNumberingAfterBreak="0">
    <w:nsid w:val="482A253F"/>
    <w:multiLevelType w:val="hybridMultilevel"/>
    <w:tmpl w:val="14B240D8"/>
    <w:lvl w:ilvl="0" w:tplc="2F6C9104">
      <w:start w:val="1"/>
      <w:numFmt w:val="decimal"/>
      <w:lvlText w:val="%1."/>
      <w:lvlJc w:val="left"/>
      <w:pPr>
        <w:tabs>
          <w:tab w:val="num" w:pos="720"/>
        </w:tabs>
        <w:ind w:left="720" w:hanging="360"/>
      </w:pPr>
    </w:lvl>
    <w:lvl w:ilvl="1" w:tplc="B2E0B26C" w:tentative="1">
      <w:start w:val="1"/>
      <w:numFmt w:val="decimal"/>
      <w:lvlText w:val="%2."/>
      <w:lvlJc w:val="left"/>
      <w:pPr>
        <w:tabs>
          <w:tab w:val="num" w:pos="1440"/>
        </w:tabs>
        <w:ind w:left="1440" w:hanging="360"/>
      </w:pPr>
    </w:lvl>
    <w:lvl w:ilvl="2" w:tplc="738E80DA" w:tentative="1">
      <w:start w:val="1"/>
      <w:numFmt w:val="decimal"/>
      <w:lvlText w:val="%3."/>
      <w:lvlJc w:val="left"/>
      <w:pPr>
        <w:tabs>
          <w:tab w:val="num" w:pos="2160"/>
        </w:tabs>
        <w:ind w:left="2160" w:hanging="360"/>
      </w:pPr>
    </w:lvl>
    <w:lvl w:ilvl="3" w:tplc="A984D412" w:tentative="1">
      <w:start w:val="1"/>
      <w:numFmt w:val="decimal"/>
      <w:lvlText w:val="%4."/>
      <w:lvlJc w:val="left"/>
      <w:pPr>
        <w:tabs>
          <w:tab w:val="num" w:pos="2880"/>
        </w:tabs>
        <w:ind w:left="2880" w:hanging="360"/>
      </w:pPr>
    </w:lvl>
    <w:lvl w:ilvl="4" w:tplc="5D64448E" w:tentative="1">
      <w:start w:val="1"/>
      <w:numFmt w:val="decimal"/>
      <w:lvlText w:val="%5."/>
      <w:lvlJc w:val="left"/>
      <w:pPr>
        <w:tabs>
          <w:tab w:val="num" w:pos="3600"/>
        </w:tabs>
        <w:ind w:left="3600" w:hanging="360"/>
      </w:pPr>
    </w:lvl>
    <w:lvl w:ilvl="5" w:tplc="63D0A8C2" w:tentative="1">
      <w:start w:val="1"/>
      <w:numFmt w:val="decimal"/>
      <w:lvlText w:val="%6."/>
      <w:lvlJc w:val="left"/>
      <w:pPr>
        <w:tabs>
          <w:tab w:val="num" w:pos="4320"/>
        </w:tabs>
        <w:ind w:left="4320" w:hanging="360"/>
      </w:pPr>
    </w:lvl>
    <w:lvl w:ilvl="6" w:tplc="8FE00048" w:tentative="1">
      <w:start w:val="1"/>
      <w:numFmt w:val="decimal"/>
      <w:lvlText w:val="%7."/>
      <w:lvlJc w:val="left"/>
      <w:pPr>
        <w:tabs>
          <w:tab w:val="num" w:pos="5040"/>
        </w:tabs>
        <w:ind w:left="5040" w:hanging="360"/>
      </w:pPr>
    </w:lvl>
    <w:lvl w:ilvl="7" w:tplc="3BFA5F24" w:tentative="1">
      <w:start w:val="1"/>
      <w:numFmt w:val="decimal"/>
      <w:lvlText w:val="%8."/>
      <w:lvlJc w:val="left"/>
      <w:pPr>
        <w:tabs>
          <w:tab w:val="num" w:pos="5760"/>
        </w:tabs>
        <w:ind w:left="5760" w:hanging="360"/>
      </w:pPr>
    </w:lvl>
    <w:lvl w:ilvl="8" w:tplc="71FC7582" w:tentative="1">
      <w:start w:val="1"/>
      <w:numFmt w:val="decimal"/>
      <w:lvlText w:val="%9."/>
      <w:lvlJc w:val="left"/>
      <w:pPr>
        <w:tabs>
          <w:tab w:val="num" w:pos="6480"/>
        </w:tabs>
        <w:ind w:left="6480" w:hanging="360"/>
      </w:pPr>
    </w:lvl>
  </w:abstractNum>
  <w:abstractNum w:abstractNumId="16" w15:restartNumberingAfterBreak="0">
    <w:nsid w:val="4D085FE4"/>
    <w:multiLevelType w:val="hybridMultilevel"/>
    <w:tmpl w:val="E9121D24"/>
    <w:lvl w:ilvl="0" w:tplc="4D4E0DEE">
      <w:start w:val="1"/>
      <w:numFmt w:val="decimal"/>
      <w:lvlText w:val="%1."/>
      <w:lvlJc w:val="left"/>
      <w:pPr>
        <w:tabs>
          <w:tab w:val="num" w:pos="720"/>
        </w:tabs>
        <w:ind w:left="720" w:hanging="360"/>
      </w:pPr>
    </w:lvl>
    <w:lvl w:ilvl="1" w:tplc="BA5C0C6A" w:tentative="1">
      <w:start w:val="1"/>
      <w:numFmt w:val="decimal"/>
      <w:lvlText w:val="%2."/>
      <w:lvlJc w:val="left"/>
      <w:pPr>
        <w:tabs>
          <w:tab w:val="num" w:pos="1440"/>
        </w:tabs>
        <w:ind w:left="1440" w:hanging="360"/>
      </w:pPr>
    </w:lvl>
    <w:lvl w:ilvl="2" w:tplc="90FEDEB6" w:tentative="1">
      <w:start w:val="1"/>
      <w:numFmt w:val="decimal"/>
      <w:lvlText w:val="%3."/>
      <w:lvlJc w:val="left"/>
      <w:pPr>
        <w:tabs>
          <w:tab w:val="num" w:pos="2160"/>
        </w:tabs>
        <w:ind w:left="2160" w:hanging="360"/>
      </w:pPr>
    </w:lvl>
    <w:lvl w:ilvl="3" w:tplc="910A9C98" w:tentative="1">
      <w:start w:val="1"/>
      <w:numFmt w:val="decimal"/>
      <w:lvlText w:val="%4."/>
      <w:lvlJc w:val="left"/>
      <w:pPr>
        <w:tabs>
          <w:tab w:val="num" w:pos="2880"/>
        </w:tabs>
        <w:ind w:left="2880" w:hanging="360"/>
      </w:pPr>
    </w:lvl>
    <w:lvl w:ilvl="4" w:tplc="E81068A2" w:tentative="1">
      <w:start w:val="1"/>
      <w:numFmt w:val="decimal"/>
      <w:lvlText w:val="%5."/>
      <w:lvlJc w:val="left"/>
      <w:pPr>
        <w:tabs>
          <w:tab w:val="num" w:pos="3600"/>
        </w:tabs>
        <w:ind w:left="3600" w:hanging="360"/>
      </w:pPr>
    </w:lvl>
    <w:lvl w:ilvl="5" w:tplc="94445A68" w:tentative="1">
      <w:start w:val="1"/>
      <w:numFmt w:val="decimal"/>
      <w:lvlText w:val="%6."/>
      <w:lvlJc w:val="left"/>
      <w:pPr>
        <w:tabs>
          <w:tab w:val="num" w:pos="4320"/>
        </w:tabs>
        <w:ind w:left="4320" w:hanging="360"/>
      </w:pPr>
    </w:lvl>
    <w:lvl w:ilvl="6" w:tplc="B6764DD0" w:tentative="1">
      <w:start w:val="1"/>
      <w:numFmt w:val="decimal"/>
      <w:lvlText w:val="%7."/>
      <w:lvlJc w:val="left"/>
      <w:pPr>
        <w:tabs>
          <w:tab w:val="num" w:pos="5040"/>
        </w:tabs>
        <w:ind w:left="5040" w:hanging="360"/>
      </w:pPr>
    </w:lvl>
    <w:lvl w:ilvl="7" w:tplc="82A42E22" w:tentative="1">
      <w:start w:val="1"/>
      <w:numFmt w:val="decimal"/>
      <w:lvlText w:val="%8."/>
      <w:lvlJc w:val="left"/>
      <w:pPr>
        <w:tabs>
          <w:tab w:val="num" w:pos="5760"/>
        </w:tabs>
        <w:ind w:left="5760" w:hanging="360"/>
      </w:pPr>
    </w:lvl>
    <w:lvl w:ilvl="8" w:tplc="3D346F3C" w:tentative="1">
      <w:start w:val="1"/>
      <w:numFmt w:val="decimal"/>
      <w:lvlText w:val="%9."/>
      <w:lvlJc w:val="left"/>
      <w:pPr>
        <w:tabs>
          <w:tab w:val="num" w:pos="6480"/>
        </w:tabs>
        <w:ind w:left="6480" w:hanging="360"/>
      </w:pPr>
    </w:lvl>
  </w:abstractNum>
  <w:abstractNum w:abstractNumId="17" w15:restartNumberingAfterBreak="0">
    <w:nsid w:val="54C30FAA"/>
    <w:multiLevelType w:val="hybridMultilevel"/>
    <w:tmpl w:val="D30AD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F15360"/>
    <w:multiLevelType w:val="hybridMultilevel"/>
    <w:tmpl w:val="944A7086"/>
    <w:lvl w:ilvl="0" w:tplc="2EF8325C">
      <w:start w:val="1"/>
      <w:numFmt w:val="decimal"/>
      <w:lvlText w:val="%1."/>
      <w:lvlJc w:val="left"/>
      <w:pPr>
        <w:tabs>
          <w:tab w:val="num" w:pos="720"/>
        </w:tabs>
        <w:ind w:left="720" w:hanging="360"/>
      </w:pPr>
    </w:lvl>
    <w:lvl w:ilvl="1" w:tplc="560EEED6" w:tentative="1">
      <w:start w:val="1"/>
      <w:numFmt w:val="decimal"/>
      <w:lvlText w:val="%2."/>
      <w:lvlJc w:val="left"/>
      <w:pPr>
        <w:tabs>
          <w:tab w:val="num" w:pos="1440"/>
        </w:tabs>
        <w:ind w:left="1440" w:hanging="360"/>
      </w:pPr>
    </w:lvl>
    <w:lvl w:ilvl="2" w:tplc="1D3033DC" w:tentative="1">
      <w:start w:val="1"/>
      <w:numFmt w:val="decimal"/>
      <w:lvlText w:val="%3."/>
      <w:lvlJc w:val="left"/>
      <w:pPr>
        <w:tabs>
          <w:tab w:val="num" w:pos="2160"/>
        </w:tabs>
        <w:ind w:left="2160" w:hanging="360"/>
      </w:pPr>
    </w:lvl>
    <w:lvl w:ilvl="3" w:tplc="F288FA86" w:tentative="1">
      <w:start w:val="1"/>
      <w:numFmt w:val="decimal"/>
      <w:lvlText w:val="%4."/>
      <w:lvlJc w:val="left"/>
      <w:pPr>
        <w:tabs>
          <w:tab w:val="num" w:pos="2880"/>
        </w:tabs>
        <w:ind w:left="2880" w:hanging="360"/>
      </w:pPr>
    </w:lvl>
    <w:lvl w:ilvl="4" w:tplc="69D47D20" w:tentative="1">
      <w:start w:val="1"/>
      <w:numFmt w:val="decimal"/>
      <w:lvlText w:val="%5."/>
      <w:lvlJc w:val="left"/>
      <w:pPr>
        <w:tabs>
          <w:tab w:val="num" w:pos="3600"/>
        </w:tabs>
        <w:ind w:left="3600" w:hanging="360"/>
      </w:pPr>
    </w:lvl>
    <w:lvl w:ilvl="5" w:tplc="CB006616" w:tentative="1">
      <w:start w:val="1"/>
      <w:numFmt w:val="decimal"/>
      <w:lvlText w:val="%6."/>
      <w:lvlJc w:val="left"/>
      <w:pPr>
        <w:tabs>
          <w:tab w:val="num" w:pos="4320"/>
        </w:tabs>
        <w:ind w:left="4320" w:hanging="360"/>
      </w:pPr>
    </w:lvl>
    <w:lvl w:ilvl="6" w:tplc="F06E7018" w:tentative="1">
      <w:start w:val="1"/>
      <w:numFmt w:val="decimal"/>
      <w:lvlText w:val="%7."/>
      <w:lvlJc w:val="left"/>
      <w:pPr>
        <w:tabs>
          <w:tab w:val="num" w:pos="5040"/>
        </w:tabs>
        <w:ind w:left="5040" w:hanging="360"/>
      </w:pPr>
    </w:lvl>
    <w:lvl w:ilvl="7" w:tplc="A89631B4" w:tentative="1">
      <w:start w:val="1"/>
      <w:numFmt w:val="decimal"/>
      <w:lvlText w:val="%8."/>
      <w:lvlJc w:val="left"/>
      <w:pPr>
        <w:tabs>
          <w:tab w:val="num" w:pos="5760"/>
        </w:tabs>
        <w:ind w:left="5760" w:hanging="360"/>
      </w:pPr>
    </w:lvl>
    <w:lvl w:ilvl="8" w:tplc="33884E18" w:tentative="1">
      <w:start w:val="1"/>
      <w:numFmt w:val="decimal"/>
      <w:lvlText w:val="%9."/>
      <w:lvlJc w:val="left"/>
      <w:pPr>
        <w:tabs>
          <w:tab w:val="num" w:pos="6480"/>
        </w:tabs>
        <w:ind w:left="6480" w:hanging="360"/>
      </w:pPr>
    </w:lvl>
  </w:abstractNum>
  <w:abstractNum w:abstractNumId="20" w15:restartNumberingAfterBreak="0">
    <w:nsid w:val="6D6A3DDD"/>
    <w:multiLevelType w:val="hybridMultilevel"/>
    <w:tmpl w:val="D652A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6204B5"/>
    <w:multiLevelType w:val="hybridMultilevel"/>
    <w:tmpl w:val="068C6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726980"/>
    <w:multiLevelType w:val="hybridMultilevel"/>
    <w:tmpl w:val="24B484AA"/>
    <w:lvl w:ilvl="0" w:tplc="FC0C14CA">
      <w:start w:val="1"/>
      <w:numFmt w:val="bullet"/>
      <w:lvlText w:val=""/>
      <w:lvlJc w:val="left"/>
      <w:pPr>
        <w:tabs>
          <w:tab w:val="num" w:pos="720"/>
        </w:tabs>
        <w:ind w:left="720" w:hanging="360"/>
      </w:pPr>
      <w:rPr>
        <w:rFonts w:ascii="Wingdings" w:hAnsi="Wingdings" w:hint="default"/>
      </w:rPr>
    </w:lvl>
    <w:lvl w:ilvl="1" w:tplc="107EF388" w:tentative="1">
      <w:start w:val="1"/>
      <w:numFmt w:val="bullet"/>
      <w:lvlText w:val=""/>
      <w:lvlJc w:val="left"/>
      <w:pPr>
        <w:tabs>
          <w:tab w:val="num" w:pos="1440"/>
        </w:tabs>
        <w:ind w:left="1440" w:hanging="360"/>
      </w:pPr>
      <w:rPr>
        <w:rFonts w:ascii="Wingdings" w:hAnsi="Wingdings" w:hint="default"/>
      </w:rPr>
    </w:lvl>
    <w:lvl w:ilvl="2" w:tplc="6526FAA2" w:tentative="1">
      <w:start w:val="1"/>
      <w:numFmt w:val="bullet"/>
      <w:lvlText w:val=""/>
      <w:lvlJc w:val="left"/>
      <w:pPr>
        <w:tabs>
          <w:tab w:val="num" w:pos="2160"/>
        </w:tabs>
        <w:ind w:left="2160" w:hanging="360"/>
      </w:pPr>
      <w:rPr>
        <w:rFonts w:ascii="Wingdings" w:hAnsi="Wingdings" w:hint="default"/>
      </w:rPr>
    </w:lvl>
    <w:lvl w:ilvl="3" w:tplc="CA92BADA" w:tentative="1">
      <w:start w:val="1"/>
      <w:numFmt w:val="bullet"/>
      <w:lvlText w:val=""/>
      <w:lvlJc w:val="left"/>
      <w:pPr>
        <w:tabs>
          <w:tab w:val="num" w:pos="2880"/>
        </w:tabs>
        <w:ind w:left="2880" w:hanging="360"/>
      </w:pPr>
      <w:rPr>
        <w:rFonts w:ascii="Wingdings" w:hAnsi="Wingdings" w:hint="default"/>
      </w:rPr>
    </w:lvl>
    <w:lvl w:ilvl="4" w:tplc="B3682546" w:tentative="1">
      <w:start w:val="1"/>
      <w:numFmt w:val="bullet"/>
      <w:lvlText w:val=""/>
      <w:lvlJc w:val="left"/>
      <w:pPr>
        <w:tabs>
          <w:tab w:val="num" w:pos="3600"/>
        </w:tabs>
        <w:ind w:left="3600" w:hanging="360"/>
      </w:pPr>
      <w:rPr>
        <w:rFonts w:ascii="Wingdings" w:hAnsi="Wingdings" w:hint="default"/>
      </w:rPr>
    </w:lvl>
    <w:lvl w:ilvl="5" w:tplc="7A34B9B4" w:tentative="1">
      <w:start w:val="1"/>
      <w:numFmt w:val="bullet"/>
      <w:lvlText w:val=""/>
      <w:lvlJc w:val="left"/>
      <w:pPr>
        <w:tabs>
          <w:tab w:val="num" w:pos="4320"/>
        </w:tabs>
        <w:ind w:left="4320" w:hanging="360"/>
      </w:pPr>
      <w:rPr>
        <w:rFonts w:ascii="Wingdings" w:hAnsi="Wingdings" w:hint="default"/>
      </w:rPr>
    </w:lvl>
    <w:lvl w:ilvl="6" w:tplc="E408C9A6" w:tentative="1">
      <w:start w:val="1"/>
      <w:numFmt w:val="bullet"/>
      <w:lvlText w:val=""/>
      <w:lvlJc w:val="left"/>
      <w:pPr>
        <w:tabs>
          <w:tab w:val="num" w:pos="5040"/>
        </w:tabs>
        <w:ind w:left="5040" w:hanging="360"/>
      </w:pPr>
      <w:rPr>
        <w:rFonts w:ascii="Wingdings" w:hAnsi="Wingdings" w:hint="default"/>
      </w:rPr>
    </w:lvl>
    <w:lvl w:ilvl="7" w:tplc="645228AC" w:tentative="1">
      <w:start w:val="1"/>
      <w:numFmt w:val="bullet"/>
      <w:lvlText w:val=""/>
      <w:lvlJc w:val="left"/>
      <w:pPr>
        <w:tabs>
          <w:tab w:val="num" w:pos="5760"/>
        </w:tabs>
        <w:ind w:left="5760" w:hanging="360"/>
      </w:pPr>
      <w:rPr>
        <w:rFonts w:ascii="Wingdings" w:hAnsi="Wingdings" w:hint="default"/>
      </w:rPr>
    </w:lvl>
    <w:lvl w:ilvl="8" w:tplc="D0A25B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8E7AAD"/>
    <w:multiLevelType w:val="hybridMultilevel"/>
    <w:tmpl w:val="3D22A268"/>
    <w:lvl w:ilvl="0" w:tplc="0F626960">
      <w:start w:val="1"/>
      <w:numFmt w:val="bullet"/>
      <w:lvlText w:val=""/>
      <w:lvlJc w:val="left"/>
      <w:pPr>
        <w:tabs>
          <w:tab w:val="num" w:pos="720"/>
        </w:tabs>
        <w:ind w:left="720" w:hanging="360"/>
      </w:pPr>
      <w:rPr>
        <w:rFonts w:ascii="Wingdings 2" w:hAnsi="Wingdings 2" w:hint="default"/>
      </w:rPr>
    </w:lvl>
    <w:lvl w:ilvl="1" w:tplc="E604DF0C">
      <w:start w:val="1"/>
      <w:numFmt w:val="bullet"/>
      <w:lvlText w:val=""/>
      <w:lvlJc w:val="left"/>
      <w:pPr>
        <w:tabs>
          <w:tab w:val="num" w:pos="1440"/>
        </w:tabs>
        <w:ind w:left="1440" w:hanging="360"/>
      </w:pPr>
      <w:rPr>
        <w:rFonts w:ascii="Wingdings 2" w:hAnsi="Wingdings 2" w:hint="default"/>
      </w:rPr>
    </w:lvl>
    <w:lvl w:ilvl="2" w:tplc="934A048E" w:tentative="1">
      <w:start w:val="1"/>
      <w:numFmt w:val="bullet"/>
      <w:lvlText w:val=""/>
      <w:lvlJc w:val="left"/>
      <w:pPr>
        <w:tabs>
          <w:tab w:val="num" w:pos="2160"/>
        </w:tabs>
        <w:ind w:left="2160" w:hanging="360"/>
      </w:pPr>
      <w:rPr>
        <w:rFonts w:ascii="Wingdings 2" w:hAnsi="Wingdings 2" w:hint="default"/>
      </w:rPr>
    </w:lvl>
    <w:lvl w:ilvl="3" w:tplc="1E503954" w:tentative="1">
      <w:start w:val="1"/>
      <w:numFmt w:val="bullet"/>
      <w:lvlText w:val=""/>
      <w:lvlJc w:val="left"/>
      <w:pPr>
        <w:tabs>
          <w:tab w:val="num" w:pos="2880"/>
        </w:tabs>
        <w:ind w:left="2880" w:hanging="360"/>
      </w:pPr>
      <w:rPr>
        <w:rFonts w:ascii="Wingdings 2" w:hAnsi="Wingdings 2" w:hint="default"/>
      </w:rPr>
    </w:lvl>
    <w:lvl w:ilvl="4" w:tplc="B1DE3692" w:tentative="1">
      <w:start w:val="1"/>
      <w:numFmt w:val="bullet"/>
      <w:lvlText w:val=""/>
      <w:lvlJc w:val="left"/>
      <w:pPr>
        <w:tabs>
          <w:tab w:val="num" w:pos="3600"/>
        </w:tabs>
        <w:ind w:left="3600" w:hanging="360"/>
      </w:pPr>
      <w:rPr>
        <w:rFonts w:ascii="Wingdings 2" w:hAnsi="Wingdings 2" w:hint="default"/>
      </w:rPr>
    </w:lvl>
    <w:lvl w:ilvl="5" w:tplc="D1BCB70A" w:tentative="1">
      <w:start w:val="1"/>
      <w:numFmt w:val="bullet"/>
      <w:lvlText w:val=""/>
      <w:lvlJc w:val="left"/>
      <w:pPr>
        <w:tabs>
          <w:tab w:val="num" w:pos="4320"/>
        </w:tabs>
        <w:ind w:left="4320" w:hanging="360"/>
      </w:pPr>
      <w:rPr>
        <w:rFonts w:ascii="Wingdings 2" w:hAnsi="Wingdings 2" w:hint="default"/>
      </w:rPr>
    </w:lvl>
    <w:lvl w:ilvl="6" w:tplc="74E4F062" w:tentative="1">
      <w:start w:val="1"/>
      <w:numFmt w:val="bullet"/>
      <w:lvlText w:val=""/>
      <w:lvlJc w:val="left"/>
      <w:pPr>
        <w:tabs>
          <w:tab w:val="num" w:pos="5040"/>
        </w:tabs>
        <w:ind w:left="5040" w:hanging="360"/>
      </w:pPr>
      <w:rPr>
        <w:rFonts w:ascii="Wingdings 2" w:hAnsi="Wingdings 2" w:hint="default"/>
      </w:rPr>
    </w:lvl>
    <w:lvl w:ilvl="7" w:tplc="6B0C062A" w:tentative="1">
      <w:start w:val="1"/>
      <w:numFmt w:val="bullet"/>
      <w:lvlText w:val=""/>
      <w:lvlJc w:val="left"/>
      <w:pPr>
        <w:tabs>
          <w:tab w:val="num" w:pos="5760"/>
        </w:tabs>
        <w:ind w:left="5760" w:hanging="360"/>
      </w:pPr>
      <w:rPr>
        <w:rFonts w:ascii="Wingdings 2" w:hAnsi="Wingdings 2" w:hint="default"/>
      </w:rPr>
    </w:lvl>
    <w:lvl w:ilvl="8" w:tplc="C3A894A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71664A9"/>
    <w:multiLevelType w:val="hybridMultilevel"/>
    <w:tmpl w:val="03FAFDD2"/>
    <w:lvl w:ilvl="0" w:tplc="1F1AA3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DA4EA9"/>
    <w:multiLevelType w:val="hybridMultilevel"/>
    <w:tmpl w:val="360CEE0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32A19"/>
    <w:multiLevelType w:val="hybridMultilevel"/>
    <w:tmpl w:val="7BC6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22"/>
  </w:num>
  <w:num w:numId="5">
    <w:abstractNumId w:val="8"/>
  </w:num>
  <w:num w:numId="6">
    <w:abstractNumId w:val="24"/>
  </w:num>
  <w:num w:numId="7">
    <w:abstractNumId w:val="6"/>
  </w:num>
  <w:num w:numId="8">
    <w:abstractNumId w:val="19"/>
  </w:num>
  <w:num w:numId="9">
    <w:abstractNumId w:val="12"/>
  </w:num>
  <w:num w:numId="10">
    <w:abstractNumId w:val="15"/>
  </w:num>
  <w:num w:numId="11">
    <w:abstractNumId w:val="1"/>
  </w:num>
  <w:num w:numId="12">
    <w:abstractNumId w:val="28"/>
  </w:num>
  <w:num w:numId="13">
    <w:abstractNumId w:val="13"/>
  </w:num>
  <w:num w:numId="14">
    <w:abstractNumId w:val="23"/>
  </w:num>
  <w:num w:numId="15">
    <w:abstractNumId w:val="18"/>
  </w:num>
  <w:num w:numId="16">
    <w:abstractNumId w:val="17"/>
  </w:num>
  <w:num w:numId="17">
    <w:abstractNumId w:val="10"/>
  </w:num>
  <w:num w:numId="18">
    <w:abstractNumId w:val="21"/>
  </w:num>
  <w:num w:numId="19">
    <w:abstractNumId w:val="9"/>
  </w:num>
  <w:num w:numId="20">
    <w:abstractNumId w:val="2"/>
  </w:num>
  <w:num w:numId="21">
    <w:abstractNumId w:val="25"/>
  </w:num>
  <w:num w:numId="22">
    <w:abstractNumId w:val="3"/>
  </w:num>
  <w:num w:numId="23">
    <w:abstractNumId w:val="4"/>
  </w:num>
  <w:num w:numId="24">
    <w:abstractNumId w:val="26"/>
  </w:num>
  <w:num w:numId="25">
    <w:abstractNumId w:val="7"/>
  </w:num>
  <w:num w:numId="26">
    <w:abstractNumId w:val="27"/>
  </w:num>
  <w:num w:numId="27">
    <w:abstractNumId w:val="11"/>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4F"/>
    <w:rsid w:val="00000668"/>
    <w:rsid w:val="0005523F"/>
    <w:rsid w:val="00057125"/>
    <w:rsid w:val="00064702"/>
    <w:rsid w:val="0006767D"/>
    <w:rsid w:val="000760CE"/>
    <w:rsid w:val="00096F76"/>
    <w:rsid w:val="000C398F"/>
    <w:rsid w:val="000D2440"/>
    <w:rsid w:val="000E7AD0"/>
    <w:rsid w:val="000F0D4A"/>
    <w:rsid w:val="000F34FE"/>
    <w:rsid w:val="000F6048"/>
    <w:rsid w:val="00107D7A"/>
    <w:rsid w:val="00116811"/>
    <w:rsid w:val="00126A49"/>
    <w:rsid w:val="00130CCA"/>
    <w:rsid w:val="00131E1E"/>
    <w:rsid w:val="00140F34"/>
    <w:rsid w:val="00143A3D"/>
    <w:rsid w:val="00170DDD"/>
    <w:rsid w:val="00181F20"/>
    <w:rsid w:val="00192EF2"/>
    <w:rsid w:val="001B139E"/>
    <w:rsid w:val="001B6839"/>
    <w:rsid w:val="001D7588"/>
    <w:rsid w:val="0020133E"/>
    <w:rsid w:val="0020221A"/>
    <w:rsid w:val="00246023"/>
    <w:rsid w:val="002551F2"/>
    <w:rsid w:val="002A3FE8"/>
    <w:rsid w:val="002C2EBB"/>
    <w:rsid w:val="0031228F"/>
    <w:rsid w:val="00312CB3"/>
    <w:rsid w:val="0034389F"/>
    <w:rsid w:val="00344A74"/>
    <w:rsid w:val="00354933"/>
    <w:rsid w:val="00356268"/>
    <w:rsid w:val="003679D9"/>
    <w:rsid w:val="003A0C1B"/>
    <w:rsid w:val="003B54C4"/>
    <w:rsid w:val="003E0FD1"/>
    <w:rsid w:val="003E5BD7"/>
    <w:rsid w:val="003F46E3"/>
    <w:rsid w:val="003F5D1E"/>
    <w:rsid w:val="004157B5"/>
    <w:rsid w:val="004213DA"/>
    <w:rsid w:val="00441BCB"/>
    <w:rsid w:val="00486381"/>
    <w:rsid w:val="004A0532"/>
    <w:rsid w:val="004A31D7"/>
    <w:rsid w:val="004A3F2F"/>
    <w:rsid w:val="004B5FBC"/>
    <w:rsid w:val="004D0EC0"/>
    <w:rsid w:val="004E0368"/>
    <w:rsid w:val="004F121D"/>
    <w:rsid w:val="005043E7"/>
    <w:rsid w:val="00505C3A"/>
    <w:rsid w:val="005321BB"/>
    <w:rsid w:val="00536998"/>
    <w:rsid w:val="00541004"/>
    <w:rsid w:val="00570E07"/>
    <w:rsid w:val="00572CB0"/>
    <w:rsid w:val="005C1C00"/>
    <w:rsid w:val="005C3D38"/>
    <w:rsid w:val="005E585D"/>
    <w:rsid w:val="005F3340"/>
    <w:rsid w:val="00601713"/>
    <w:rsid w:val="00613203"/>
    <w:rsid w:val="00614E2E"/>
    <w:rsid w:val="0061597E"/>
    <w:rsid w:val="0061667A"/>
    <w:rsid w:val="006448F0"/>
    <w:rsid w:val="00652ADA"/>
    <w:rsid w:val="00666294"/>
    <w:rsid w:val="00676F85"/>
    <w:rsid w:val="006833B9"/>
    <w:rsid w:val="006D31FA"/>
    <w:rsid w:val="006E601B"/>
    <w:rsid w:val="006F41CE"/>
    <w:rsid w:val="0070647D"/>
    <w:rsid w:val="00720ABC"/>
    <w:rsid w:val="0072715B"/>
    <w:rsid w:val="00727C7F"/>
    <w:rsid w:val="0073070F"/>
    <w:rsid w:val="00746DE9"/>
    <w:rsid w:val="007638F3"/>
    <w:rsid w:val="007702FA"/>
    <w:rsid w:val="007B10E1"/>
    <w:rsid w:val="007F1387"/>
    <w:rsid w:val="007F5ADA"/>
    <w:rsid w:val="0080708D"/>
    <w:rsid w:val="00813B3F"/>
    <w:rsid w:val="00816C61"/>
    <w:rsid w:val="00824BFB"/>
    <w:rsid w:val="008476B1"/>
    <w:rsid w:val="00847CF5"/>
    <w:rsid w:val="00867168"/>
    <w:rsid w:val="0087036D"/>
    <w:rsid w:val="0087200F"/>
    <w:rsid w:val="00877167"/>
    <w:rsid w:val="00896AE4"/>
    <w:rsid w:val="008B069A"/>
    <w:rsid w:val="008D508F"/>
    <w:rsid w:val="00900F97"/>
    <w:rsid w:val="00911D03"/>
    <w:rsid w:val="00913F38"/>
    <w:rsid w:val="0094739B"/>
    <w:rsid w:val="00952ED4"/>
    <w:rsid w:val="0096410B"/>
    <w:rsid w:val="00983E53"/>
    <w:rsid w:val="00997537"/>
    <w:rsid w:val="009A0B64"/>
    <w:rsid w:val="009C5213"/>
    <w:rsid w:val="009D4261"/>
    <w:rsid w:val="009E1DBB"/>
    <w:rsid w:val="00A14383"/>
    <w:rsid w:val="00A24CD9"/>
    <w:rsid w:val="00A63BFB"/>
    <w:rsid w:val="00A91E23"/>
    <w:rsid w:val="00A97EE1"/>
    <w:rsid w:val="00AD0732"/>
    <w:rsid w:val="00AD7660"/>
    <w:rsid w:val="00AE5CA6"/>
    <w:rsid w:val="00B021AF"/>
    <w:rsid w:val="00B155A0"/>
    <w:rsid w:val="00B25807"/>
    <w:rsid w:val="00B36A1D"/>
    <w:rsid w:val="00B62778"/>
    <w:rsid w:val="00B90DB1"/>
    <w:rsid w:val="00BA4159"/>
    <w:rsid w:val="00BE702C"/>
    <w:rsid w:val="00C17DEB"/>
    <w:rsid w:val="00C50BE0"/>
    <w:rsid w:val="00C5592D"/>
    <w:rsid w:val="00C63A5F"/>
    <w:rsid w:val="00C67CEC"/>
    <w:rsid w:val="00D03DA8"/>
    <w:rsid w:val="00D14107"/>
    <w:rsid w:val="00D56CB5"/>
    <w:rsid w:val="00D64185"/>
    <w:rsid w:val="00DF2F6B"/>
    <w:rsid w:val="00DF7DAA"/>
    <w:rsid w:val="00E01732"/>
    <w:rsid w:val="00E06D27"/>
    <w:rsid w:val="00E2054F"/>
    <w:rsid w:val="00E470B0"/>
    <w:rsid w:val="00E52FF0"/>
    <w:rsid w:val="00E76BB5"/>
    <w:rsid w:val="00E97532"/>
    <w:rsid w:val="00EC7B79"/>
    <w:rsid w:val="00ED1176"/>
    <w:rsid w:val="00F46D07"/>
    <w:rsid w:val="00F74E5F"/>
    <w:rsid w:val="00F9570E"/>
    <w:rsid w:val="00FB04BD"/>
    <w:rsid w:val="00FF561E"/>
    <w:rsid w:val="00FF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20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basedOn w:val="Normal"/>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semiHidden/>
    <w:unhideWhenUsed/>
    <w:rsid w:val="00DF2F6B"/>
    <w:rPr>
      <w:sz w:val="20"/>
      <w:szCs w:val="20"/>
    </w:rPr>
  </w:style>
  <w:style w:type="character" w:customStyle="1" w:styleId="CommentTextChar">
    <w:name w:val="Comment Text Char"/>
    <w:basedOn w:val="DefaultParagraphFont"/>
    <w:link w:val="CommentText"/>
    <w:semiHidden/>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 w:type="paragraph" w:customStyle="1" w:styleId="SDAbodytext">
    <w:name w:val="SDA body text"/>
    <w:basedOn w:val="Normal"/>
    <w:link w:val="SDAbodytextChar"/>
    <w:qFormat/>
    <w:rsid w:val="000F34FE"/>
    <w:pPr>
      <w:spacing w:before="120" w:after="120"/>
    </w:pPr>
    <w:rPr>
      <w:rFonts w:asciiTheme="minorHAnsi" w:eastAsiaTheme="minorHAnsi" w:hAnsiTheme="minorHAnsi" w:cstheme="minorBidi"/>
      <w:sz w:val="22"/>
      <w:szCs w:val="22"/>
    </w:rPr>
  </w:style>
  <w:style w:type="character" w:customStyle="1" w:styleId="SDAbodytextChar">
    <w:name w:val="SDA body text Char"/>
    <w:basedOn w:val="DefaultParagraphFont"/>
    <w:link w:val="SDAbodytext"/>
    <w:rsid w:val="000F34FE"/>
    <w:rPr>
      <w:rFonts w:asciiTheme="minorHAnsi" w:eastAsiaTheme="minorHAnsi" w:hAnsiTheme="minorHAnsi" w:cstheme="minorBidi"/>
      <w:sz w:val="22"/>
      <w:szCs w:val="22"/>
      <w:lang w:eastAsia="en-US"/>
    </w:rPr>
  </w:style>
  <w:style w:type="paragraph" w:customStyle="1" w:styleId="SDAbulletpoints">
    <w:name w:val="SDA bullet points"/>
    <w:basedOn w:val="SDAbodytext"/>
    <w:link w:val="SDAbulletpointsChar"/>
    <w:qFormat/>
    <w:rsid w:val="000F34FE"/>
    <w:pPr>
      <w:numPr>
        <w:numId w:val="24"/>
      </w:numPr>
    </w:pPr>
  </w:style>
  <w:style w:type="character" w:customStyle="1" w:styleId="SDAbulletpointsChar">
    <w:name w:val="SDA bullet points Char"/>
    <w:basedOn w:val="SDAbodytextChar"/>
    <w:link w:val="SDAbulletpoints"/>
    <w:rsid w:val="000F34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81F20"/>
    <w:rPr>
      <w:b/>
      <w:bCs/>
    </w:rPr>
  </w:style>
  <w:style w:type="paragraph" w:customStyle="1" w:styleId="TableParagraph">
    <w:name w:val="Table Paragraph"/>
    <w:basedOn w:val="Normal"/>
    <w:uiPriority w:val="1"/>
    <w:qFormat/>
    <w:rsid w:val="004A3F2F"/>
    <w:pPr>
      <w:widowControl w:val="0"/>
      <w:autoSpaceDE w:val="0"/>
      <w:autoSpaceDN w:val="0"/>
    </w:pPr>
    <w:rPr>
      <w:rFonts w:ascii="Arial" w:eastAsia="Arial" w:hAnsi="Arial" w:cs="Arial"/>
      <w:sz w:val="22"/>
      <w:szCs w:val="22"/>
      <w:lang w:val="en-US"/>
    </w:rPr>
  </w:style>
  <w:style w:type="paragraph" w:styleId="Revision">
    <w:name w:val="Revision"/>
    <w:hidden/>
    <w:uiPriority w:val="99"/>
    <w:semiHidden/>
    <w:rsid w:val="001B68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270">
      <w:bodyDiv w:val="1"/>
      <w:marLeft w:val="0"/>
      <w:marRight w:val="0"/>
      <w:marTop w:val="0"/>
      <w:marBottom w:val="0"/>
      <w:divBdr>
        <w:top w:val="none" w:sz="0" w:space="0" w:color="auto"/>
        <w:left w:val="none" w:sz="0" w:space="0" w:color="auto"/>
        <w:bottom w:val="none" w:sz="0" w:space="0" w:color="auto"/>
        <w:right w:val="none" w:sz="0" w:space="0" w:color="auto"/>
      </w:divBdr>
      <w:divsChild>
        <w:div w:id="530604466">
          <w:marLeft w:val="1008"/>
          <w:marRight w:val="0"/>
          <w:marTop w:val="101"/>
          <w:marBottom w:val="0"/>
          <w:divBdr>
            <w:top w:val="none" w:sz="0" w:space="0" w:color="auto"/>
            <w:left w:val="none" w:sz="0" w:space="0" w:color="auto"/>
            <w:bottom w:val="none" w:sz="0" w:space="0" w:color="auto"/>
            <w:right w:val="none" w:sz="0" w:space="0" w:color="auto"/>
          </w:divBdr>
        </w:div>
        <w:div w:id="1254123615">
          <w:marLeft w:val="1008"/>
          <w:marRight w:val="0"/>
          <w:marTop w:val="101"/>
          <w:marBottom w:val="0"/>
          <w:divBdr>
            <w:top w:val="none" w:sz="0" w:space="0" w:color="auto"/>
            <w:left w:val="none" w:sz="0" w:space="0" w:color="auto"/>
            <w:bottom w:val="none" w:sz="0" w:space="0" w:color="auto"/>
            <w:right w:val="none" w:sz="0" w:space="0" w:color="auto"/>
          </w:divBdr>
        </w:div>
      </w:divsChild>
    </w:div>
    <w:div w:id="283930838">
      <w:bodyDiv w:val="1"/>
      <w:marLeft w:val="0"/>
      <w:marRight w:val="0"/>
      <w:marTop w:val="0"/>
      <w:marBottom w:val="0"/>
      <w:divBdr>
        <w:top w:val="none" w:sz="0" w:space="0" w:color="auto"/>
        <w:left w:val="none" w:sz="0" w:space="0" w:color="auto"/>
        <w:bottom w:val="none" w:sz="0" w:space="0" w:color="auto"/>
        <w:right w:val="none" w:sz="0" w:space="0" w:color="auto"/>
      </w:divBdr>
      <w:divsChild>
        <w:div w:id="663584375">
          <w:marLeft w:val="720"/>
          <w:marRight w:val="0"/>
          <w:marTop w:val="120"/>
          <w:marBottom w:val="0"/>
          <w:divBdr>
            <w:top w:val="none" w:sz="0" w:space="0" w:color="auto"/>
            <w:left w:val="none" w:sz="0" w:space="0" w:color="auto"/>
            <w:bottom w:val="none" w:sz="0" w:space="0" w:color="auto"/>
            <w:right w:val="none" w:sz="0" w:space="0" w:color="auto"/>
          </w:divBdr>
        </w:div>
        <w:div w:id="1617441214">
          <w:marLeft w:val="720"/>
          <w:marRight w:val="0"/>
          <w:marTop w:val="120"/>
          <w:marBottom w:val="0"/>
          <w:divBdr>
            <w:top w:val="none" w:sz="0" w:space="0" w:color="auto"/>
            <w:left w:val="none" w:sz="0" w:space="0" w:color="auto"/>
            <w:bottom w:val="none" w:sz="0" w:space="0" w:color="auto"/>
            <w:right w:val="none" w:sz="0" w:space="0" w:color="auto"/>
          </w:divBdr>
        </w:div>
        <w:div w:id="1621959636">
          <w:marLeft w:val="720"/>
          <w:marRight w:val="0"/>
          <w:marTop w:val="120"/>
          <w:marBottom w:val="0"/>
          <w:divBdr>
            <w:top w:val="none" w:sz="0" w:space="0" w:color="auto"/>
            <w:left w:val="none" w:sz="0" w:space="0" w:color="auto"/>
            <w:bottom w:val="none" w:sz="0" w:space="0" w:color="auto"/>
            <w:right w:val="none" w:sz="0" w:space="0" w:color="auto"/>
          </w:divBdr>
        </w:div>
        <w:div w:id="1720665478">
          <w:marLeft w:val="720"/>
          <w:marRight w:val="0"/>
          <w:marTop w:val="120"/>
          <w:marBottom w:val="0"/>
          <w:divBdr>
            <w:top w:val="none" w:sz="0" w:space="0" w:color="auto"/>
            <w:left w:val="none" w:sz="0" w:space="0" w:color="auto"/>
            <w:bottom w:val="none" w:sz="0" w:space="0" w:color="auto"/>
            <w:right w:val="none" w:sz="0" w:space="0" w:color="auto"/>
          </w:divBdr>
        </w:div>
      </w:divsChild>
    </w:div>
    <w:div w:id="817187854">
      <w:bodyDiv w:val="1"/>
      <w:marLeft w:val="0"/>
      <w:marRight w:val="0"/>
      <w:marTop w:val="0"/>
      <w:marBottom w:val="0"/>
      <w:divBdr>
        <w:top w:val="none" w:sz="0" w:space="0" w:color="auto"/>
        <w:left w:val="none" w:sz="0" w:space="0" w:color="auto"/>
        <w:bottom w:val="none" w:sz="0" w:space="0" w:color="auto"/>
        <w:right w:val="none" w:sz="0" w:space="0" w:color="auto"/>
      </w:divBdr>
    </w:div>
    <w:div w:id="1079601284">
      <w:bodyDiv w:val="1"/>
      <w:marLeft w:val="0"/>
      <w:marRight w:val="0"/>
      <w:marTop w:val="0"/>
      <w:marBottom w:val="0"/>
      <w:divBdr>
        <w:top w:val="none" w:sz="0" w:space="0" w:color="auto"/>
        <w:left w:val="none" w:sz="0" w:space="0" w:color="auto"/>
        <w:bottom w:val="none" w:sz="0" w:space="0" w:color="auto"/>
        <w:right w:val="none" w:sz="0" w:space="0" w:color="auto"/>
      </w:divBdr>
    </w:div>
    <w:div w:id="1114713685">
      <w:bodyDiv w:val="1"/>
      <w:marLeft w:val="0"/>
      <w:marRight w:val="0"/>
      <w:marTop w:val="0"/>
      <w:marBottom w:val="0"/>
      <w:divBdr>
        <w:top w:val="none" w:sz="0" w:space="0" w:color="auto"/>
        <w:left w:val="none" w:sz="0" w:space="0" w:color="auto"/>
        <w:bottom w:val="none" w:sz="0" w:space="0" w:color="auto"/>
        <w:right w:val="none" w:sz="0" w:space="0" w:color="auto"/>
      </w:divBdr>
      <w:divsChild>
        <w:div w:id="12847539">
          <w:marLeft w:val="1008"/>
          <w:marRight w:val="0"/>
          <w:marTop w:val="101"/>
          <w:marBottom w:val="0"/>
          <w:divBdr>
            <w:top w:val="none" w:sz="0" w:space="0" w:color="auto"/>
            <w:left w:val="none" w:sz="0" w:space="0" w:color="auto"/>
            <w:bottom w:val="none" w:sz="0" w:space="0" w:color="auto"/>
            <w:right w:val="none" w:sz="0" w:space="0" w:color="auto"/>
          </w:divBdr>
        </w:div>
        <w:div w:id="440876385">
          <w:marLeft w:val="1008"/>
          <w:marRight w:val="0"/>
          <w:marTop w:val="101"/>
          <w:marBottom w:val="0"/>
          <w:divBdr>
            <w:top w:val="none" w:sz="0" w:space="0" w:color="auto"/>
            <w:left w:val="none" w:sz="0" w:space="0" w:color="auto"/>
            <w:bottom w:val="none" w:sz="0" w:space="0" w:color="auto"/>
            <w:right w:val="none" w:sz="0" w:space="0" w:color="auto"/>
          </w:divBdr>
        </w:div>
        <w:div w:id="562256230">
          <w:marLeft w:val="1008"/>
          <w:marRight w:val="0"/>
          <w:marTop w:val="101"/>
          <w:marBottom w:val="0"/>
          <w:divBdr>
            <w:top w:val="none" w:sz="0" w:space="0" w:color="auto"/>
            <w:left w:val="none" w:sz="0" w:space="0" w:color="auto"/>
            <w:bottom w:val="none" w:sz="0" w:space="0" w:color="auto"/>
            <w:right w:val="none" w:sz="0" w:space="0" w:color="auto"/>
          </w:divBdr>
        </w:div>
        <w:div w:id="1866211362">
          <w:marLeft w:val="1008"/>
          <w:marRight w:val="0"/>
          <w:marTop w:val="101"/>
          <w:marBottom w:val="0"/>
          <w:divBdr>
            <w:top w:val="none" w:sz="0" w:space="0" w:color="auto"/>
            <w:left w:val="none" w:sz="0" w:space="0" w:color="auto"/>
            <w:bottom w:val="none" w:sz="0" w:space="0" w:color="auto"/>
            <w:right w:val="none" w:sz="0" w:space="0" w:color="auto"/>
          </w:divBdr>
        </w:div>
        <w:div w:id="2115392412">
          <w:marLeft w:val="1008"/>
          <w:marRight w:val="0"/>
          <w:marTop w:val="101"/>
          <w:marBottom w:val="0"/>
          <w:divBdr>
            <w:top w:val="none" w:sz="0" w:space="0" w:color="auto"/>
            <w:left w:val="none" w:sz="0" w:space="0" w:color="auto"/>
            <w:bottom w:val="none" w:sz="0" w:space="0" w:color="auto"/>
            <w:right w:val="none" w:sz="0" w:space="0" w:color="auto"/>
          </w:divBdr>
        </w:div>
      </w:divsChild>
    </w:div>
    <w:div w:id="1131631500">
      <w:bodyDiv w:val="1"/>
      <w:marLeft w:val="0"/>
      <w:marRight w:val="0"/>
      <w:marTop w:val="0"/>
      <w:marBottom w:val="0"/>
      <w:divBdr>
        <w:top w:val="none" w:sz="0" w:space="0" w:color="auto"/>
        <w:left w:val="none" w:sz="0" w:space="0" w:color="auto"/>
        <w:bottom w:val="none" w:sz="0" w:space="0" w:color="auto"/>
        <w:right w:val="none" w:sz="0" w:space="0" w:color="auto"/>
      </w:divBdr>
      <w:divsChild>
        <w:div w:id="268664522">
          <w:marLeft w:val="720"/>
          <w:marRight w:val="0"/>
          <w:marTop w:val="120"/>
          <w:marBottom w:val="0"/>
          <w:divBdr>
            <w:top w:val="none" w:sz="0" w:space="0" w:color="auto"/>
            <w:left w:val="none" w:sz="0" w:space="0" w:color="auto"/>
            <w:bottom w:val="none" w:sz="0" w:space="0" w:color="auto"/>
            <w:right w:val="none" w:sz="0" w:space="0" w:color="auto"/>
          </w:divBdr>
        </w:div>
        <w:div w:id="604460832">
          <w:marLeft w:val="720"/>
          <w:marRight w:val="0"/>
          <w:marTop w:val="120"/>
          <w:marBottom w:val="0"/>
          <w:divBdr>
            <w:top w:val="none" w:sz="0" w:space="0" w:color="auto"/>
            <w:left w:val="none" w:sz="0" w:space="0" w:color="auto"/>
            <w:bottom w:val="none" w:sz="0" w:space="0" w:color="auto"/>
            <w:right w:val="none" w:sz="0" w:space="0" w:color="auto"/>
          </w:divBdr>
        </w:div>
        <w:div w:id="782963598">
          <w:marLeft w:val="432"/>
          <w:marRight w:val="0"/>
          <w:marTop w:val="120"/>
          <w:marBottom w:val="0"/>
          <w:divBdr>
            <w:top w:val="none" w:sz="0" w:space="0" w:color="auto"/>
            <w:left w:val="none" w:sz="0" w:space="0" w:color="auto"/>
            <w:bottom w:val="none" w:sz="0" w:space="0" w:color="auto"/>
            <w:right w:val="none" w:sz="0" w:space="0" w:color="auto"/>
          </w:divBdr>
        </w:div>
        <w:div w:id="1103376352">
          <w:marLeft w:val="720"/>
          <w:marRight w:val="0"/>
          <w:marTop w:val="120"/>
          <w:marBottom w:val="0"/>
          <w:divBdr>
            <w:top w:val="none" w:sz="0" w:space="0" w:color="auto"/>
            <w:left w:val="none" w:sz="0" w:space="0" w:color="auto"/>
            <w:bottom w:val="none" w:sz="0" w:space="0" w:color="auto"/>
            <w:right w:val="none" w:sz="0" w:space="0" w:color="auto"/>
          </w:divBdr>
        </w:div>
        <w:div w:id="1328316378">
          <w:marLeft w:val="720"/>
          <w:marRight w:val="0"/>
          <w:marTop w:val="120"/>
          <w:marBottom w:val="0"/>
          <w:divBdr>
            <w:top w:val="none" w:sz="0" w:space="0" w:color="auto"/>
            <w:left w:val="none" w:sz="0" w:space="0" w:color="auto"/>
            <w:bottom w:val="none" w:sz="0" w:space="0" w:color="auto"/>
            <w:right w:val="none" w:sz="0" w:space="0" w:color="auto"/>
          </w:divBdr>
        </w:div>
        <w:div w:id="1337610287">
          <w:marLeft w:val="720"/>
          <w:marRight w:val="0"/>
          <w:marTop w:val="120"/>
          <w:marBottom w:val="0"/>
          <w:divBdr>
            <w:top w:val="none" w:sz="0" w:space="0" w:color="auto"/>
            <w:left w:val="none" w:sz="0" w:space="0" w:color="auto"/>
            <w:bottom w:val="none" w:sz="0" w:space="0" w:color="auto"/>
            <w:right w:val="none" w:sz="0" w:space="0" w:color="auto"/>
          </w:divBdr>
        </w:div>
        <w:div w:id="1769695073">
          <w:marLeft w:val="720"/>
          <w:marRight w:val="0"/>
          <w:marTop w:val="120"/>
          <w:marBottom w:val="0"/>
          <w:divBdr>
            <w:top w:val="none" w:sz="0" w:space="0" w:color="auto"/>
            <w:left w:val="none" w:sz="0" w:space="0" w:color="auto"/>
            <w:bottom w:val="none" w:sz="0" w:space="0" w:color="auto"/>
            <w:right w:val="none" w:sz="0" w:space="0" w:color="auto"/>
          </w:divBdr>
        </w:div>
        <w:div w:id="1786540657">
          <w:marLeft w:val="720"/>
          <w:marRight w:val="0"/>
          <w:marTop w:val="120"/>
          <w:marBottom w:val="0"/>
          <w:divBdr>
            <w:top w:val="none" w:sz="0" w:space="0" w:color="auto"/>
            <w:left w:val="none" w:sz="0" w:space="0" w:color="auto"/>
            <w:bottom w:val="none" w:sz="0" w:space="0" w:color="auto"/>
            <w:right w:val="none" w:sz="0" w:space="0" w:color="auto"/>
          </w:divBdr>
        </w:div>
        <w:div w:id="2009022193">
          <w:marLeft w:val="720"/>
          <w:marRight w:val="0"/>
          <w:marTop w:val="120"/>
          <w:marBottom w:val="0"/>
          <w:divBdr>
            <w:top w:val="none" w:sz="0" w:space="0" w:color="auto"/>
            <w:left w:val="none" w:sz="0" w:space="0" w:color="auto"/>
            <w:bottom w:val="none" w:sz="0" w:space="0" w:color="auto"/>
            <w:right w:val="none" w:sz="0" w:space="0" w:color="auto"/>
          </w:divBdr>
        </w:div>
      </w:divsChild>
    </w:div>
    <w:div w:id="1425687314">
      <w:bodyDiv w:val="1"/>
      <w:marLeft w:val="0"/>
      <w:marRight w:val="0"/>
      <w:marTop w:val="0"/>
      <w:marBottom w:val="0"/>
      <w:divBdr>
        <w:top w:val="none" w:sz="0" w:space="0" w:color="auto"/>
        <w:left w:val="none" w:sz="0" w:space="0" w:color="auto"/>
        <w:bottom w:val="none" w:sz="0" w:space="0" w:color="auto"/>
        <w:right w:val="none" w:sz="0" w:space="0" w:color="auto"/>
      </w:divBdr>
      <w:divsChild>
        <w:div w:id="375005649">
          <w:marLeft w:val="720"/>
          <w:marRight w:val="0"/>
          <w:marTop w:val="120"/>
          <w:marBottom w:val="0"/>
          <w:divBdr>
            <w:top w:val="none" w:sz="0" w:space="0" w:color="auto"/>
            <w:left w:val="none" w:sz="0" w:space="0" w:color="auto"/>
            <w:bottom w:val="none" w:sz="0" w:space="0" w:color="auto"/>
            <w:right w:val="none" w:sz="0" w:space="0" w:color="auto"/>
          </w:divBdr>
        </w:div>
        <w:div w:id="376052654">
          <w:marLeft w:val="720"/>
          <w:marRight w:val="0"/>
          <w:marTop w:val="120"/>
          <w:marBottom w:val="0"/>
          <w:divBdr>
            <w:top w:val="none" w:sz="0" w:space="0" w:color="auto"/>
            <w:left w:val="none" w:sz="0" w:space="0" w:color="auto"/>
            <w:bottom w:val="none" w:sz="0" w:space="0" w:color="auto"/>
            <w:right w:val="none" w:sz="0" w:space="0" w:color="auto"/>
          </w:divBdr>
        </w:div>
        <w:div w:id="986085009">
          <w:marLeft w:val="720"/>
          <w:marRight w:val="0"/>
          <w:marTop w:val="120"/>
          <w:marBottom w:val="0"/>
          <w:divBdr>
            <w:top w:val="none" w:sz="0" w:space="0" w:color="auto"/>
            <w:left w:val="none" w:sz="0" w:space="0" w:color="auto"/>
            <w:bottom w:val="none" w:sz="0" w:space="0" w:color="auto"/>
            <w:right w:val="none" w:sz="0" w:space="0" w:color="auto"/>
          </w:divBdr>
        </w:div>
        <w:div w:id="1777868559">
          <w:marLeft w:val="720"/>
          <w:marRight w:val="0"/>
          <w:marTop w:val="120"/>
          <w:marBottom w:val="0"/>
          <w:divBdr>
            <w:top w:val="none" w:sz="0" w:space="0" w:color="auto"/>
            <w:left w:val="none" w:sz="0" w:space="0" w:color="auto"/>
            <w:bottom w:val="none" w:sz="0" w:space="0" w:color="auto"/>
            <w:right w:val="none" w:sz="0" w:space="0" w:color="auto"/>
          </w:divBdr>
        </w:div>
      </w:divsChild>
    </w:div>
    <w:div w:id="1830056821">
      <w:bodyDiv w:val="1"/>
      <w:marLeft w:val="0"/>
      <w:marRight w:val="0"/>
      <w:marTop w:val="0"/>
      <w:marBottom w:val="0"/>
      <w:divBdr>
        <w:top w:val="none" w:sz="0" w:space="0" w:color="auto"/>
        <w:left w:val="none" w:sz="0" w:space="0" w:color="auto"/>
        <w:bottom w:val="none" w:sz="0" w:space="0" w:color="auto"/>
        <w:right w:val="none" w:sz="0" w:space="0" w:color="auto"/>
      </w:divBdr>
    </w:div>
    <w:div w:id="2102292290">
      <w:bodyDiv w:val="1"/>
      <w:marLeft w:val="0"/>
      <w:marRight w:val="0"/>
      <w:marTop w:val="0"/>
      <w:marBottom w:val="0"/>
      <w:divBdr>
        <w:top w:val="none" w:sz="0" w:space="0" w:color="auto"/>
        <w:left w:val="none" w:sz="0" w:space="0" w:color="auto"/>
        <w:bottom w:val="none" w:sz="0" w:space="0" w:color="auto"/>
        <w:right w:val="none" w:sz="0" w:space="0" w:color="auto"/>
      </w:divBdr>
    </w:div>
    <w:div w:id="2136215964">
      <w:bodyDiv w:val="1"/>
      <w:marLeft w:val="0"/>
      <w:marRight w:val="0"/>
      <w:marTop w:val="0"/>
      <w:marBottom w:val="0"/>
      <w:divBdr>
        <w:top w:val="none" w:sz="0" w:space="0" w:color="auto"/>
        <w:left w:val="none" w:sz="0" w:space="0" w:color="auto"/>
        <w:bottom w:val="none" w:sz="0" w:space="0" w:color="auto"/>
        <w:right w:val="none" w:sz="0" w:space="0" w:color="auto"/>
      </w:divBdr>
      <w:divsChild>
        <w:div w:id="82846996">
          <w:marLeft w:val="720"/>
          <w:marRight w:val="0"/>
          <w:marTop w:val="120"/>
          <w:marBottom w:val="0"/>
          <w:divBdr>
            <w:top w:val="none" w:sz="0" w:space="0" w:color="auto"/>
            <w:left w:val="none" w:sz="0" w:space="0" w:color="auto"/>
            <w:bottom w:val="none" w:sz="0" w:space="0" w:color="auto"/>
            <w:right w:val="none" w:sz="0" w:space="0" w:color="auto"/>
          </w:divBdr>
        </w:div>
        <w:div w:id="1047413247">
          <w:marLeft w:val="720"/>
          <w:marRight w:val="0"/>
          <w:marTop w:val="120"/>
          <w:marBottom w:val="0"/>
          <w:divBdr>
            <w:top w:val="none" w:sz="0" w:space="0" w:color="auto"/>
            <w:left w:val="none" w:sz="0" w:space="0" w:color="auto"/>
            <w:bottom w:val="none" w:sz="0" w:space="0" w:color="auto"/>
            <w:right w:val="none" w:sz="0" w:space="0" w:color="auto"/>
          </w:divBdr>
        </w:div>
        <w:div w:id="1471556733">
          <w:marLeft w:val="720"/>
          <w:marRight w:val="0"/>
          <w:marTop w:val="120"/>
          <w:marBottom w:val="0"/>
          <w:divBdr>
            <w:top w:val="none" w:sz="0" w:space="0" w:color="auto"/>
            <w:left w:val="none" w:sz="0" w:space="0" w:color="auto"/>
            <w:bottom w:val="none" w:sz="0" w:space="0" w:color="auto"/>
            <w:right w:val="none" w:sz="0" w:space="0" w:color="auto"/>
          </w:divBdr>
        </w:div>
        <w:div w:id="1730223853">
          <w:marLeft w:val="720"/>
          <w:marRight w:val="0"/>
          <w:marTop w:val="120"/>
          <w:marBottom w:val="0"/>
          <w:divBdr>
            <w:top w:val="none" w:sz="0" w:space="0" w:color="auto"/>
            <w:left w:val="none" w:sz="0" w:space="0" w:color="auto"/>
            <w:bottom w:val="none" w:sz="0" w:space="0" w:color="auto"/>
            <w:right w:val="none" w:sz="0" w:space="0" w:color="auto"/>
          </w:divBdr>
        </w:div>
        <w:div w:id="190606612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18F61-4904-407C-B486-EFD68C8E0DB5}"/>
</file>

<file path=customXml/itemProps2.xml><?xml version="1.0" encoding="utf-8"?>
<ds:datastoreItem xmlns:ds="http://schemas.openxmlformats.org/officeDocument/2006/customXml" ds:itemID="{D28723DD-A96A-446B-9A36-E89942BA5822}"/>
</file>

<file path=customXml/itemProps3.xml><?xml version="1.0" encoding="utf-8"?>
<ds:datastoreItem xmlns:ds="http://schemas.openxmlformats.org/officeDocument/2006/customXml" ds:itemID="{D8686AFD-AB95-445F-82A8-19FA186B13C8}"/>
</file>

<file path=customXml/itemProps4.xml><?xml version="1.0" encoding="utf-8"?>
<ds:datastoreItem xmlns:ds="http://schemas.openxmlformats.org/officeDocument/2006/customXml" ds:itemID="{CC19AFC4-66F2-495A-9F81-592F34389C12}"/>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Vanuatu Education Support Program (2013-2017): Management Response to Mid-term Review Report</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Education Support Program (2013-2017): Management Response to Mid-term Review Report</dc:title>
  <dc:subject/>
  <dc:creator/>
  <cp:keywords/>
  <dc:description/>
  <cp:lastModifiedBy/>
  <cp:revision>1</cp:revision>
  <dcterms:created xsi:type="dcterms:W3CDTF">2017-08-09T23:33:00Z</dcterms:created>
  <dcterms:modified xsi:type="dcterms:W3CDTF">2017-08-09T23:34:00Z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c4360333-c2f4-4a5b-ba38-f53d820e474f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1112600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