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310CF" w14:textId="41B6FB0A" w:rsidR="00F2290C" w:rsidRPr="007175C7" w:rsidRDefault="00F2290C" w:rsidP="00954264">
      <w:pPr>
        <w:spacing w:before="4440" w:after="480"/>
      </w:pPr>
      <w:r w:rsidRPr="0065380F">
        <w:rPr>
          <w:noProof/>
        </w:rPr>
        <mc:AlternateContent>
          <mc:Choice Requires="wps">
            <w:drawing>
              <wp:anchor distT="0" distB="0" distL="114300" distR="114300" simplePos="0" relativeHeight="251686912" behindDoc="0" locked="0" layoutInCell="1" allowOverlap="1" wp14:anchorId="3ED169CF" wp14:editId="3C090A46">
                <wp:simplePos x="0" y="0"/>
                <wp:positionH relativeFrom="column">
                  <wp:posOffset>-775335</wp:posOffset>
                </wp:positionH>
                <wp:positionV relativeFrom="paragraph">
                  <wp:posOffset>3332480</wp:posOffset>
                </wp:positionV>
                <wp:extent cx="541421" cy="1058333"/>
                <wp:effectExtent l="0" t="0" r="5080" b="0"/>
                <wp:wrapNone/>
                <wp:docPr id="187678339" name="Rectangle 187678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1058333"/>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8905B8" id="Rectangle 187678339" o:spid="_x0000_s1026" alt="&quot;&quot;" style="position:absolute;margin-left:-61.05pt;margin-top:262.4pt;width:42.65pt;height:83.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" fillcolor="#ffb200" stroked="f" strokeweight="2pt"/>
            </w:pict>
          </mc:Fallback>
        </mc:AlternateContent>
      </w:r>
    </w:p>
    <w:p w14:paraId="20F74C46" w14:textId="433661B6" w:rsidR="00801C2D" w:rsidRPr="0065380F" w:rsidRDefault="00047976" w:rsidP="0065380F">
      <w:pPr>
        <w:pStyle w:val="Title"/>
      </w:pPr>
      <w:r w:rsidRPr="0065380F">
        <w:t>Vanuatu Education and Skills Design Stage 1 – High Level Modality Review</w:t>
      </w:r>
    </w:p>
    <w:p w14:paraId="5010B0D3" w14:textId="6206E851" w:rsidR="00F2290C" w:rsidRDefault="00B7796B" w:rsidP="00B7796B">
      <w:r>
        <w:t xml:space="preserve">December 2024 </w:t>
      </w:r>
    </w:p>
    <w:p w14:paraId="3774E4BD" w14:textId="77777777" w:rsidR="00F2290C" w:rsidRDefault="00F2290C" w:rsidP="002B4038">
      <w:pPr>
        <w:pStyle w:val="Heading1"/>
        <w:numPr>
          <w:ilvl w:val="0"/>
          <w:numId w:val="0"/>
        </w:numPr>
        <w:sectPr w:rsidR="00F2290C" w:rsidSect="00071EBE">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pgNumType w:start="1"/>
          <w:cols w:space="720"/>
          <w:titlePg/>
          <w:docGrid w:linePitch="360"/>
        </w:sectPr>
      </w:pPr>
      <w:bookmarkStart w:id="0" w:name="_Toc184911477"/>
      <w:bookmarkStart w:id="1" w:name="_Toc184935164"/>
      <w:bookmarkStart w:id="2" w:name="_Toc185784606"/>
    </w:p>
    <w:bookmarkStart w:id="3" w:name="_Toc190268251"/>
    <w:p w14:paraId="7F64BF5C" w14:textId="5223B709" w:rsidR="00C24DBA" w:rsidRDefault="00F2290C" w:rsidP="002B4038">
      <w:pPr>
        <w:pStyle w:val="Heading1"/>
        <w:numPr>
          <w:ilvl w:val="0"/>
          <w:numId w:val="0"/>
        </w:numPr>
      </w:pPr>
      <w:r w:rsidRPr="0065380F">
        <w:rPr>
          <w:noProof/>
        </w:rPr>
        <w:lastRenderedPageBreak/>
        <mc:AlternateContent>
          <mc:Choice Requires="wps">
            <w:drawing>
              <wp:anchor distT="0" distB="0" distL="114300" distR="114300" simplePos="0" relativeHeight="251684864" behindDoc="0" locked="0" layoutInCell="1" allowOverlap="1" wp14:anchorId="20053033" wp14:editId="06B17EA1">
                <wp:simplePos x="0" y="0"/>
                <wp:positionH relativeFrom="column">
                  <wp:posOffset>-965200</wp:posOffset>
                </wp:positionH>
                <wp:positionV relativeFrom="paragraph">
                  <wp:posOffset>190923</wp:posOffset>
                </wp:positionV>
                <wp:extent cx="541421" cy="475248"/>
                <wp:effectExtent l="0" t="0" r="5080" b="0"/>
                <wp:wrapNone/>
                <wp:docPr id="1414911476" name="Rectangle 1414911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w:pict>
              <v:rect id="Rectangle 1414911476" style="position:absolute;margin-left:-76pt;margin-top:15.05pt;width:42.65pt;height:37.4pt;z-index:25168486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fb200" stroked="f" strokeweight="2pt" w14:anchorId="06E08E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"/>
            </w:pict>
          </mc:Fallback>
        </mc:AlternateContent>
      </w:r>
      <w:r w:rsidR="00B7796B">
        <w:t>Executive Summary</w:t>
      </w:r>
      <w:bookmarkEnd w:id="0"/>
      <w:bookmarkEnd w:id="1"/>
      <w:bookmarkEnd w:id="2"/>
      <w:bookmarkEnd w:id="3"/>
      <w:r w:rsidR="00B7796B">
        <w:t xml:space="preserve"> </w:t>
      </w:r>
    </w:p>
    <w:p w14:paraId="51E2B35E" w14:textId="562CDBE7" w:rsidR="00011D70" w:rsidRPr="00610E92" w:rsidRDefault="7B8FE84B" w:rsidP="2D65516E">
      <w:pPr>
        <w:rPr>
          <w:rFonts w:eastAsia="Calibri" w:cs="Calibri"/>
          <w:i/>
          <w:iCs/>
        </w:rPr>
      </w:pPr>
      <w:r w:rsidRPr="3B0D9F72">
        <w:rPr>
          <w:rFonts w:eastAsia="Calibri" w:cs="Calibri"/>
        </w:rPr>
        <w:t xml:space="preserve">Australia is a long-term partner and supporter of education and training in Vanuatu. This has ranged across early childhood </w:t>
      </w:r>
      <w:r w:rsidR="470B2EBC" w:rsidRPr="3B0D9F72">
        <w:rPr>
          <w:rFonts w:eastAsia="Calibri" w:cs="Calibri"/>
        </w:rPr>
        <w:t xml:space="preserve">care and </w:t>
      </w:r>
      <w:r w:rsidRPr="3B0D9F72">
        <w:rPr>
          <w:rFonts w:eastAsia="Calibri" w:cs="Calibri"/>
        </w:rPr>
        <w:t>education (E</w:t>
      </w:r>
      <w:r w:rsidR="7798BAA9" w:rsidRPr="3B0D9F72">
        <w:rPr>
          <w:rFonts w:eastAsia="Calibri" w:cs="Calibri"/>
        </w:rPr>
        <w:t>C</w:t>
      </w:r>
      <w:r w:rsidRPr="3B0D9F72">
        <w:rPr>
          <w:rFonts w:eastAsia="Calibri" w:cs="Calibri"/>
        </w:rPr>
        <w:t xml:space="preserve">CE), primary education and skills/technical and vocational education and training (TVET). These </w:t>
      </w:r>
      <w:r w:rsidR="00401419">
        <w:rPr>
          <w:rFonts w:eastAsia="Calibri" w:cs="Calibri"/>
        </w:rPr>
        <w:t>sub-</w:t>
      </w:r>
      <w:r w:rsidRPr="3B0D9F72">
        <w:rPr>
          <w:rFonts w:eastAsia="Calibri" w:cs="Calibri"/>
        </w:rPr>
        <w:t xml:space="preserve">sectors remain a core priority for Australia’s development cooperation with Vanuatu. </w:t>
      </w:r>
      <w:r w:rsidR="13800E50" w:rsidRPr="3B0D9F72">
        <w:rPr>
          <w:rFonts w:eastAsia="Calibri" w:cs="Calibri"/>
        </w:rPr>
        <w:t xml:space="preserve">Australia’s </w:t>
      </w:r>
      <w:r w:rsidRPr="2D65516E" w:rsidDel="00243829">
        <w:rPr>
          <w:rFonts w:eastAsia="Calibri" w:cs="Calibri"/>
          <w:i/>
          <w:iCs/>
        </w:rPr>
        <w:t xml:space="preserve">International </w:t>
      </w:r>
      <w:r w:rsidRPr="2D65516E">
        <w:rPr>
          <w:rFonts w:eastAsia="Calibri" w:cs="Calibri"/>
          <w:i/>
          <w:iCs/>
        </w:rPr>
        <w:t>Development Policy</w:t>
      </w:r>
      <w:r w:rsidR="00011D70" w:rsidRPr="2D65516E">
        <w:rPr>
          <w:rStyle w:val="FootnoteReference"/>
          <w:rFonts w:eastAsia="Calibri" w:cs="Calibri"/>
          <w:i/>
          <w:iCs/>
        </w:rPr>
        <w:footnoteReference w:id="2"/>
      </w:r>
      <w:r>
        <w:t xml:space="preserve"> </w:t>
      </w:r>
      <w:r w:rsidRPr="3B0D9F72">
        <w:rPr>
          <w:rFonts w:eastAsia="Calibri" w:cs="Calibri"/>
        </w:rPr>
        <w:t>recognises the centrality of education and training for every nation’s ongoing development, and its Performance Assessment Framework (PAF) put</w:t>
      </w:r>
      <w:r w:rsidR="38CBF9AE" w:rsidRPr="3B0D9F72">
        <w:rPr>
          <w:rFonts w:eastAsia="Calibri" w:cs="Calibri"/>
        </w:rPr>
        <w:t>s</w:t>
      </w:r>
      <w:r w:rsidRPr="3B0D9F72">
        <w:rPr>
          <w:rFonts w:eastAsia="Calibri" w:cs="Calibri"/>
        </w:rPr>
        <w:t xml:space="preserve"> increased emphasis on measuring Australia’s contribution to improved learning outcomes, skills training and positive policy change in the sector</w:t>
      </w:r>
      <w:r w:rsidR="00011D70">
        <w:rPr>
          <w:rStyle w:val="FootnoteReference"/>
          <w:rFonts w:eastAsia="Calibri" w:cs="Calibri"/>
        </w:rPr>
        <w:footnoteReference w:id="3"/>
      </w:r>
      <w:r w:rsidRPr="3B0D9F72">
        <w:rPr>
          <w:rFonts w:eastAsia="Calibri" w:cs="Calibri"/>
        </w:rPr>
        <w:t xml:space="preserve">. </w:t>
      </w:r>
    </w:p>
    <w:p w14:paraId="5C5F8A6C" w14:textId="07E50DA9" w:rsidR="50009DE1" w:rsidRDefault="50009DE1" w:rsidP="0C3CBE43">
      <w:pPr>
        <w:rPr>
          <w:rFonts w:eastAsia="Calibri" w:cs="Calibri"/>
        </w:rPr>
      </w:pPr>
      <w:r w:rsidRPr="0C3CBE43">
        <w:rPr>
          <w:rFonts w:eastAsia="Calibri" w:cs="Calibri"/>
        </w:rPr>
        <w:t>Education and skills are important Government of Vanuatu</w:t>
      </w:r>
      <w:r w:rsidR="00F97727">
        <w:rPr>
          <w:rFonts w:eastAsia="Calibri" w:cs="Calibri"/>
        </w:rPr>
        <w:t xml:space="preserve"> (</w:t>
      </w:r>
      <w:proofErr w:type="spellStart"/>
      <w:r w:rsidR="00F97727">
        <w:rPr>
          <w:rFonts w:eastAsia="Calibri" w:cs="Calibri"/>
        </w:rPr>
        <w:t>GoV</w:t>
      </w:r>
      <w:proofErr w:type="spellEnd"/>
      <w:r w:rsidR="00F97727">
        <w:rPr>
          <w:rFonts w:eastAsia="Calibri" w:cs="Calibri"/>
        </w:rPr>
        <w:t>)</w:t>
      </w:r>
      <w:r w:rsidRPr="0C3CBE43">
        <w:rPr>
          <w:rFonts w:eastAsia="Calibri" w:cs="Calibri"/>
        </w:rPr>
        <w:t xml:space="preserve"> priorities</w:t>
      </w:r>
      <w:r w:rsidR="0384FD3F" w:rsidRPr="0C3CBE43">
        <w:rPr>
          <w:rFonts w:eastAsia="Calibri" w:cs="Calibri"/>
        </w:rPr>
        <w:t xml:space="preserve">, </w:t>
      </w:r>
      <w:r w:rsidR="18E4BF44" w:rsidRPr="0C3CBE43">
        <w:rPr>
          <w:rFonts w:eastAsia="Calibri" w:cs="Calibri"/>
        </w:rPr>
        <w:t>as articulated in the</w:t>
      </w:r>
      <w:r w:rsidR="0384FD3F" w:rsidRPr="0C3CBE43">
        <w:rPr>
          <w:rFonts w:eastAsia="Calibri" w:cs="Calibri"/>
        </w:rPr>
        <w:t xml:space="preserve"> </w:t>
      </w:r>
      <w:r w:rsidR="0384FD3F" w:rsidRPr="00A44943">
        <w:rPr>
          <w:rFonts w:eastAsia="Calibri" w:cs="Calibri"/>
          <w:i/>
          <w:iCs/>
        </w:rPr>
        <w:t>National Sustainable Development Plan</w:t>
      </w:r>
      <w:r w:rsidR="000D735E" w:rsidRPr="00A44943">
        <w:rPr>
          <w:rFonts w:eastAsia="Calibri" w:cs="Calibri"/>
          <w:i/>
          <w:iCs/>
        </w:rPr>
        <w:t xml:space="preserve"> 2030</w:t>
      </w:r>
      <w:r w:rsidR="7B458E71" w:rsidRPr="0C3CBE43">
        <w:rPr>
          <w:rFonts w:eastAsia="Calibri" w:cs="Calibri"/>
        </w:rPr>
        <w:t xml:space="preserve">, which commits </w:t>
      </w:r>
      <w:r w:rsidR="560EFE85" w:rsidRPr="0C3CBE43">
        <w:rPr>
          <w:rFonts w:eastAsia="Calibri" w:cs="Calibri"/>
        </w:rPr>
        <w:t xml:space="preserve">to developing “an inclusive, equitable and quality education system with life-long learning for all”. </w:t>
      </w:r>
      <w:r w:rsidR="2D8482C6" w:rsidRPr="0C3CBE43">
        <w:rPr>
          <w:rFonts w:eastAsia="Calibri" w:cs="Calibri"/>
        </w:rPr>
        <w:t>Specific directions are contained in t</w:t>
      </w:r>
      <w:r w:rsidR="560EFE85" w:rsidRPr="0C3CBE43">
        <w:rPr>
          <w:rFonts w:eastAsia="Calibri" w:cs="Calibri"/>
        </w:rPr>
        <w:t xml:space="preserve">he </w:t>
      </w:r>
      <w:r w:rsidR="560EFE85" w:rsidRPr="00A44943">
        <w:rPr>
          <w:rFonts w:eastAsia="Calibri" w:cs="Calibri"/>
          <w:i/>
          <w:iCs/>
        </w:rPr>
        <w:t>Vanuatu Education and Training Sector Strategy</w:t>
      </w:r>
      <w:r w:rsidR="560EFE85" w:rsidRPr="0C3CBE43">
        <w:rPr>
          <w:rFonts w:eastAsia="Calibri" w:cs="Calibri"/>
        </w:rPr>
        <w:t xml:space="preserve">, and the </w:t>
      </w:r>
      <w:r w:rsidR="560EFE85" w:rsidRPr="00A44943">
        <w:rPr>
          <w:rFonts w:eastAsia="Calibri" w:cs="Calibri"/>
          <w:i/>
          <w:iCs/>
        </w:rPr>
        <w:t>National Skills Development Policy 2023-2030</w:t>
      </w:r>
      <w:r w:rsidR="3F252BEC" w:rsidRPr="0C3CBE43">
        <w:rPr>
          <w:rFonts w:eastAsia="Calibri" w:cs="Calibri"/>
        </w:rPr>
        <w:t>.</w:t>
      </w:r>
    </w:p>
    <w:p w14:paraId="0619B78E" w14:textId="0532C029" w:rsidR="00011D70" w:rsidRDefault="7B8FE84B" w:rsidP="3326E6A4">
      <w:pPr>
        <w:rPr>
          <w:rFonts w:eastAsia="Calibri" w:cs="Calibri"/>
          <w:color w:val="212121"/>
          <w:lang w:val="en-GB"/>
        </w:rPr>
      </w:pPr>
      <w:r w:rsidRPr="3326E6A4">
        <w:rPr>
          <w:rFonts w:eastAsia="Calibri" w:cs="Calibri"/>
        </w:rPr>
        <w:t>Two significant investments comprise the majority of Australia’s current support to Vanuatu’s education and skills sectors: the Vanuatu Skills Partnership (VSP) and the Vanuatu Australia Education Support Program (VAESP)</w:t>
      </w:r>
      <w:r w:rsidR="199DF27B" w:rsidRPr="3326E6A4">
        <w:rPr>
          <w:rFonts w:eastAsia="Calibri" w:cs="Calibri"/>
        </w:rPr>
        <w:t>, which is inclusive of Australia Awards</w:t>
      </w:r>
      <w:r w:rsidR="57A21180" w:rsidRPr="3326E6A4">
        <w:rPr>
          <w:rFonts w:eastAsia="Calibri" w:cs="Calibri"/>
        </w:rPr>
        <w:t xml:space="preserve"> Vanuatu</w:t>
      </w:r>
      <w:r w:rsidRPr="3326E6A4">
        <w:rPr>
          <w:rFonts w:eastAsia="Calibri" w:cs="Calibri"/>
        </w:rPr>
        <w:t>.</w:t>
      </w:r>
      <w:r w:rsidR="5B6BA1FB" w:rsidRPr="3326E6A4">
        <w:rPr>
          <w:rFonts w:eastAsia="Calibri" w:cs="Calibri"/>
        </w:rPr>
        <w:t xml:space="preserve"> The programs are separate, with unique scope and focus</w:t>
      </w:r>
      <w:r w:rsidR="000D735E">
        <w:rPr>
          <w:rFonts w:eastAsia="Calibri" w:cs="Calibri"/>
        </w:rPr>
        <w:t xml:space="preserve">: </w:t>
      </w:r>
      <w:r w:rsidR="5B6BA1FB" w:rsidRPr="3326E6A4">
        <w:rPr>
          <w:rFonts w:eastAsia="Calibri" w:cs="Calibri"/>
        </w:rPr>
        <w:t>VAESP focus</w:t>
      </w:r>
      <w:r w:rsidR="000D735E">
        <w:rPr>
          <w:rFonts w:eastAsia="Calibri" w:cs="Calibri"/>
        </w:rPr>
        <w:t>es</w:t>
      </w:r>
      <w:r w:rsidR="5B6BA1FB" w:rsidRPr="3326E6A4">
        <w:rPr>
          <w:rFonts w:eastAsia="Calibri" w:cs="Calibri"/>
        </w:rPr>
        <w:t xml:space="preserve"> on </w:t>
      </w:r>
      <w:r w:rsidR="1309F68C" w:rsidRPr="3326E6A4">
        <w:rPr>
          <w:rFonts w:eastAsia="Calibri" w:cs="Calibri"/>
        </w:rPr>
        <w:t xml:space="preserve">working within the </w:t>
      </w:r>
      <w:r w:rsidR="5B6BA1FB" w:rsidRPr="3326E6A4">
        <w:rPr>
          <w:rFonts w:eastAsia="Calibri" w:cs="Calibri"/>
        </w:rPr>
        <w:t xml:space="preserve">formal education </w:t>
      </w:r>
      <w:r w:rsidR="49EE6995" w:rsidRPr="3326E6A4">
        <w:rPr>
          <w:rFonts w:eastAsia="Calibri" w:cs="Calibri"/>
        </w:rPr>
        <w:t xml:space="preserve">sector to </w:t>
      </w:r>
      <w:r w:rsidR="045D2ABE" w:rsidRPr="2D65516E">
        <w:rPr>
          <w:rFonts w:eastAsia="Calibri" w:cs="Calibri"/>
        </w:rPr>
        <w:t xml:space="preserve"> support the Ministry of Education and Training </w:t>
      </w:r>
      <w:r w:rsidR="63AB7149" w:rsidRPr="2D65516E">
        <w:rPr>
          <w:rFonts w:eastAsia="Calibri" w:cs="Calibri"/>
        </w:rPr>
        <w:t>(</w:t>
      </w:r>
      <w:proofErr w:type="spellStart"/>
      <w:r w:rsidR="63AB7149" w:rsidRPr="2D65516E">
        <w:rPr>
          <w:rFonts w:eastAsia="Calibri" w:cs="Calibri"/>
        </w:rPr>
        <w:t>MoET</w:t>
      </w:r>
      <w:proofErr w:type="spellEnd"/>
      <w:r w:rsidR="63AB7149" w:rsidRPr="2D65516E">
        <w:rPr>
          <w:rFonts w:eastAsia="Calibri" w:cs="Calibri"/>
        </w:rPr>
        <w:t xml:space="preserve">) </w:t>
      </w:r>
      <w:r w:rsidR="045D2ABE" w:rsidRPr="2D65516E">
        <w:rPr>
          <w:rFonts w:eastAsia="Calibri" w:cs="Calibri"/>
        </w:rPr>
        <w:t xml:space="preserve">to improve quality, access and management in the early years of education </w:t>
      </w:r>
      <w:r w:rsidR="4D4E49AD" w:rsidRPr="2D65516E">
        <w:rPr>
          <w:rFonts w:eastAsia="Calibri" w:cs="Calibri"/>
        </w:rPr>
        <w:t>to improve education delivery in schools</w:t>
      </w:r>
      <w:r w:rsidR="000D735E">
        <w:rPr>
          <w:rFonts w:eastAsia="Calibri" w:cs="Calibri"/>
        </w:rPr>
        <w:t>,</w:t>
      </w:r>
      <w:r w:rsidR="4D4E49AD" w:rsidRPr="2D65516E">
        <w:rPr>
          <w:rFonts w:eastAsia="Calibri" w:cs="Calibri"/>
        </w:rPr>
        <w:t xml:space="preserve"> </w:t>
      </w:r>
      <w:r w:rsidR="49EE6995" w:rsidRPr="3326E6A4">
        <w:rPr>
          <w:rFonts w:eastAsia="Calibri" w:cs="Calibri"/>
        </w:rPr>
        <w:t>improve student access and learning outcomes</w:t>
      </w:r>
      <w:r w:rsidR="105C93C2" w:rsidRPr="3326E6A4">
        <w:rPr>
          <w:rFonts w:eastAsia="Calibri" w:cs="Calibri"/>
        </w:rPr>
        <w:t xml:space="preserve"> and system effectiveness</w:t>
      </w:r>
      <w:r w:rsidR="000D735E">
        <w:rPr>
          <w:rFonts w:eastAsia="Calibri" w:cs="Calibri"/>
        </w:rPr>
        <w:t>;</w:t>
      </w:r>
      <w:r w:rsidR="49EE6995" w:rsidRPr="3326E6A4">
        <w:rPr>
          <w:rFonts w:eastAsia="Calibri" w:cs="Calibri"/>
        </w:rPr>
        <w:t xml:space="preserve"> </w:t>
      </w:r>
      <w:r w:rsidR="5B6BA1FB" w:rsidRPr="3326E6A4">
        <w:rPr>
          <w:rFonts w:eastAsia="Calibri" w:cs="Calibri"/>
        </w:rPr>
        <w:t xml:space="preserve">VSP focuses on skills development for employment and </w:t>
      </w:r>
      <w:r w:rsidR="167B1710" w:rsidRPr="3326E6A4">
        <w:rPr>
          <w:rFonts w:eastAsia="Calibri" w:cs="Calibri"/>
        </w:rPr>
        <w:t>entrepreneurship</w:t>
      </w:r>
      <w:r w:rsidR="5A6E36C0" w:rsidRPr="3326E6A4">
        <w:rPr>
          <w:rFonts w:eastAsia="Calibri" w:cs="Calibri"/>
        </w:rPr>
        <w:t xml:space="preserve"> and the strengthening of </w:t>
      </w:r>
      <w:r w:rsidR="794B9C3C" w:rsidRPr="3326E6A4">
        <w:rPr>
          <w:rFonts w:eastAsia="Calibri" w:cs="Calibri"/>
        </w:rPr>
        <w:t>links between the training and productive sectors</w:t>
      </w:r>
      <w:r w:rsidR="00A90D52">
        <w:rPr>
          <w:rFonts w:eastAsia="Calibri" w:cs="Calibri"/>
        </w:rPr>
        <w:t xml:space="preserve"> for </w:t>
      </w:r>
      <w:r w:rsidR="4ED03563" w:rsidRPr="3326E6A4">
        <w:rPr>
          <w:rFonts w:eastAsia="Calibri" w:cs="Calibri"/>
        </w:rPr>
        <w:t xml:space="preserve">inclusive and sustainable economic growth, and supporting </w:t>
      </w:r>
      <w:r w:rsidR="4ED03563" w:rsidRPr="2D65516E">
        <w:rPr>
          <w:rFonts w:eastAsia="Calibri" w:cs="Calibri"/>
        </w:rPr>
        <w:t>developmental leadership and good governance to drive service delivery reform</w:t>
      </w:r>
      <w:r w:rsidR="167B1710" w:rsidRPr="3326E6A4">
        <w:rPr>
          <w:rFonts w:eastAsia="Calibri" w:cs="Calibri"/>
        </w:rPr>
        <w:t>.</w:t>
      </w:r>
      <w:r w:rsidRPr="3326E6A4">
        <w:rPr>
          <w:rFonts w:eastAsia="Calibri" w:cs="Calibri"/>
        </w:rPr>
        <w:t xml:space="preserve"> Managed by the Department of Foreign Affairs (DFAT) from the Australian High Commission in Port Vila (‘Post’), both programs conclude in 2026</w:t>
      </w:r>
      <w:r w:rsidR="007B37B6">
        <w:rPr>
          <w:rStyle w:val="FootnoteReference"/>
          <w:rFonts w:eastAsia="Calibri" w:cs="Calibri"/>
        </w:rPr>
        <w:footnoteReference w:id="4"/>
      </w:r>
      <w:r w:rsidRPr="3326E6A4">
        <w:rPr>
          <w:rFonts w:eastAsia="Calibri" w:cs="Calibri"/>
        </w:rPr>
        <w:t xml:space="preserve">. DFAT has therefore commissioned a design team to work with stakeholders to design the next phase of Australian investment and support. </w:t>
      </w:r>
    </w:p>
    <w:p w14:paraId="0107F352" w14:textId="0425BC38" w:rsidR="00011D70" w:rsidRDefault="7B8FE84B" w:rsidP="00011D70">
      <w:pPr>
        <w:rPr>
          <w:rFonts w:eastAsia="Calibri" w:cs="Calibri"/>
          <w:color w:val="212121"/>
          <w:lang w:val="en-GB"/>
        </w:rPr>
      </w:pPr>
      <w:r w:rsidRPr="2D65516E">
        <w:rPr>
          <w:rFonts w:eastAsia="Calibri" w:cs="Calibri"/>
        </w:rPr>
        <w:t xml:space="preserve">The first phase of the design process is a </w:t>
      </w:r>
      <w:r w:rsidRPr="003F0EC4">
        <w:rPr>
          <w:rFonts w:eastAsia="Calibri" w:cs="Calibri"/>
          <w:b/>
          <w:bCs/>
        </w:rPr>
        <w:t xml:space="preserve">high-level </w:t>
      </w:r>
      <w:r w:rsidR="003B6E3F" w:rsidRPr="003F0EC4">
        <w:rPr>
          <w:rFonts w:eastAsia="Calibri" w:cs="Calibri"/>
          <w:b/>
          <w:bCs/>
        </w:rPr>
        <w:t xml:space="preserve">modality </w:t>
      </w:r>
      <w:r w:rsidRPr="003F0EC4">
        <w:rPr>
          <w:rFonts w:eastAsia="Calibri" w:cs="Calibri"/>
          <w:b/>
          <w:bCs/>
        </w:rPr>
        <w:t>review</w:t>
      </w:r>
      <w:r w:rsidRPr="2D65516E">
        <w:rPr>
          <w:rFonts w:eastAsia="Calibri" w:cs="Calibri"/>
        </w:rPr>
        <w:t xml:space="preserve"> to synthesise the strengths and challenges in VSP and VAESP, and to recommend the best modality for the next design, particularly whether the two programs should remain as separate </w:t>
      </w:r>
      <w:proofErr w:type="gramStart"/>
      <w:r w:rsidRPr="2D65516E">
        <w:rPr>
          <w:rFonts w:eastAsia="Calibri" w:cs="Calibri"/>
        </w:rPr>
        <w:t>investments, or</w:t>
      </w:r>
      <w:proofErr w:type="gramEnd"/>
      <w:r w:rsidRPr="2D65516E">
        <w:rPr>
          <w:rFonts w:eastAsia="Calibri" w:cs="Calibri"/>
        </w:rPr>
        <w:t xml:space="preserve"> be brought more closely together in a single design and contract. </w:t>
      </w:r>
      <w:r w:rsidRPr="2D65516E">
        <w:rPr>
          <w:rFonts w:eastAsia="Calibri" w:cs="Calibri"/>
          <w:color w:val="212121"/>
          <w:lang w:val="en-GB"/>
        </w:rPr>
        <w:t>The overall aim is to increase the coherence</w:t>
      </w:r>
      <w:r w:rsidR="00B746B6" w:rsidRPr="2D65516E">
        <w:rPr>
          <w:rFonts w:eastAsia="Calibri" w:cs="Calibri"/>
          <w:color w:val="212121"/>
          <w:lang w:val="en-GB"/>
        </w:rPr>
        <w:t>,</w:t>
      </w:r>
      <w:r w:rsidR="00857C1E" w:rsidRPr="2D65516E">
        <w:rPr>
          <w:rFonts w:eastAsia="Calibri" w:cs="Calibri"/>
          <w:color w:val="212121"/>
          <w:lang w:val="en-GB"/>
        </w:rPr>
        <w:t xml:space="preserve"> </w:t>
      </w:r>
      <w:r w:rsidRPr="2D65516E">
        <w:rPr>
          <w:rFonts w:eastAsia="Calibri" w:cs="Calibri"/>
          <w:color w:val="212121"/>
          <w:lang w:val="en-GB"/>
        </w:rPr>
        <w:t>coordination</w:t>
      </w:r>
      <w:r w:rsidR="00B746B6" w:rsidRPr="2D65516E">
        <w:rPr>
          <w:rFonts w:eastAsia="Calibri" w:cs="Calibri"/>
          <w:color w:val="212121"/>
          <w:lang w:val="en-GB"/>
        </w:rPr>
        <w:t xml:space="preserve"> and efficiency</w:t>
      </w:r>
      <w:r w:rsidRPr="2D65516E">
        <w:rPr>
          <w:rFonts w:eastAsia="Calibri" w:cs="Calibri"/>
          <w:color w:val="212121"/>
          <w:lang w:val="en-GB"/>
        </w:rPr>
        <w:t xml:space="preserve"> of Australia’s programming in these sectors, reflecting their joint positioning under Vanuatu</w:t>
      </w:r>
      <w:r w:rsidR="09C0CA2F" w:rsidRPr="2D65516E">
        <w:rPr>
          <w:rFonts w:eastAsia="Calibri" w:cs="Calibri"/>
          <w:color w:val="212121"/>
          <w:lang w:val="en-GB"/>
        </w:rPr>
        <w:t>’s</w:t>
      </w:r>
      <w:r w:rsidRPr="2D65516E">
        <w:rPr>
          <w:rFonts w:eastAsia="Calibri" w:cs="Calibri"/>
          <w:color w:val="212121"/>
          <w:lang w:val="en-GB"/>
        </w:rPr>
        <w:t xml:space="preserve"> </w:t>
      </w:r>
      <w:proofErr w:type="spellStart"/>
      <w:r w:rsidRPr="2D65516E">
        <w:rPr>
          <w:rFonts w:eastAsia="Calibri" w:cs="Calibri"/>
          <w:color w:val="212121"/>
          <w:lang w:val="en-GB"/>
        </w:rPr>
        <w:t>MoET</w:t>
      </w:r>
      <w:proofErr w:type="spellEnd"/>
      <w:r w:rsidRPr="2D65516E">
        <w:rPr>
          <w:rFonts w:eastAsia="Calibri" w:cs="Calibri"/>
          <w:color w:val="212121"/>
          <w:lang w:val="en-GB"/>
        </w:rPr>
        <w:t xml:space="preserve">, and to build on the most successful elements of both programs to enable greater achievement of development outcomes for Vanuatu and its citizens. </w:t>
      </w:r>
    </w:p>
    <w:p w14:paraId="47EA3E72" w14:textId="603DB987" w:rsidR="00EE06F7" w:rsidRDefault="00EE06F7" w:rsidP="00011D70">
      <w:pPr>
        <w:rPr>
          <w:rFonts w:eastAsia="Calibri" w:cs="Calibri"/>
          <w:color w:val="212121"/>
          <w:lang w:val="en-GB"/>
        </w:rPr>
      </w:pPr>
      <w:r w:rsidRPr="2D65516E">
        <w:rPr>
          <w:rFonts w:eastAsia="Calibri" w:cs="Calibri"/>
          <w:color w:val="212121"/>
          <w:lang w:val="en-GB"/>
        </w:rPr>
        <w:lastRenderedPageBreak/>
        <w:t xml:space="preserve">The high-level review </w:t>
      </w:r>
      <w:r w:rsidR="4832715D" w:rsidRPr="2D65516E">
        <w:rPr>
          <w:rFonts w:eastAsia="Calibri" w:cs="Calibri"/>
          <w:color w:val="212121"/>
          <w:lang w:val="en-GB"/>
        </w:rPr>
        <w:t xml:space="preserve">examined existing documentation and evidence, and has </w:t>
      </w:r>
      <w:r w:rsidRPr="2D65516E">
        <w:rPr>
          <w:rFonts w:eastAsia="Calibri" w:cs="Calibri"/>
          <w:color w:val="212121"/>
          <w:lang w:val="en-GB"/>
        </w:rPr>
        <w:t xml:space="preserve">identified strengths and issues in both current programs: </w:t>
      </w:r>
    </w:p>
    <w:p w14:paraId="7F8403C5" w14:textId="0D777841" w:rsidR="00EE06F7" w:rsidRDefault="00EE06F7" w:rsidP="2D65516E">
      <w:pPr>
        <w:rPr>
          <w:rFonts w:eastAsia="Calibri" w:cs="Calibri"/>
          <w:color w:val="212121"/>
          <w:lang w:val="en-GB"/>
        </w:rPr>
      </w:pPr>
      <w:r w:rsidRPr="6FCA30B7">
        <w:rPr>
          <w:rFonts w:eastAsia="Calibri" w:cs="Calibri"/>
          <w:b/>
          <w:bCs/>
          <w:color w:val="212121"/>
          <w:lang w:val="en-GB"/>
        </w:rPr>
        <w:t>VAESP</w:t>
      </w:r>
      <w:r w:rsidR="007C5A40" w:rsidRPr="6FCA30B7">
        <w:rPr>
          <w:rFonts w:eastAsia="Calibri" w:cs="Calibri"/>
          <w:b/>
          <w:bCs/>
          <w:color w:val="212121"/>
          <w:lang w:val="en-GB"/>
        </w:rPr>
        <w:t xml:space="preserve">, </w:t>
      </w:r>
      <w:r w:rsidR="007C5A40" w:rsidRPr="6FCA30B7">
        <w:rPr>
          <w:rFonts w:eastAsia="Calibri" w:cs="Calibri"/>
          <w:color w:val="212121"/>
          <w:lang w:val="en-GB"/>
        </w:rPr>
        <w:t>with its</w:t>
      </w:r>
      <w:r w:rsidR="007C5A40" w:rsidRPr="6FCA30B7">
        <w:rPr>
          <w:rFonts w:eastAsia="Calibri" w:cs="Calibri"/>
          <w:b/>
          <w:bCs/>
          <w:color w:val="212121"/>
          <w:lang w:val="en-GB"/>
        </w:rPr>
        <w:t xml:space="preserve"> </w:t>
      </w:r>
      <w:r w:rsidRPr="6FCA30B7">
        <w:rPr>
          <w:rFonts w:eastAsia="Calibri" w:cs="Calibri"/>
          <w:color w:val="212121"/>
          <w:lang w:val="en-GB"/>
        </w:rPr>
        <w:t>mixed modality design</w:t>
      </w:r>
      <w:r w:rsidR="007C5A40" w:rsidRPr="6FCA30B7">
        <w:rPr>
          <w:rFonts w:eastAsia="Calibri" w:cs="Calibri"/>
          <w:color w:val="212121"/>
          <w:lang w:val="en-GB"/>
        </w:rPr>
        <w:t xml:space="preserve"> (</w:t>
      </w:r>
      <w:r w:rsidRPr="6FCA30B7">
        <w:rPr>
          <w:rFonts w:eastAsia="Calibri" w:cs="Calibri"/>
          <w:color w:val="212121"/>
          <w:lang w:val="en-GB"/>
        </w:rPr>
        <w:t>managing contractor</w:t>
      </w:r>
      <w:r w:rsidR="008D1470" w:rsidRPr="6FCA30B7">
        <w:rPr>
          <w:rFonts w:eastAsia="Calibri" w:cs="Calibri"/>
          <w:color w:val="212121"/>
          <w:lang w:val="en-GB"/>
        </w:rPr>
        <w:t xml:space="preserve"> with a mix of international and national staffing and technical </w:t>
      </w:r>
      <w:r w:rsidR="100B8E17" w:rsidRPr="6FCA30B7">
        <w:rPr>
          <w:rFonts w:eastAsia="Calibri" w:cs="Calibri"/>
          <w:color w:val="212121"/>
          <w:lang w:val="en-GB"/>
        </w:rPr>
        <w:t>advisory support</w:t>
      </w:r>
      <w:r w:rsidRPr="6FCA30B7">
        <w:rPr>
          <w:rFonts w:eastAsia="Calibri" w:cs="Calibri"/>
          <w:color w:val="212121"/>
          <w:lang w:val="en-GB"/>
        </w:rPr>
        <w:t xml:space="preserve">, direct funding </w:t>
      </w:r>
      <w:r w:rsidR="00ED36B8" w:rsidRPr="6FCA30B7">
        <w:rPr>
          <w:rFonts w:eastAsia="Calibri" w:cs="Calibri"/>
          <w:color w:val="212121"/>
          <w:lang w:val="en-GB"/>
        </w:rPr>
        <w:t>arrangement</w:t>
      </w:r>
      <w:r w:rsidR="003B6E3F" w:rsidRPr="6FCA30B7">
        <w:rPr>
          <w:rFonts w:eastAsia="Calibri" w:cs="Calibri"/>
          <w:color w:val="212121"/>
          <w:lang w:val="en-GB"/>
        </w:rPr>
        <w:t>s</w:t>
      </w:r>
      <w:r w:rsidR="001E7060">
        <w:rPr>
          <w:rStyle w:val="FootnoteReference"/>
          <w:rFonts w:eastAsia="Calibri" w:cs="Calibri"/>
          <w:color w:val="212121"/>
          <w:lang w:val="en-GB"/>
        </w:rPr>
        <w:footnoteReference w:id="5"/>
      </w:r>
      <w:r w:rsidR="00ED36B8" w:rsidRPr="6FCA30B7">
        <w:rPr>
          <w:rFonts w:eastAsia="Calibri" w:cs="Calibri"/>
          <w:color w:val="212121"/>
          <w:lang w:val="en-GB"/>
        </w:rPr>
        <w:t xml:space="preserve"> </w:t>
      </w:r>
      <w:r w:rsidRPr="6FCA30B7">
        <w:rPr>
          <w:rFonts w:eastAsia="Calibri" w:cs="Calibri"/>
          <w:color w:val="212121"/>
          <w:lang w:val="en-GB"/>
        </w:rPr>
        <w:t>(DFA) and independent education specialist</w:t>
      </w:r>
      <w:r w:rsidR="007C5A40" w:rsidRPr="6FCA30B7">
        <w:rPr>
          <w:rFonts w:eastAsia="Calibri" w:cs="Calibri"/>
          <w:color w:val="212121"/>
          <w:lang w:val="en-GB"/>
        </w:rPr>
        <w:t>)</w:t>
      </w:r>
      <w:r w:rsidRPr="6FCA30B7">
        <w:rPr>
          <w:rFonts w:eastAsia="Calibri" w:cs="Calibri"/>
          <w:color w:val="212121"/>
          <w:lang w:val="en-GB"/>
        </w:rPr>
        <w:t xml:space="preserve"> is well suited to the complex context and brings some efficiencies. </w:t>
      </w:r>
      <w:r w:rsidR="007C5A40" w:rsidRPr="6FCA30B7">
        <w:rPr>
          <w:rFonts w:eastAsia="Calibri" w:cs="Calibri"/>
          <w:color w:val="212121"/>
          <w:lang w:val="en-GB"/>
        </w:rPr>
        <w:t>It</w:t>
      </w:r>
      <w:r w:rsidRPr="6FCA30B7">
        <w:rPr>
          <w:rFonts w:eastAsia="Calibri" w:cs="Calibri"/>
          <w:color w:val="212121"/>
          <w:lang w:val="en-GB"/>
        </w:rPr>
        <w:t xml:space="preserve"> is structurally aligned with </w:t>
      </w:r>
      <w:proofErr w:type="spellStart"/>
      <w:r w:rsidRPr="6FCA30B7">
        <w:rPr>
          <w:rFonts w:eastAsia="Calibri" w:cs="Calibri"/>
          <w:color w:val="212121"/>
          <w:lang w:val="en-GB"/>
        </w:rPr>
        <w:t>MoET</w:t>
      </w:r>
      <w:proofErr w:type="spellEnd"/>
      <w:r w:rsidRPr="6FCA30B7">
        <w:rPr>
          <w:rFonts w:eastAsia="Calibri" w:cs="Calibri"/>
          <w:color w:val="212121"/>
          <w:lang w:val="en-GB"/>
        </w:rPr>
        <w:t xml:space="preserve"> (e.g. co-located advisers, funding aligned with </w:t>
      </w:r>
      <w:proofErr w:type="spellStart"/>
      <w:r w:rsidRPr="6FCA30B7">
        <w:rPr>
          <w:rFonts w:eastAsia="Calibri" w:cs="Calibri"/>
          <w:color w:val="212121"/>
          <w:lang w:val="en-GB"/>
        </w:rPr>
        <w:t>MoET</w:t>
      </w:r>
      <w:proofErr w:type="spellEnd"/>
      <w:r w:rsidRPr="6FCA30B7">
        <w:rPr>
          <w:rFonts w:eastAsia="Calibri" w:cs="Calibri"/>
          <w:color w:val="212121"/>
          <w:lang w:val="en-GB"/>
        </w:rPr>
        <w:t xml:space="preserve"> annual plans)</w:t>
      </w:r>
      <w:r w:rsidR="605FC15D" w:rsidRPr="6FCA30B7">
        <w:rPr>
          <w:rFonts w:eastAsia="Calibri" w:cs="Calibri"/>
          <w:color w:val="212121"/>
          <w:lang w:val="en-GB"/>
        </w:rPr>
        <w:t xml:space="preserve"> and works in support of </w:t>
      </w:r>
      <w:proofErr w:type="spellStart"/>
      <w:r w:rsidR="605FC15D" w:rsidRPr="6FCA30B7">
        <w:rPr>
          <w:rFonts w:eastAsia="Calibri" w:cs="Calibri"/>
          <w:color w:val="212121"/>
          <w:lang w:val="en-GB"/>
        </w:rPr>
        <w:t>MoET</w:t>
      </w:r>
      <w:proofErr w:type="spellEnd"/>
      <w:r w:rsidR="605FC15D" w:rsidRPr="6FCA30B7">
        <w:rPr>
          <w:rFonts w:eastAsia="Calibri" w:cs="Calibri"/>
          <w:color w:val="212121"/>
          <w:lang w:val="en-GB"/>
        </w:rPr>
        <w:t>, with</w:t>
      </w:r>
      <w:r w:rsidR="00E5627D">
        <w:rPr>
          <w:rFonts w:eastAsia="Calibri" w:cs="Calibri"/>
          <w:color w:val="212121"/>
          <w:lang w:val="en-GB"/>
        </w:rPr>
        <w:t xml:space="preserve"> </w:t>
      </w:r>
      <w:r w:rsidRPr="6FCA30B7">
        <w:rPr>
          <w:rFonts w:eastAsia="Calibri" w:cs="Calibri"/>
          <w:color w:val="212121"/>
          <w:lang w:val="en-GB"/>
        </w:rPr>
        <w:t xml:space="preserve">a high degree of relevance to </w:t>
      </w:r>
      <w:proofErr w:type="spellStart"/>
      <w:r w:rsidRPr="6FCA30B7">
        <w:rPr>
          <w:rFonts w:eastAsia="Calibri" w:cs="Calibri"/>
          <w:color w:val="212121"/>
          <w:lang w:val="en-GB"/>
        </w:rPr>
        <w:t>GoV</w:t>
      </w:r>
      <w:proofErr w:type="spellEnd"/>
      <w:r w:rsidRPr="6FCA30B7">
        <w:rPr>
          <w:rFonts w:eastAsia="Calibri" w:cs="Calibri"/>
          <w:color w:val="212121"/>
          <w:lang w:val="en-GB"/>
        </w:rPr>
        <w:t xml:space="preserve"> and </w:t>
      </w:r>
      <w:proofErr w:type="spellStart"/>
      <w:r w:rsidRPr="6FCA30B7">
        <w:rPr>
          <w:rFonts w:eastAsia="Calibri" w:cs="Calibri"/>
          <w:color w:val="212121"/>
          <w:lang w:val="en-GB"/>
        </w:rPr>
        <w:t>GoA</w:t>
      </w:r>
      <w:proofErr w:type="spellEnd"/>
      <w:r w:rsidRPr="6FCA30B7">
        <w:rPr>
          <w:rFonts w:eastAsia="Calibri" w:cs="Calibri"/>
          <w:color w:val="212121"/>
          <w:lang w:val="en-GB"/>
        </w:rPr>
        <w:t xml:space="preserve"> priorities. There </w:t>
      </w:r>
      <w:r w:rsidR="00270DB8" w:rsidRPr="6FCA30B7">
        <w:rPr>
          <w:rFonts w:eastAsia="Calibri" w:cs="Calibri"/>
          <w:color w:val="212121"/>
          <w:lang w:val="en-GB"/>
        </w:rPr>
        <w:t xml:space="preserve">is evidence </w:t>
      </w:r>
      <w:r w:rsidR="003B6E3F" w:rsidRPr="6FCA30B7">
        <w:rPr>
          <w:rFonts w:eastAsia="Calibri" w:cs="Calibri"/>
          <w:color w:val="212121"/>
          <w:lang w:val="en-GB"/>
        </w:rPr>
        <w:t>of</w:t>
      </w:r>
      <w:r w:rsidRPr="6FCA30B7">
        <w:rPr>
          <w:rFonts w:eastAsia="Calibri" w:cs="Calibri"/>
          <w:color w:val="212121"/>
          <w:lang w:val="en-GB"/>
        </w:rPr>
        <w:t xml:space="preserve"> promising practices beginning to emerge, in curriculum improvement, parent support and inclusive education. The Australia Awards </w:t>
      </w:r>
      <w:r w:rsidR="3947E827" w:rsidRPr="6FCA30B7">
        <w:rPr>
          <w:rFonts w:eastAsia="Calibri" w:cs="Calibri"/>
          <w:color w:val="212121"/>
          <w:lang w:val="en-GB"/>
        </w:rPr>
        <w:t xml:space="preserve">Vanuatu </w:t>
      </w:r>
      <w:r w:rsidRPr="6FCA30B7">
        <w:rPr>
          <w:rFonts w:eastAsia="Calibri" w:cs="Calibri"/>
          <w:color w:val="212121"/>
          <w:lang w:val="en-GB"/>
        </w:rPr>
        <w:t xml:space="preserve">program is valued and has the potential to grow and innovate to increase its </w:t>
      </w:r>
      <w:r w:rsidR="247CA374" w:rsidRPr="2D65516E">
        <w:rPr>
          <w:rFonts w:eastAsia="Calibri" w:cs="Calibri"/>
          <w:color w:val="212121"/>
          <w:lang w:val="en-GB"/>
        </w:rPr>
        <w:t>impact</w:t>
      </w:r>
      <w:r w:rsidRPr="6FCA30B7">
        <w:rPr>
          <w:rFonts w:eastAsia="Calibri" w:cs="Calibri"/>
          <w:color w:val="212121"/>
          <w:lang w:val="en-GB"/>
        </w:rPr>
        <w:t xml:space="preserve">. The direct funding </w:t>
      </w:r>
      <w:r w:rsidR="00ED36B8" w:rsidRPr="6FCA30B7">
        <w:rPr>
          <w:rFonts w:eastAsia="Calibri" w:cs="Calibri"/>
          <w:color w:val="212121"/>
          <w:lang w:val="en-GB"/>
        </w:rPr>
        <w:t xml:space="preserve">arrangement </w:t>
      </w:r>
      <w:r w:rsidRPr="6FCA30B7">
        <w:rPr>
          <w:rFonts w:eastAsia="Calibri" w:cs="Calibri"/>
          <w:color w:val="212121"/>
          <w:lang w:val="en-GB"/>
        </w:rPr>
        <w:t xml:space="preserve">is flexible, valued by </w:t>
      </w:r>
      <w:proofErr w:type="spellStart"/>
      <w:r w:rsidRPr="6FCA30B7">
        <w:rPr>
          <w:rFonts w:eastAsia="Calibri" w:cs="Calibri"/>
          <w:color w:val="212121"/>
          <w:lang w:val="en-GB"/>
        </w:rPr>
        <w:t>GoV</w:t>
      </w:r>
      <w:proofErr w:type="spellEnd"/>
      <w:r w:rsidRPr="6FCA30B7">
        <w:rPr>
          <w:rFonts w:eastAsia="Calibri" w:cs="Calibri"/>
          <w:color w:val="212121"/>
          <w:lang w:val="en-GB"/>
        </w:rPr>
        <w:t xml:space="preserve">, and can accommodate additional funding when required to respond to disasters or other emerging needs. </w:t>
      </w:r>
    </w:p>
    <w:p w14:paraId="4C44F065" w14:textId="7E59885A" w:rsidR="007C5A40" w:rsidRPr="008B222B" w:rsidRDefault="007C5A40" w:rsidP="2D65516E">
      <w:pPr>
        <w:rPr>
          <w:lang w:val="en-GB"/>
        </w:rPr>
      </w:pPr>
      <w:r w:rsidRPr="2D65516E">
        <w:rPr>
          <w:lang w:val="en-GB"/>
        </w:rPr>
        <w:t xml:space="preserve">There are some significant issues facing VAESP, however. </w:t>
      </w:r>
      <w:r w:rsidR="1E4BBA3E" w:rsidRPr="2D65516E">
        <w:rPr>
          <w:lang w:val="en-GB"/>
        </w:rPr>
        <w:t xml:space="preserve">Progress towards its outcomes is dependent on the leadership and priorities in </w:t>
      </w:r>
      <w:proofErr w:type="spellStart"/>
      <w:proofErr w:type="gramStart"/>
      <w:r w:rsidR="1E4BBA3E" w:rsidRPr="2D65516E">
        <w:rPr>
          <w:lang w:val="en-GB"/>
        </w:rPr>
        <w:t>MoET</w:t>
      </w:r>
      <w:proofErr w:type="spellEnd"/>
      <w:r w:rsidR="1E4BBA3E" w:rsidRPr="2D65516E">
        <w:rPr>
          <w:lang w:val="en-GB"/>
        </w:rPr>
        <w:t>, and</w:t>
      </w:r>
      <w:proofErr w:type="gramEnd"/>
      <w:r w:rsidR="1E4BBA3E" w:rsidRPr="2D65516E">
        <w:rPr>
          <w:lang w:val="en-GB"/>
        </w:rPr>
        <w:t xml:space="preserve"> </w:t>
      </w:r>
      <w:r w:rsidR="1E451603" w:rsidRPr="2D65516E">
        <w:rPr>
          <w:lang w:val="en-GB"/>
        </w:rPr>
        <w:t xml:space="preserve">combined with </w:t>
      </w:r>
      <w:r w:rsidR="07B40F28" w:rsidRPr="2D65516E">
        <w:rPr>
          <w:lang w:val="en-GB"/>
        </w:rPr>
        <w:t xml:space="preserve">VAESP’s responsive approach </w:t>
      </w:r>
      <w:r w:rsidR="777A84A6" w:rsidRPr="2D65516E">
        <w:rPr>
          <w:lang w:val="en-GB"/>
        </w:rPr>
        <w:t xml:space="preserve">this </w:t>
      </w:r>
      <w:r w:rsidRPr="2D65516E">
        <w:rPr>
          <w:lang w:val="en-GB"/>
        </w:rPr>
        <w:t xml:space="preserve">has </w:t>
      </w:r>
      <w:r w:rsidR="1E5D6648" w:rsidRPr="2D65516E">
        <w:rPr>
          <w:lang w:val="en-GB"/>
        </w:rPr>
        <w:t>encouraged a</w:t>
      </w:r>
      <w:r w:rsidRPr="2D65516E">
        <w:rPr>
          <w:lang w:val="en-GB"/>
        </w:rPr>
        <w:t xml:space="preserve"> focus </w:t>
      </w:r>
      <w:r w:rsidR="5D838FBD" w:rsidRPr="2D65516E">
        <w:rPr>
          <w:lang w:val="en-GB"/>
        </w:rPr>
        <w:t xml:space="preserve">on the </w:t>
      </w:r>
      <w:r w:rsidRPr="2D65516E">
        <w:rPr>
          <w:lang w:val="en-GB"/>
        </w:rPr>
        <w:t>delivery of outputs</w:t>
      </w:r>
      <w:r w:rsidR="736F5966" w:rsidRPr="2D65516E">
        <w:rPr>
          <w:lang w:val="en-GB"/>
        </w:rPr>
        <w:t xml:space="preserve">. How VAESP outputs are contributing to sustained change at a classroom level is less evident. </w:t>
      </w:r>
      <w:r w:rsidR="00EE06F7" w:rsidRPr="2D65516E">
        <w:rPr>
          <w:lang w:val="en-GB"/>
        </w:rPr>
        <w:t xml:space="preserve"> </w:t>
      </w:r>
      <w:r w:rsidRPr="2D65516E">
        <w:rPr>
          <w:lang w:val="en-GB"/>
        </w:rPr>
        <w:t xml:space="preserve">There is significant scope for a more </w:t>
      </w:r>
      <w:r w:rsidR="007563D5" w:rsidRPr="2D65516E">
        <w:rPr>
          <w:lang w:val="en-GB"/>
        </w:rPr>
        <w:t xml:space="preserve">adaptive, </w:t>
      </w:r>
      <w:proofErr w:type="gramStart"/>
      <w:r w:rsidR="007563D5" w:rsidRPr="2D65516E">
        <w:rPr>
          <w:lang w:val="en-GB"/>
        </w:rPr>
        <w:t>politically-informed</w:t>
      </w:r>
      <w:proofErr w:type="gramEnd"/>
      <w:r w:rsidR="007563D5" w:rsidRPr="2D65516E">
        <w:rPr>
          <w:lang w:val="en-GB"/>
        </w:rPr>
        <w:t xml:space="preserve"> approach guided by a robust theory of change and strategic risk management. </w:t>
      </w:r>
      <w:r w:rsidRPr="2D65516E">
        <w:rPr>
          <w:lang w:val="en-GB"/>
        </w:rPr>
        <w:t xml:space="preserve">Local expertise and leadership </w:t>
      </w:r>
      <w:r w:rsidR="00B746B6" w:rsidRPr="2D65516E">
        <w:rPr>
          <w:lang w:val="en-GB"/>
        </w:rPr>
        <w:t>are</w:t>
      </w:r>
      <w:r w:rsidRPr="2D65516E">
        <w:rPr>
          <w:lang w:val="en-GB"/>
        </w:rPr>
        <w:t xml:space="preserve"> under-utilised and undervalued</w:t>
      </w:r>
      <w:r w:rsidR="008B222B" w:rsidRPr="2D65516E">
        <w:rPr>
          <w:lang w:val="en-GB"/>
        </w:rPr>
        <w:t xml:space="preserve">, and there has been a prolonged lack of meaningful monitoring, evaluation and learning (MEL). </w:t>
      </w:r>
      <w:r w:rsidR="1D20B6D0" w:rsidRPr="2D65516E">
        <w:rPr>
          <w:lang w:val="en-GB"/>
        </w:rPr>
        <w:t>As a result, e</w:t>
      </w:r>
      <w:r w:rsidR="008B222B" w:rsidRPr="2D65516E">
        <w:rPr>
          <w:lang w:val="en-GB"/>
        </w:rPr>
        <w:t>vidence of positive outcomes</w:t>
      </w:r>
      <w:r w:rsidR="00270DB8" w:rsidRPr="2D65516E">
        <w:rPr>
          <w:lang w:val="en-GB"/>
        </w:rPr>
        <w:t>, including</w:t>
      </w:r>
      <w:r w:rsidR="008B222B" w:rsidRPr="2D65516E">
        <w:rPr>
          <w:lang w:val="en-GB"/>
        </w:rPr>
        <w:t xml:space="preserve"> in gender equality and disability inclusion</w:t>
      </w:r>
      <w:r w:rsidR="36BAFA62" w:rsidRPr="2D65516E">
        <w:rPr>
          <w:lang w:val="en-GB"/>
        </w:rPr>
        <w:t>,</w:t>
      </w:r>
      <w:r w:rsidR="008B222B" w:rsidRPr="2D65516E">
        <w:rPr>
          <w:lang w:val="en-GB"/>
        </w:rPr>
        <w:t xml:space="preserve"> is limited. </w:t>
      </w:r>
    </w:p>
    <w:p w14:paraId="166AF5DF" w14:textId="627DE888" w:rsidR="005B60BF" w:rsidRPr="008B222B" w:rsidRDefault="008B222B" w:rsidP="008B222B">
      <w:pPr>
        <w:rPr>
          <w:lang w:val="en-GB"/>
        </w:rPr>
      </w:pPr>
      <w:r w:rsidRPr="38E62D81">
        <w:rPr>
          <w:lang w:val="en-GB"/>
        </w:rPr>
        <w:t xml:space="preserve">There are signs of some disconnect between the </w:t>
      </w:r>
      <w:r w:rsidRPr="38E62D81">
        <w:rPr>
          <w:rFonts w:eastAsia="Calibri" w:cs="Calibri"/>
          <w:color w:val="212121"/>
          <w:lang w:val="en-GB"/>
        </w:rPr>
        <w:t xml:space="preserve">different component modalities i.e. the contractor, </w:t>
      </w:r>
      <w:r w:rsidR="00D00D23">
        <w:rPr>
          <w:rFonts w:eastAsia="Calibri" w:cs="Calibri"/>
          <w:color w:val="212121"/>
          <w:lang w:val="en-GB"/>
        </w:rPr>
        <w:t>(</w:t>
      </w:r>
      <w:r w:rsidR="008C2E03">
        <w:rPr>
          <w:rFonts w:eastAsia="Calibri" w:cs="Calibri"/>
          <w:color w:val="212121"/>
          <w:lang w:val="en-GB"/>
        </w:rPr>
        <w:t>currently Tetra Tech</w:t>
      </w:r>
      <w:r w:rsidR="00D00D23">
        <w:rPr>
          <w:rFonts w:eastAsia="Calibri" w:cs="Calibri"/>
          <w:color w:val="212121"/>
          <w:lang w:val="en-GB"/>
        </w:rPr>
        <w:t>)</w:t>
      </w:r>
      <w:r w:rsidR="008C2E03">
        <w:rPr>
          <w:rFonts w:eastAsia="Calibri" w:cs="Calibri"/>
          <w:color w:val="212121"/>
          <w:lang w:val="en-GB"/>
        </w:rPr>
        <w:t xml:space="preserve">, </w:t>
      </w:r>
      <w:r w:rsidRPr="38E62D81">
        <w:rPr>
          <w:rFonts w:eastAsia="Calibri" w:cs="Calibri"/>
          <w:color w:val="212121"/>
          <w:lang w:val="en-GB"/>
        </w:rPr>
        <w:t xml:space="preserve">direct funding, the independent </w:t>
      </w:r>
      <w:r w:rsidR="00D00D23">
        <w:rPr>
          <w:rFonts w:eastAsia="Calibri" w:cs="Calibri"/>
          <w:color w:val="212121"/>
          <w:lang w:val="en-GB"/>
        </w:rPr>
        <w:t xml:space="preserve">education </w:t>
      </w:r>
      <w:r w:rsidRPr="38E62D81">
        <w:rPr>
          <w:rFonts w:eastAsia="Calibri" w:cs="Calibri"/>
          <w:color w:val="212121"/>
          <w:lang w:val="en-GB"/>
        </w:rPr>
        <w:t xml:space="preserve">adviser, and some </w:t>
      </w:r>
      <w:r w:rsidRPr="38E62D81">
        <w:rPr>
          <w:lang w:val="en-GB"/>
        </w:rPr>
        <w:t>challenges</w:t>
      </w:r>
      <w:r w:rsidR="007563D5" w:rsidRPr="38E62D81">
        <w:rPr>
          <w:lang w:val="en-GB"/>
        </w:rPr>
        <w:t xml:space="preserve"> in </w:t>
      </w:r>
      <w:proofErr w:type="spellStart"/>
      <w:r w:rsidRPr="38E62D81">
        <w:rPr>
          <w:lang w:val="en-GB"/>
        </w:rPr>
        <w:t>MoET</w:t>
      </w:r>
      <w:proofErr w:type="spellEnd"/>
      <w:r w:rsidR="007563D5" w:rsidRPr="38E62D81">
        <w:rPr>
          <w:lang w:val="en-GB"/>
        </w:rPr>
        <w:t xml:space="preserve"> management of the DFA, with gaps in monitoring, auditing, reporting and expending. </w:t>
      </w:r>
      <w:r w:rsidR="4FD24A17" w:rsidRPr="38E62D81">
        <w:rPr>
          <w:rFonts w:eastAsia="Calibri" w:cs="Calibri"/>
          <w:color w:val="212121"/>
          <w:lang w:val="en-GB"/>
        </w:rPr>
        <w:t xml:space="preserve">There is uncertainty about the future of Open VEMIS (Vanuatu’s education management information system), which </w:t>
      </w:r>
      <w:r w:rsidR="6864C307" w:rsidRPr="38E62D81">
        <w:rPr>
          <w:rFonts w:eastAsia="Calibri" w:cs="Calibri"/>
          <w:color w:val="212121"/>
          <w:lang w:val="en-GB"/>
        </w:rPr>
        <w:t xml:space="preserve">has been </w:t>
      </w:r>
      <w:r w:rsidR="4FD24A17" w:rsidRPr="38E62D81">
        <w:rPr>
          <w:rFonts w:eastAsia="Calibri" w:cs="Calibri"/>
          <w:color w:val="212121"/>
          <w:lang w:val="en-GB"/>
        </w:rPr>
        <w:t xml:space="preserve">supported by VAESP </w:t>
      </w:r>
      <w:r w:rsidRPr="38E62D81">
        <w:rPr>
          <w:rFonts w:eastAsia="Calibri" w:cs="Calibri"/>
          <w:color w:val="212121"/>
          <w:lang w:val="en-GB"/>
        </w:rPr>
        <w:t xml:space="preserve">with plans for </w:t>
      </w:r>
      <w:r w:rsidR="4FD24A17" w:rsidRPr="38E62D81">
        <w:rPr>
          <w:rFonts w:eastAsia="Calibri" w:cs="Calibri"/>
          <w:color w:val="212121"/>
          <w:lang w:val="en-GB"/>
        </w:rPr>
        <w:t xml:space="preserve">a new EMIS </w:t>
      </w:r>
      <w:r w:rsidRPr="38E62D81">
        <w:rPr>
          <w:rFonts w:eastAsia="Calibri" w:cs="Calibri"/>
          <w:color w:val="212121"/>
          <w:lang w:val="en-GB"/>
        </w:rPr>
        <w:t>with</w:t>
      </w:r>
      <w:r w:rsidR="4FD24A17" w:rsidRPr="38E62D81">
        <w:rPr>
          <w:rFonts w:eastAsia="Calibri" w:cs="Calibri"/>
          <w:color w:val="212121"/>
          <w:lang w:val="en-GB"/>
        </w:rPr>
        <w:t xml:space="preserve"> </w:t>
      </w:r>
      <w:r w:rsidR="4A44C1AE" w:rsidRPr="38E62D81">
        <w:rPr>
          <w:rFonts w:eastAsia="Calibri" w:cs="Calibri"/>
          <w:color w:val="212121"/>
          <w:lang w:val="en-GB"/>
        </w:rPr>
        <w:t xml:space="preserve">funding </w:t>
      </w:r>
      <w:r w:rsidR="4FD24A17" w:rsidRPr="38E62D81">
        <w:rPr>
          <w:rFonts w:eastAsia="Calibri" w:cs="Calibri"/>
          <w:color w:val="212121"/>
          <w:lang w:val="en-GB"/>
        </w:rPr>
        <w:t xml:space="preserve">from the Global Partnership for Education. </w:t>
      </w:r>
    </w:p>
    <w:p w14:paraId="1E58A29D" w14:textId="7BF4F138" w:rsidR="00B024C7" w:rsidRDefault="00CD20DA" w:rsidP="0023329D">
      <w:pPr>
        <w:rPr>
          <w:rFonts w:eastAsia="Calibri" w:cs="Calibri"/>
          <w:lang w:val="en-GB"/>
        </w:rPr>
      </w:pPr>
      <w:r w:rsidRPr="6FCA30B7">
        <w:rPr>
          <w:rFonts w:eastAsia="Calibri" w:cs="Calibri"/>
          <w:b/>
          <w:bCs/>
          <w:color w:val="212121"/>
          <w:lang w:val="en-GB"/>
        </w:rPr>
        <w:t>VSP</w:t>
      </w:r>
      <w:r w:rsidRPr="6FCA30B7">
        <w:rPr>
          <w:rFonts w:eastAsia="Calibri" w:cs="Calibri"/>
          <w:color w:val="212121"/>
          <w:lang w:val="en-GB"/>
        </w:rPr>
        <w:t xml:space="preserve"> </w:t>
      </w:r>
      <w:r w:rsidR="7AADF94D" w:rsidRPr="6FCA30B7">
        <w:rPr>
          <w:rFonts w:eastAsia="Calibri" w:cs="Calibri"/>
          <w:color w:val="212121"/>
          <w:lang w:val="en-GB"/>
        </w:rPr>
        <w:t xml:space="preserve">is locally led, managed and staffed, </w:t>
      </w:r>
      <w:r w:rsidR="00B024C7" w:rsidRPr="6FCA30B7">
        <w:rPr>
          <w:rFonts w:eastAsia="Calibri" w:cs="Calibri"/>
          <w:lang w:val="en-GB"/>
        </w:rPr>
        <w:t xml:space="preserve">uses a support contractor modality, </w:t>
      </w:r>
      <w:r w:rsidR="0308CF7E" w:rsidRPr="6FCA30B7">
        <w:rPr>
          <w:rFonts w:eastAsia="Calibri" w:cs="Calibri"/>
          <w:lang w:val="en-GB"/>
        </w:rPr>
        <w:t>has access to support from international personnel on key technical issues</w:t>
      </w:r>
      <w:r w:rsidR="00B024C7" w:rsidRPr="6FCA30B7">
        <w:rPr>
          <w:rFonts w:eastAsia="Calibri" w:cs="Calibri"/>
          <w:lang w:val="en-GB"/>
        </w:rPr>
        <w:t xml:space="preserve">, </w:t>
      </w:r>
      <w:r w:rsidR="00AB5023" w:rsidRPr="6FCA30B7">
        <w:rPr>
          <w:rFonts w:eastAsia="Calibri" w:cs="Calibri"/>
          <w:lang w:val="en-GB"/>
        </w:rPr>
        <w:t xml:space="preserve">and </w:t>
      </w:r>
      <w:r w:rsidR="34C23E35" w:rsidRPr="6FCA30B7">
        <w:rPr>
          <w:rFonts w:eastAsia="Calibri" w:cs="Calibri"/>
          <w:lang w:val="en-GB"/>
        </w:rPr>
        <w:t xml:space="preserve">is </w:t>
      </w:r>
      <w:r w:rsidR="00B024C7" w:rsidRPr="6FCA30B7">
        <w:rPr>
          <w:rFonts w:eastAsia="Calibri" w:cs="Calibri"/>
          <w:lang w:val="en-GB"/>
        </w:rPr>
        <w:t xml:space="preserve">complemented by a Strategic Adviser engaged by Post. The support contractor modality is provided by Palladium (a managing contractor engaged by DFAT) and operates in support of the local leadership, </w:t>
      </w:r>
      <w:r w:rsidR="00AB5023" w:rsidRPr="6FCA30B7">
        <w:rPr>
          <w:rFonts w:eastAsia="Calibri" w:cs="Calibri"/>
          <w:lang w:val="en-GB"/>
        </w:rPr>
        <w:t>through</w:t>
      </w:r>
      <w:r w:rsidR="00B024C7" w:rsidRPr="6FCA30B7">
        <w:rPr>
          <w:rFonts w:eastAsia="Calibri" w:cs="Calibri"/>
          <w:lang w:val="en-GB"/>
        </w:rPr>
        <w:t xml:space="preserve"> a Support </w:t>
      </w:r>
      <w:r w:rsidR="00F97727">
        <w:rPr>
          <w:rFonts w:eastAsia="Calibri" w:cs="Calibri"/>
          <w:lang w:val="en-GB"/>
        </w:rPr>
        <w:t>Hub</w:t>
      </w:r>
      <w:r w:rsidR="00B024C7" w:rsidRPr="6FCA30B7">
        <w:rPr>
          <w:rFonts w:eastAsia="Calibri" w:cs="Calibri"/>
          <w:lang w:val="en-GB"/>
        </w:rPr>
        <w:t xml:space="preserve"> which provides specialist inputs on demand in areas including MEL (known as Quality Systems), strategic communications, contracts and finance, and programming/partnerships. </w:t>
      </w:r>
      <w:r w:rsidR="008D1470" w:rsidRPr="6FCA30B7">
        <w:rPr>
          <w:rFonts w:eastAsia="Calibri" w:cs="Calibri"/>
          <w:lang w:val="en-GB"/>
        </w:rPr>
        <w:t xml:space="preserve">Implementation is complemented by co-investment from the </w:t>
      </w:r>
      <w:proofErr w:type="spellStart"/>
      <w:r w:rsidR="00F97727">
        <w:rPr>
          <w:rFonts w:eastAsia="Calibri" w:cs="Calibri"/>
          <w:lang w:val="en-GB"/>
        </w:rPr>
        <w:t>GoV</w:t>
      </w:r>
      <w:proofErr w:type="spellEnd"/>
      <w:r w:rsidR="00F97727">
        <w:rPr>
          <w:rFonts w:eastAsia="Calibri" w:cs="Calibri"/>
          <w:lang w:val="en-GB"/>
        </w:rPr>
        <w:t xml:space="preserve"> </w:t>
      </w:r>
      <w:r w:rsidR="008D1470" w:rsidRPr="6FCA30B7">
        <w:rPr>
          <w:rFonts w:eastAsia="Calibri" w:cs="Calibri"/>
          <w:lang w:val="en-GB"/>
        </w:rPr>
        <w:t xml:space="preserve">and some targeted direct financing. </w:t>
      </w:r>
      <w:r w:rsidR="00B024C7" w:rsidRPr="6FCA30B7">
        <w:rPr>
          <w:rFonts w:eastAsia="Calibri" w:cs="Calibri"/>
          <w:lang w:val="en-GB"/>
        </w:rPr>
        <w:t xml:space="preserve"> </w:t>
      </w:r>
    </w:p>
    <w:p w14:paraId="6659F6DB" w14:textId="31E1A747" w:rsidR="0023329D" w:rsidRDefault="00B024C7" w:rsidP="0023329D">
      <w:pPr>
        <w:rPr>
          <w:rFonts w:eastAsia="Calibri" w:cs="Calibri"/>
          <w:color w:val="212121"/>
          <w:lang w:val="en-GB"/>
        </w:rPr>
      </w:pPr>
      <w:r>
        <w:rPr>
          <w:rFonts w:eastAsia="Calibri" w:cs="Calibri"/>
          <w:lang w:val="en-GB"/>
        </w:rPr>
        <w:t xml:space="preserve">VSP </w:t>
      </w:r>
      <w:r w:rsidR="00CD20DA" w:rsidRPr="0023329D">
        <w:rPr>
          <w:rFonts w:eastAsia="Calibri" w:cs="Calibri"/>
          <w:color w:val="212121"/>
          <w:lang w:val="en-GB"/>
        </w:rPr>
        <w:t xml:space="preserve">has been widely judged to be a leading example of an effective DFAT investment, demonstrating how genuine local leadership and a long-term, adaptive and </w:t>
      </w:r>
      <w:proofErr w:type="gramStart"/>
      <w:r w:rsidR="00CD20DA" w:rsidRPr="0023329D">
        <w:rPr>
          <w:rFonts w:eastAsia="Calibri" w:cs="Calibri"/>
          <w:color w:val="212121"/>
          <w:lang w:val="en-GB"/>
        </w:rPr>
        <w:t>politically-informed</w:t>
      </w:r>
      <w:proofErr w:type="gramEnd"/>
      <w:r w:rsidR="00CD20DA" w:rsidRPr="0023329D">
        <w:rPr>
          <w:rFonts w:eastAsia="Calibri" w:cs="Calibri"/>
          <w:color w:val="212121"/>
          <w:lang w:val="en-GB"/>
        </w:rPr>
        <w:t xml:space="preserve"> program can contribute to tangible development outcomes</w:t>
      </w:r>
      <w:r w:rsidR="0023329D" w:rsidRPr="0023329D">
        <w:rPr>
          <w:rFonts w:eastAsia="Calibri" w:cs="Calibri"/>
          <w:color w:val="212121"/>
          <w:lang w:val="en-GB"/>
        </w:rPr>
        <w:t xml:space="preserve">. The program has effectively decentralised delivery, including through the integration of Skills Centres within </w:t>
      </w:r>
      <w:proofErr w:type="spellStart"/>
      <w:r w:rsidR="0023329D" w:rsidRPr="0023329D">
        <w:rPr>
          <w:rFonts w:eastAsia="Calibri" w:cs="Calibri"/>
          <w:color w:val="212121"/>
          <w:lang w:val="en-GB"/>
        </w:rPr>
        <w:t>MoET</w:t>
      </w:r>
      <w:proofErr w:type="spellEnd"/>
      <w:r w:rsidR="0023329D" w:rsidRPr="0023329D">
        <w:rPr>
          <w:rFonts w:eastAsia="Calibri" w:cs="Calibri"/>
          <w:color w:val="212121"/>
          <w:lang w:val="en-GB"/>
        </w:rPr>
        <w:t xml:space="preserve">, and their partnerships with provincial government. </w:t>
      </w:r>
      <w:r w:rsidR="0023329D">
        <w:rPr>
          <w:rFonts w:eastAsia="Calibri" w:cs="Calibri"/>
          <w:color w:val="212121"/>
          <w:lang w:val="en-GB"/>
        </w:rPr>
        <w:t xml:space="preserve">There are collaborative and practical partnerships with productive sectors and with local communities, supporting sound links between skills development and market access. </w:t>
      </w:r>
    </w:p>
    <w:p w14:paraId="423B6F62" w14:textId="46949778" w:rsidR="00CD20DA" w:rsidRPr="00CD20DA" w:rsidRDefault="0023329D" w:rsidP="0023329D">
      <w:pPr>
        <w:rPr>
          <w:rFonts w:eastAsia="Calibri" w:cs="Calibri"/>
          <w:color w:val="212121"/>
          <w:lang w:val="en-GB"/>
        </w:rPr>
      </w:pPr>
      <w:r w:rsidRPr="6FCA30B7">
        <w:rPr>
          <w:rFonts w:eastAsia="Calibri" w:cs="Calibri"/>
          <w:color w:val="212121"/>
          <w:lang w:val="en-GB"/>
        </w:rPr>
        <w:t>The incubation of local, developmental leadership is a core achievement of VSP and represents an important element in program culture and priorities.</w:t>
      </w:r>
      <w:r w:rsidR="00AB5023" w:rsidRPr="6FCA30B7">
        <w:rPr>
          <w:rFonts w:eastAsia="Calibri" w:cs="Calibri"/>
          <w:color w:val="212121"/>
          <w:lang w:val="en-GB"/>
        </w:rPr>
        <w:t xml:space="preserve"> It is the product of intensive, purposeful and sustained planning and human resource management.</w:t>
      </w:r>
      <w:r w:rsidRPr="6FCA30B7">
        <w:rPr>
          <w:rFonts w:eastAsia="Calibri" w:cs="Calibri"/>
          <w:color w:val="212121"/>
          <w:lang w:val="en-GB"/>
        </w:rPr>
        <w:t xml:space="preserve"> </w:t>
      </w:r>
      <w:r w:rsidR="00AB5023" w:rsidRPr="6FCA30B7">
        <w:rPr>
          <w:rFonts w:eastAsia="Calibri" w:cs="Calibri"/>
          <w:color w:val="212121"/>
          <w:lang w:val="en-GB"/>
        </w:rPr>
        <w:t xml:space="preserve">VSP </w:t>
      </w:r>
      <w:r w:rsidRPr="6FCA30B7">
        <w:rPr>
          <w:rFonts w:eastAsia="Calibri" w:cs="Calibri"/>
          <w:color w:val="212121"/>
          <w:lang w:val="en-GB"/>
        </w:rPr>
        <w:t xml:space="preserve">has a strong track record on the inclusivity of women and people with disabilities which is influencing well beyond its own activities. The </w:t>
      </w:r>
      <w:r w:rsidR="00B746B6" w:rsidRPr="6FCA30B7">
        <w:rPr>
          <w:rFonts w:eastAsia="Calibri" w:cs="Calibri"/>
          <w:color w:val="212121"/>
          <w:lang w:val="en-GB"/>
        </w:rPr>
        <w:t>‘</w:t>
      </w:r>
      <w:r w:rsidRPr="6FCA30B7">
        <w:rPr>
          <w:rFonts w:eastAsia="Calibri" w:cs="Calibri"/>
          <w:color w:val="212121"/>
          <w:lang w:val="en-GB"/>
        </w:rPr>
        <w:t>support contractor</w:t>
      </w:r>
      <w:r w:rsidR="00B746B6" w:rsidRPr="6FCA30B7">
        <w:rPr>
          <w:rFonts w:eastAsia="Calibri" w:cs="Calibri"/>
          <w:color w:val="212121"/>
          <w:lang w:val="en-GB"/>
        </w:rPr>
        <w:t>’</w:t>
      </w:r>
      <w:r w:rsidRPr="6FCA30B7">
        <w:rPr>
          <w:rFonts w:eastAsia="Calibri" w:cs="Calibri"/>
          <w:color w:val="212121"/>
          <w:lang w:val="en-GB"/>
        </w:rPr>
        <w:t xml:space="preserve"> model is central to this success, along with a strong culture of performance and learning, high quality monitoring, evaluation and learning (quality systems)</w:t>
      </w:r>
      <w:r w:rsidR="6C0541D8" w:rsidRPr="6FCA30B7">
        <w:rPr>
          <w:rFonts w:eastAsia="Calibri" w:cs="Calibri"/>
          <w:color w:val="212121"/>
          <w:lang w:val="en-GB"/>
        </w:rPr>
        <w:t>.</w:t>
      </w:r>
      <w:r w:rsidRPr="6FCA30B7">
        <w:rPr>
          <w:rFonts w:eastAsia="Calibri" w:cs="Calibri"/>
          <w:color w:val="212121"/>
          <w:lang w:val="en-GB"/>
        </w:rPr>
        <w:t xml:space="preserve"> </w:t>
      </w:r>
    </w:p>
    <w:p w14:paraId="6B019AFE" w14:textId="3994557B" w:rsidR="00CD20DA" w:rsidRPr="00CD20DA" w:rsidRDefault="00CD20DA" w:rsidP="00011D70">
      <w:pPr>
        <w:rPr>
          <w:rFonts w:eastAsia="Calibri" w:cs="Calibri"/>
          <w:color w:val="212121"/>
          <w:lang w:val="en-GB"/>
        </w:rPr>
      </w:pPr>
      <w:r w:rsidRPr="2D65516E">
        <w:rPr>
          <w:rFonts w:eastAsia="Calibri" w:cs="Calibri"/>
          <w:color w:val="212121"/>
          <w:lang w:val="en-GB"/>
        </w:rPr>
        <w:t>Most of the issues facing VSP have emerged from its expansion and its success</w:t>
      </w:r>
      <w:r w:rsidR="0023329D" w:rsidRPr="2D65516E">
        <w:rPr>
          <w:rFonts w:eastAsia="Calibri" w:cs="Calibri"/>
          <w:color w:val="212121"/>
          <w:lang w:val="en-GB"/>
        </w:rPr>
        <w:t>. I</w:t>
      </w:r>
      <w:r w:rsidRPr="2D65516E">
        <w:rPr>
          <w:rFonts w:eastAsia="Calibri" w:cs="Calibri"/>
          <w:color w:val="212121"/>
          <w:lang w:val="en-GB"/>
        </w:rPr>
        <w:t>t navigate</w:t>
      </w:r>
      <w:r w:rsidR="44912E3E" w:rsidRPr="2D65516E">
        <w:rPr>
          <w:rFonts w:eastAsia="Calibri" w:cs="Calibri"/>
          <w:color w:val="212121"/>
          <w:lang w:val="en-GB"/>
        </w:rPr>
        <w:t>s</w:t>
      </w:r>
      <w:r w:rsidRPr="2D65516E">
        <w:rPr>
          <w:rFonts w:eastAsia="Calibri" w:cs="Calibri"/>
          <w:color w:val="212121"/>
          <w:lang w:val="en-GB"/>
        </w:rPr>
        <w:t xml:space="preserve"> multiple relationships and partnerships at national and sub-national levels, is facing high demand for its assistance which is stretching program resources, and there are risks associated with the program’s reliance on key individuals. </w:t>
      </w:r>
    </w:p>
    <w:p w14:paraId="78449ECB" w14:textId="77777777" w:rsidR="003009C7" w:rsidRDefault="003009C7" w:rsidP="003009C7">
      <w:r>
        <w:t xml:space="preserve">Summarising the key strengths and issues which have been identified through this rapid review of both VAESP and VSP implementation, </w:t>
      </w:r>
      <w:proofErr w:type="gramStart"/>
      <w:r>
        <w:t>a number of</w:t>
      </w:r>
      <w:proofErr w:type="gramEnd"/>
      <w:r>
        <w:t xml:space="preserve"> broad findings emerge. These have informed the design team’s recommended approach to investment design: </w:t>
      </w:r>
    </w:p>
    <w:p w14:paraId="7B8CC5E2" w14:textId="4F129F7A" w:rsidR="003009C7" w:rsidRPr="009803A7" w:rsidRDefault="003009C7" w:rsidP="003009C7">
      <w:pPr>
        <w:pStyle w:val="ListParagraph"/>
        <w:numPr>
          <w:ilvl w:val="0"/>
          <w:numId w:val="12"/>
        </w:numPr>
      </w:pPr>
      <w:r w:rsidRPr="0C3CBE43">
        <w:rPr>
          <w:b/>
          <w:bCs/>
        </w:rPr>
        <w:t>Balancing national and sub-national work</w:t>
      </w:r>
      <w:r>
        <w:t xml:space="preserve"> is a crucial key to success, aligned to Vanuatu’s commitment to decentralisation and the priority </w:t>
      </w:r>
      <w:proofErr w:type="spellStart"/>
      <w:r>
        <w:t>GoV</w:t>
      </w:r>
      <w:proofErr w:type="spellEnd"/>
      <w:r>
        <w:t xml:space="preserve"> places on the provincial level.</w:t>
      </w:r>
    </w:p>
    <w:p w14:paraId="62905DEB" w14:textId="77777777" w:rsidR="003009C7" w:rsidRDefault="003009C7" w:rsidP="003009C7">
      <w:pPr>
        <w:pStyle w:val="ListParagraph"/>
        <w:numPr>
          <w:ilvl w:val="0"/>
          <w:numId w:val="12"/>
        </w:numPr>
      </w:pPr>
      <w:r w:rsidRPr="3B0D9F72">
        <w:rPr>
          <w:b/>
          <w:bCs/>
        </w:rPr>
        <w:t>Sub-national service delivery</w:t>
      </w:r>
      <w:r>
        <w:t xml:space="preserve"> strengthening can build community and political demand for good quality services and sound policy and budgeting, opening the doors for national-level influence. It can also spread risk and create opportunities for innovative work and partnerships. </w:t>
      </w:r>
    </w:p>
    <w:p w14:paraId="576FF316" w14:textId="77777777" w:rsidR="003009C7" w:rsidRPr="009803A7" w:rsidRDefault="003009C7" w:rsidP="003009C7">
      <w:pPr>
        <w:pStyle w:val="ListParagraph"/>
        <w:numPr>
          <w:ilvl w:val="0"/>
          <w:numId w:val="12"/>
        </w:numPr>
      </w:pPr>
      <w:r>
        <w:rPr>
          <w:b/>
          <w:bCs/>
        </w:rPr>
        <w:t xml:space="preserve">Explicit alignment with Vanuatu’s policy priorities </w:t>
      </w:r>
      <w:r>
        <w:t xml:space="preserve">is essential and lays the foundation for collaboration, local ownership, and local relevance. </w:t>
      </w:r>
    </w:p>
    <w:p w14:paraId="7CCD7059" w14:textId="77777777" w:rsidR="003009C7" w:rsidRPr="009803A7" w:rsidRDefault="003009C7" w:rsidP="003009C7">
      <w:pPr>
        <w:pStyle w:val="ListParagraph"/>
        <w:numPr>
          <w:ilvl w:val="0"/>
          <w:numId w:val="12"/>
        </w:numPr>
      </w:pPr>
      <w:r w:rsidRPr="3B0D9F72">
        <w:rPr>
          <w:b/>
          <w:bCs/>
        </w:rPr>
        <w:t>Political instability in Vanuatu persists</w:t>
      </w:r>
      <w:r>
        <w:t xml:space="preserve">, so programs need to navigate that reality sensitively, strategically and creatively and with strong information and relationships. Working at national and provincial levels, and with other forms of governance, is important.  </w:t>
      </w:r>
    </w:p>
    <w:p w14:paraId="705C12F8" w14:textId="77777777" w:rsidR="003009C7" w:rsidRPr="009803A7" w:rsidRDefault="003009C7" w:rsidP="003009C7">
      <w:pPr>
        <w:pStyle w:val="ListParagraph"/>
        <w:numPr>
          <w:ilvl w:val="0"/>
          <w:numId w:val="12"/>
        </w:numPr>
      </w:pPr>
      <w:r>
        <w:t xml:space="preserve">Understanding and </w:t>
      </w:r>
      <w:r w:rsidRPr="3326E6A4">
        <w:rPr>
          <w:b/>
          <w:bCs/>
        </w:rPr>
        <w:t>operating within the political economy, with a systems-relationships focus</w:t>
      </w:r>
      <w:r>
        <w:t xml:space="preserve">, is important, as is working with reformist leaders in the system, at all levels. </w:t>
      </w:r>
    </w:p>
    <w:p w14:paraId="4DC4AFB2" w14:textId="35FADED8" w:rsidR="003009C7" w:rsidRDefault="003009C7" w:rsidP="003009C7">
      <w:pPr>
        <w:pStyle w:val="ListParagraph"/>
        <w:numPr>
          <w:ilvl w:val="0"/>
          <w:numId w:val="12"/>
        </w:numPr>
      </w:pPr>
      <w:r w:rsidRPr="3B0D9F72">
        <w:rPr>
          <w:b/>
          <w:bCs/>
        </w:rPr>
        <w:t>Organisational culture</w:t>
      </w:r>
      <w:r>
        <w:t xml:space="preserve"> is equally critical to success: this entails long-term local developmental leadership and the incubation of future leaders, supported by </w:t>
      </w:r>
      <w:proofErr w:type="gramStart"/>
      <w:r>
        <w:t>culturally-appropriate</w:t>
      </w:r>
      <w:proofErr w:type="gramEnd"/>
      <w:r>
        <w:t xml:space="preserve"> human resource management and an organisational culture that supports well-informed adaptation, accountability for performance, and constructive collaboration. </w:t>
      </w:r>
    </w:p>
    <w:p w14:paraId="0D9524E5" w14:textId="0E4D991D" w:rsidR="003009C7" w:rsidRPr="009803A7" w:rsidRDefault="003009C7" w:rsidP="003009C7">
      <w:pPr>
        <w:pStyle w:val="ListParagraph"/>
        <w:numPr>
          <w:ilvl w:val="0"/>
          <w:numId w:val="12"/>
        </w:numPr>
      </w:pPr>
      <w:r>
        <w:t xml:space="preserve">A </w:t>
      </w:r>
      <w:r w:rsidRPr="38E62D81">
        <w:rPr>
          <w:b/>
          <w:bCs/>
        </w:rPr>
        <w:t xml:space="preserve">strong team led by </w:t>
      </w:r>
      <w:r w:rsidR="4458645F" w:rsidRPr="38E62D81">
        <w:rPr>
          <w:b/>
          <w:bCs/>
        </w:rPr>
        <w:t xml:space="preserve">reform-minded, </w:t>
      </w:r>
      <w:r w:rsidRPr="38E62D81">
        <w:rPr>
          <w:b/>
          <w:bCs/>
        </w:rPr>
        <w:t>developmental leaders</w:t>
      </w:r>
      <w:r>
        <w:t xml:space="preserve"> is essential for success, and it requires purposeful planning, support and allocation of resources, and courageous human resource management. </w:t>
      </w:r>
    </w:p>
    <w:p w14:paraId="2DB527E1" w14:textId="7ED6E135" w:rsidR="003009C7" w:rsidRPr="009803A7" w:rsidRDefault="003009C7" w:rsidP="003009C7">
      <w:pPr>
        <w:pStyle w:val="ListParagraph"/>
        <w:numPr>
          <w:ilvl w:val="0"/>
          <w:numId w:val="12"/>
        </w:numPr>
        <w:rPr>
          <w:b/>
          <w:bCs/>
        </w:rPr>
      </w:pPr>
      <w:r>
        <w:t xml:space="preserve">combination of </w:t>
      </w:r>
      <w:r w:rsidRPr="2D65516E">
        <w:rPr>
          <w:b/>
          <w:bCs/>
        </w:rPr>
        <w:t xml:space="preserve">local leadership with an effective support contractor model </w:t>
      </w:r>
      <w:r>
        <w:t>has enabled strong outcomes while more conventional managing contractor structure</w:t>
      </w:r>
      <w:r w:rsidR="099AA7DB">
        <w:t>s</w:t>
      </w:r>
      <w:r>
        <w:t xml:space="preserve"> </w:t>
      </w:r>
      <w:r w:rsidR="45C869A0">
        <w:t xml:space="preserve">have </w:t>
      </w:r>
      <w:r>
        <w:t xml:space="preserve">been less effective. Further, shifting to </w:t>
      </w:r>
      <w:r w:rsidR="00D850D3">
        <w:t>an effective</w:t>
      </w:r>
      <w:r>
        <w:t xml:space="preserve"> support contractor model </w:t>
      </w:r>
      <w:r w:rsidR="00F97727">
        <w:t xml:space="preserve">has </w:t>
      </w:r>
      <w:r w:rsidR="00D850D3">
        <w:t>require</w:t>
      </w:r>
      <w:r w:rsidR="00F97727">
        <w:t>d</w:t>
      </w:r>
      <w:r>
        <w:t xml:space="preserve"> extensive management and advocacy effort by Post and the Strategic Adviser, over many years. </w:t>
      </w:r>
    </w:p>
    <w:p w14:paraId="19C7AF8B" w14:textId="408289CE" w:rsidR="003009C7" w:rsidRDefault="003009C7" w:rsidP="003009C7">
      <w:pPr>
        <w:pStyle w:val="ListParagraph"/>
        <w:numPr>
          <w:ilvl w:val="0"/>
          <w:numId w:val="12"/>
        </w:numPr>
      </w:pPr>
      <w:r w:rsidRPr="2D65516E">
        <w:rPr>
          <w:b/>
          <w:bCs/>
        </w:rPr>
        <w:t>GEDSI achievements</w:t>
      </w:r>
      <w:r>
        <w:t xml:space="preserve"> require cultural and contextual alignment, strong partnerships with government at all levels and civil society, integration within systems, and strong MEL. They also require substantive investment, both funding and skilled staffing.  </w:t>
      </w:r>
    </w:p>
    <w:p w14:paraId="1CA621F1" w14:textId="77777777" w:rsidR="003009C7" w:rsidRDefault="003009C7" w:rsidP="003009C7">
      <w:pPr>
        <w:pStyle w:val="ListParagraph"/>
        <w:numPr>
          <w:ilvl w:val="0"/>
          <w:numId w:val="12"/>
        </w:numPr>
      </w:pPr>
      <w:r w:rsidRPr="3326E6A4">
        <w:rPr>
          <w:b/>
          <w:bCs/>
        </w:rPr>
        <w:t>MEL and strategic communications</w:t>
      </w:r>
      <w:r>
        <w:t xml:space="preserve"> have been key success factors, or their absence has been a weakness, so prioritising investment in these is essential. </w:t>
      </w:r>
    </w:p>
    <w:p w14:paraId="75FC8E8C" w14:textId="2D87B633" w:rsidR="003009C7" w:rsidRDefault="003009C7" w:rsidP="00B52BE2">
      <w:pPr>
        <w:pStyle w:val="ListParagraph"/>
        <w:numPr>
          <w:ilvl w:val="0"/>
          <w:numId w:val="12"/>
        </w:numPr>
      </w:pPr>
      <w:r>
        <w:t xml:space="preserve">The </w:t>
      </w:r>
      <w:r w:rsidRPr="2D65516E">
        <w:rPr>
          <w:b/>
          <w:bCs/>
        </w:rPr>
        <w:t>DFA mechanism</w:t>
      </w:r>
      <w:r>
        <w:t xml:space="preserve"> has allowed efficiencies and the flexibility to respond to emerging priorities. It is highly valued by </w:t>
      </w:r>
      <w:proofErr w:type="spellStart"/>
      <w:r>
        <w:t>GoV</w:t>
      </w:r>
      <w:proofErr w:type="spellEnd"/>
      <w:r>
        <w:t xml:space="preserve"> and provides important autonomy for </w:t>
      </w:r>
      <w:proofErr w:type="spellStart"/>
      <w:r>
        <w:t>MoET</w:t>
      </w:r>
      <w:proofErr w:type="spellEnd"/>
      <w:r>
        <w:t xml:space="preserve"> which should be protected.  Some efforts to improve the complementarity of support delivered through the DFA and the MC or support contractor support are </w:t>
      </w:r>
      <w:proofErr w:type="gramStart"/>
      <w:r>
        <w:t>evident, but</w:t>
      </w:r>
      <w:proofErr w:type="gramEnd"/>
      <w:r>
        <w:t xml:space="preserve"> have been largely ad hoc and without adequate MEL. </w:t>
      </w:r>
    </w:p>
    <w:p w14:paraId="5A8DC649" w14:textId="3479A1D5" w:rsidR="003009C7" w:rsidRPr="009803A7" w:rsidRDefault="003009C7" w:rsidP="003009C7">
      <w:pPr>
        <w:pStyle w:val="ListParagraph"/>
        <w:numPr>
          <w:ilvl w:val="0"/>
          <w:numId w:val="12"/>
        </w:numPr>
      </w:pPr>
      <w:r>
        <w:t xml:space="preserve">Many </w:t>
      </w:r>
      <w:r w:rsidRPr="3B0D9F72">
        <w:rPr>
          <w:b/>
          <w:bCs/>
        </w:rPr>
        <w:t>opportunities for collaboration</w:t>
      </w:r>
      <w:r>
        <w:t xml:space="preserve"> </w:t>
      </w:r>
      <w:r w:rsidRPr="3B0D9F72">
        <w:rPr>
          <w:b/>
          <w:bCs/>
        </w:rPr>
        <w:t xml:space="preserve">exist </w:t>
      </w:r>
      <w:r>
        <w:t xml:space="preserve">but have not fully been realised </w:t>
      </w:r>
      <w:r w:rsidR="00D850D3">
        <w:t xml:space="preserve">between </w:t>
      </w:r>
      <w:r>
        <w:t>VAESP</w:t>
      </w:r>
      <w:r w:rsidR="00D850D3">
        <w:t xml:space="preserve"> and VSP</w:t>
      </w:r>
      <w:r>
        <w:t xml:space="preserve">. Examples include investing in stronger pathways between schooling and skills offerings, coordination regarding GEDSI approaches, collaboration across education-skills (e.g. Farm to School links with curriculum), and creating closer links with Australia Awards. </w:t>
      </w:r>
    </w:p>
    <w:p w14:paraId="651AC041" w14:textId="78C0FE60" w:rsidR="006F2568" w:rsidRPr="006F2568" w:rsidRDefault="006F2568" w:rsidP="00B158C6">
      <w:pPr>
        <w:rPr>
          <w:rStyle w:val="IntenseEmphasis"/>
          <w:i w:val="0"/>
          <w:iCs w:val="0"/>
          <w:color w:val="000000" w:themeColor="text1"/>
        </w:rPr>
      </w:pPr>
      <w:r w:rsidRPr="006F2568">
        <w:rPr>
          <w:rStyle w:val="IntenseEmphasis"/>
          <w:i w:val="0"/>
          <w:iCs w:val="0"/>
          <w:color w:val="000000" w:themeColor="text1"/>
        </w:rPr>
        <w:t xml:space="preserve">Conclusions </w:t>
      </w:r>
      <w:r w:rsidR="00FF08E2">
        <w:rPr>
          <w:rStyle w:val="IntenseEmphasis"/>
          <w:i w:val="0"/>
          <w:iCs w:val="0"/>
          <w:color w:val="000000" w:themeColor="text1"/>
        </w:rPr>
        <w:t>and recommendation</w:t>
      </w:r>
    </w:p>
    <w:p w14:paraId="1AAD4B6D" w14:textId="3942260C" w:rsidR="003009C7" w:rsidRPr="003009C7" w:rsidRDefault="003009C7" w:rsidP="003009C7">
      <w:r>
        <w:t xml:space="preserve">Based on document review, consultations and team discussions, </w:t>
      </w:r>
      <w:r w:rsidRPr="2D65516E">
        <w:rPr>
          <w:b/>
          <w:bCs/>
        </w:rPr>
        <w:t>the design team recommends that the next phase of Australian support to education and skills in Vanuatu be developed as a significant, integrated investment design document which incorporates all the components.</w:t>
      </w:r>
      <w:r>
        <w:t xml:space="preserve"> This will deliver efficiencies, enable the expansion of the support contractor approach, and will suit a significant investment which is wholly focused within a single sector. </w:t>
      </w:r>
    </w:p>
    <w:p w14:paraId="782716C7" w14:textId="0B130D0D" w:rsidR="00ED6C0C" w:rsidRDefault="003009C7" w:rsidP="003009C7">
      <w:r>
        <w:t xml:space="preserve">This approach is recommended based on the judgement that a combined </w:t>
      </w:r>
      <w:r w:rsidR="009F1B17">
        <w:t>multi-component</w:t>
      </w:r>
      <w:r>
        <w:t xml:space="preserve"> investment </w:t>
      </w:r>
      <w:r w:rsidR="000720BC">
        <w:t>supported by a contractor</w:t>
      </w:r>
      <w:r>
        <w:t xml:space="preserve"> will deliver the greatest gains in both efficiency and effectiveness, without significant additional risk. </w:t>
      </w:r>
    </w:p>
    <w:p w14:paraId="6305ADFC" w14:textId="74830675" w:rsidR="003009C7" w:rsidRDefault="00ED6C0C" w:rsidP="003009C7">
      <w:r>
        <w:t>Experience has shown that Post’s role has been instrumental in enabling the support contractor model to develop and become established. Therefore</w:t>
      </w:r>
      <w:r w:rsidR="4C221B52">
        <w:t>,</w:t>
      </w:r>
      <w:r>
        <w:t xml:space="preserve"> the design must also address the required resources within DFAT to ensure the Post can provide the essential strategic and management input which will enable the greatest achievement of investment outcomes.  </w:t>
      </w:r>
    </w:p>
    <w:p w14:paraId="05335710" w14:textId="509E468F" w:rsidR="003009C7" w:rsidRPr="00243829" w:rsidRDefault="003009C7" w:rsidP="003009C7">
      <w:r>
        <w:t xml:space="preserve">With details to be determined and confirmed through the design process, the pillars or components are likely to include targeted investments </w:t>
      </w:r>
      <w:proofErr w:type="gramStart"/>
      <w:r>
        <w:t>in:</w:t>
      </w:r>
      <w:proofErr w:type="gramEnd"/>
      <w:r>
        <w:t xml:space="preserve"> skills, basic education (including infrastructure), scholarships, and complementary support for any future direct funding arrangement. The program logic should explicitly feature the ‘ways of working’ so that local developmental leadership, partnership, inclusion, and adaptive management are resourced appropriately and given sufficient priority. </w:t>
      </w:r>
    </w:p>
    <w:p w14:paraId="6D15946C" w14:textId="6EA9B397" w:rsidR="00DD0CB8" w:rsidRDefault="00DD0CB8" w:rsidP="003009C7">
      <w:r>
        <w:br w:type="page"/>
      </w:r>
    </w:p>
    <w:bookmarkStart w:id="4" w:name="_Toc184911478"/>
    <w:bookmarkStart w:id="5" w:name="_Toc184935165"/>
    <w:bookmarkStart w:id="6" w:name="_Toc185784607"/>
    <w:bookmarkStart w:id="7" w:name="_Toc190268252"/>
    <w:p w14:paraId="6D82C639" w14:textId="0C6312F6" w:rsidR="39374684" w:rsidRDefault="0095602B" w:rsidP="00DD0CB8">
      <w:pPr>
        <w:pStyle w:val="Heading1"/>
        <w:numPr>
          <w:ilvl w:val="0"/>
          <w:numId w:val="0"/>
        </w:numPr>
      </w:pPr>
      <w:r w:rsidRPr="0065380F">
        <w:rPr>
          <w:noProof/>
        </w:rPr>
        <mc:AlternateContent>
          <mc:Choice Requires="wps">
            <w:drawing>
              <wp:anchor distT="0" distB="0" distL="114300" distR="114300" simplePos="0" relativeHeight="251660288" behindDoc="0" locked="0" layoutInCell="1" allowOverlap="1" wp14:anchorId="09723CAF" wp14:editId="4ABAB918">
                <wp:simplePos x="0" y="0"/>
                <wp:positionH relativeFrom="column">
                  <wp:posOffset>-943583</wp:posOffset>
                </wp:positionH>
                <wp:positionV relativeFrom="paragraph">
                  <wp:posOffset>-109734</wp:posOffset>
                </wp:positionV>
                <wp:extent cx="541421" cy="475248"/>
                <wp:effectExtent l="0" t="0" r="5080" b="0"/>
                <wp:wrapNone/>
                <wp:docPr id="218299938" name="Rectangle 2182999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w:pict w14:anchorId="3EFE9FA8">
              <v:rect id="Rectangle 218299938" style="position:absolute;margin-left:-74.3pt;margin-top:-8.65pt;width:42.65pt;height:37.4pt;z-index:25166028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fb200" stroked="f" strokeweight="2pt" w14:anchorId="373C8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"/>
            </w:pict>
          </mc:Fallback>
        </mc:AlternateContent>
      </w:r>
      <w:r w:rsidR="39374684">
        <w:t>Acknowledgements</w:t>
      </w:r>
      <w:bookmarkEnd w:id="4"/>
      <w:bookmarkEnd w:id="5"/>
      <w:bookmarkEnd w:id="6"/>
      <w:bookmarkEnd w:id="7"/>
      <w:r w:rsidR="39374684">
        <w:t xml:space="preserve"> </w:t>
      </w:r>
    </w:p>
    <w:p w14:paraId="19A16413" w14:textId="77777777" w:rsidR="00E66AE9" w:rsidRDefault="00E66AE9"/>
    <w:p w14:paraId="4512D90B" w14:textId="3EB3FA98" w:rsidR="00DD0CB8" w:rsidRDefault="007751E4">
      <w:r>
        <w:t xml:space="preserve">The design team – Sara Webb, Rebecca Spratt, Sally Baker, Lisa </w:t>
      </w:r>
      <w:proofErr w:type="spellStart"/>
      <w:r>
        <w:t>Faerua</w:t>
      </w:r>
      <w:proofErr w:type="spellEnd"/>
      <w:r>
        <w:t xml:space="preserve">, Jesse Dick and Adam Rorris (supported by Duane Vickery and Chen </w:t>
      </w:r>
      <w:proofErr w:type="spellStart"/>
      <w:r>
        <w:t>Chen</w:t>
      </w:r>
      <w:proofErr w:type="spellEnd"/>
      <w:r>
        <w:t xml:space="preserve"> Lee) – </w:t>
      </w:r>
      <w:r w:rsidR="008C0705">
        <w:t>is</w:t>
      </w:r>
      <w:r>
        <w:t xml:space="preserve"> extremely grateful for the assistance, advice and guidance </w:t>
      </w:r>
      <w:r w:rsidR="00FF08E2">
        <w:t>we</w:t>
      </w:r>
      <w:r>
        <w:t xml:space="preserve"> received from many stakeholders throughout this first stage of the design. We commenced work at extremely short notice and worked to a tight timeline, so we appreciate everything </w:t>
      </w:r>
      <w:r w:rsidR="008C0705">
        <w:t>which</w:t>
      </w:r>
      <w:r>
        <w:t xml:space="preserve"> helped make it possible for us to complete the review in the required time.</w:t>
      </w:r>
      <w:r w:rsidR="008C0705">
        <w:t xml:space="preserve"> To all the people who generously shared their precious time with us, and gave us your experiences, reflections and analysis, we give heartfelt thanks and respect. </w:t>
      </w:r>
    </w:p>
    <w:p w14:paraId="25630F5D" w14:textId="666F3792" w:rsidR="00DD0CB8" w:rsidRDefault="1012AD8F">
      <w:pPr>
        <w:spacing w:before="0" w:after="200"/>
      </w:pPr>
      <w:r>
        <w:t xml:space="preserve">We were finalising this report as the awful earthquake struck Vanuatu, on 17 December 2024. </w:t>
      </w:r>
      <w:r w:rsidR="561AFF0E">
        <w:t xml:space="preserve">Our ni-Vanuatu team members are, with their fellow citizens and residents, still experiencing the aftermath, while the rest of the team sends all our thoughts, prayers and sympathy to </w:t>
      </w:r>
      <w:r w:rsidR="10F88A5B">
        <w:t xml:space="preserve">the resilient people of </w:t>
      </w:r>
      <w:r w:rsidR="561AFF0E">
        <w:t xml:space="preserve">Vanuatu. </w:t>
      </w:r>
      <w:r w:rsidR="00DD0CB8">
        <w:br w:type="page"/>
      </w:r>
    </w:p>
    <w:bookmarkStart w:id="8" w:name="_Toc184911479"/>
    <w:bookmarkStart w:id="9" w:name="_Toc184935166"/>
    <w:bookmarkStart w:id="10" w:name="_Toc185784608"/>
    <w:bookmarkStart w:id="11" w:name="_Toc190268253"/>
    <w:p w14:paraId="23B83C85" w14:textId="77777777" w:rsidR="00E66AE9" w:rsidRDefault="0095602B" w:rsidP="00A0189A">
      <w:pPr>
        <w:pStyle w:val="Heading1"/>
        <w:numPr>
          <w:ilvl w:val="0"/>
          <w:numId w:val="0"/>
        </w:numPr>
      </w:pPr>
      <w:r w:rsidRPr="0065380F">
        <w:rPr>
          <w:noProof/>
        </w:rPr>
        <mc:AlternateContent>
          <mc:Choice Requires="wps">
            <w:drawing>
              <wp:anchor distT="0" distB="0" distL="114300" distR="114300" simplePos="0" relativeHeight="251662336" behindDoc="0" locked="0" layoutInCell="1" allowOverlap="1" wp14:anchorId="250BD1D9" wp14:editId="5F02C9A1">
                <wp:simplePos x="0" y="0"/>
                <wp:positionH relativeFrom="column">
                  <wp:posOffset>-924128</wp:posOffset>
                </wp:positionH>
                <wp:positionV relativeFrom="paragraph">
                  <wp:posOffset>-97439</wp:posOffset>
                </wp:positionV>
                <wp:extent cx="541421" cy="475248"/>
                <wp:effectExtent l="0" t="0" r="5080" b="1270"/>
                <wp:wrapNone/>
                <wp:docPr id="469836883" name="Rectangle 4698368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http://schemas.openxmlformats.org/drawingml/2006/main">
            <w:pict w14:anchorId="637FFBBB">
              <v:rect id="Rectangle 469836883" style="position:absolute;margin-left:-72.75pt;margin-top:-7.65pt;width:42.65pt;height:37.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fb200" stroked="f" strokeweight="2pt" w14:anchorId="1FBB6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"/>
            </w:pict>
          </mc:Fallback>
        </mc:AlternateContent>
      </w:r>
      <w:r w:rsidR="00DD0CB8">
        <w:t>Table of Contents</w:t>
      </w:r>
      <w:bookmarkEnd w:id="8"/>
      <w:bookmarkEnd w:id="9"/>
      <w:bookmarkEnd w:id="10"/>
      <w:bookmarkEnd w:id="11"/>
      <w:r w:rsidR="00DD0CB8">
        <w:t xml:space="preserve"> </w:t>
      </w:r>
    </w:p>
    <w:p w14:paraId="2A46821D" w14:textId="5F88F1FC" w:rsidR="004B5D90" w:rsidRDefault="00071EBE" w:rsidP="00E66AE9">
      <w:pPr>
        <w:rPr>
          <w:noProof/>
        </w:rPr>
      </w:pPr>
      <w:r>
        <w:rPr>
          <w:rFonts w:asciiTheme="majorHAnsi" w:eastAsiaTheme="majorEastAsia" w:hAnsiTheme="majorHAnsi" w:cstheme="majorBidi"/>
          <w:b/>
          <w:bCs/>
          <w:color w:val="650B5F" w:themeColor="accent1" w:themeShade="BF"/>
          <w:sz w:val="28"/>
          <w:szCs w:val="28"/>
        </w:rPr>
        <w:fldChar w:fldCharType="begin"/>
      </w:r>
      <w:r>
        <w:instrText xml:space="preserve"> TOC \o "1-2" \h \z \u </w:instrText>
      </w:r>
      <w:r>
        <w:rPr>
          <w:rFonts w:asciiTheme="majorHAnsi" w:eastAsiaTheme="majorEastAsia" w:hAnsiTheme="majorHAnsi" w:cstheme="majorBidi"/>
          <w:b/>
          <w:bCs/>
          <w:color w:val="650B5F" w:themeColor="accent1" w:themeShade="BF"/>
          <w:sz w:val="28"/>
          <w:szCs w:val="28"/>
        </w:rPr>
        <w:fldChar w:fldCharType="separate"/>
      </w:r>
    </w:p>
    <w:p w14:paraId="5FC86A39" w14:textId="5594EFAB" w:rsidR="004B5D90" w:rsidRDefault="004B5D90">
      <w:pPr>
        <w:pStyle w:val="TOC1"/>
        <w:tabs>
          <w:tab w:val="left" w:pos="440"/>
          <w:tab w:val="right" w:leader="dot" w:pos="9350"/>
        </w:tabs>
        <w:rPr>
          <w:rFonts w:asciiTheme="minorHAnsi" w:hAnsiTheme="minorHAnsi"/>
          <w:noProof/>
          <w:kern w:val="2"/>
          <w:sz w:val="24"/>
          <w:szCs w:val="24"/>
          <w:lang w:eastAsia="en-GB"/>
          <w14:ligatures w14:val="standardContextual"/>
        </w:rPr>
      </w:pPr>
      <w:hyperlink w:anchor="_Toc190268255" w:history="1">
        <w:r w:rsidRPr="00583815">
          <w:rPr>
            <w:rStyle w:val="Hyperlink"/>
            <w:noProof/>
          </w:rPr>
          <w:t>1</w:t>
        </w:r>
        <w:r>
          <w:rPr>
            <w:rFonts w:asciiTheme="minorHAnsi" w:hAnsiTheme="minorHAnsi"/>
            <w:noProof/>
            <w:kern w:val="2"/>
            <w:sz w:val="24"/>
            <w:szCs w:val="24"/>
            <w:lang w:eastAsia="en-GB"/>
            <w14:ligatures w14:val="standardContextual"/>
          </w:rPr>
          <w:tab/>
        </w:r>
        <w:r w:rsidRPr="00583815">
          <w:rPr>
            <w:rStyle w:val="Hyperlink"/>
            <w:noProof/>
          </w:rPr>
          <w:t>Introduction</w:t>
        </w:r>
        <w:r>
          <w:rPr>
            <w:noProof/>
            <w:webHidden/>
          </w:rPr>
          <w:tab/>
        </w:r>
        <w:r>
          <w:rPr>
            <w:noProof/>
            <w:webHidden/>
          </w:rPr>
          <w:fldChar w:fldCharType="begin"/>
        </w:r>
        <w:r>
          <w:rPr>
            <w:noProof/>
            <w:webHidden/>
          </w:rPr>
          <w:instrText xml:space="preserve"> PAGEREF _Toc190268255 \h </w:instrText>
        </w:r>
        <w:r>
          <w:rPr>
            <w:noProof/>
            <w:webHidden/>
          </w:rPr>
        </w:r>
        <w:r>
          <w:rPr>
            <w:noProof/>
            <w:webHidden/>
          </w:rPr>
          <w:fldChar w:fldCharType="separate"/>
        </w:r>
        <w:r w:rsidR="00292A6B">
          <w:rPr>
            <w:noProof/>
            <w:webHidden/>
          </w:rPr>
          <w:t>1</w:t>
        </w:r>
        <w:r>
          <w:rPr>
            <w:noProof/>
            <w:webHidden/>
          </w:rPr>
          <w:fldChar w:fldCharType="end"/>
        </w:r>
      </w:hyperlink>
    </w:p>
    <w:p w14:paraId="269FE5B9" w14:textId="532FD17E" w:rsidR="004B5D90" w:rsidRPr="004B5D90" w:rsidRDefault="004B5D90">
      <w:pPr>
        <w:pStyle w:val="TOC2"/>
        <w:tabs>
          <w:tab w:val="left" w:pos="880"/>
          <w:tab w:val="right" w:leader="dot" w:pos="9350"/>
        </w:tabs>
        <w:rPr>
          <w:rFonts w:cs="Calibri"/>
          <w:noProof/>
          <w:kern w:val="2"/>
          <w:sz w:val="24"/>
          <w:szCs w:val="24"/>
          <w:lang w:eastAsia="en-GB"/>
          <w14:ligatures w14:val="standardContextual"/>
        </w:rPr>
      </w:pPr>
      <w:hyperlink w:anchor="_Toc190268256" w:history="1">
        <w:r w:rsidRPr="004B5D90">
          <w:rPr>
            <w:rStyle w:val="Hyperlink"/>
            <w:rFonts w:eastAsia="Century Gothic" w:cs="Calibri"/>
            <w:noProof/>
          </w:rPr>
          <w:t>1.1</w:t>
        </w:r>
        <w:r w:rsidRPr="004B5D90">
          <w:rPr>
            <w:rFonts w:cs="Calibri"/>
            <w:noProof/>
            <w:kern w:val="2"/>
            <w:sz w:val="24"/>
            <w:szCs w:val="24"/>
            <w:lang w:eastAsia="en-GB"/>
            <w14:ligatures w14:val="standardContextual"/>
          </w:rPr>
          <w:tab/>
        </w:r>
        <w:r w:rsidRPr="004B5D90">
          <w:rPr>
            <w:rStyle w:val="Hyperlink"/>
            <w:rFonts w:eastAsia="Century Gothic" w:cs="Calibri"/>
            <w:noProof/>
          </w:rPr>
          <w:t>Current program summaries</w:t>
        </w:r>
        <w:r w:rsidRPr="004B5D90">
          <w:rPr>
            <w:rFonts w:cs="Calibri"/>
            <w:noProof/>
            <w:webHidden/>
          </w:rPr>
          <w:tab/>
        </w:r>
        <w:r w:rsidRPr="004B5D90">
          <w:rPr>
            <w:rFonts w:cs="Calibri"/>
            <w:noProof/>
            <w:webHidden/>
          </w:rPr>
          <w:fldChar w:fldCharType="begin"/>
        </w:r>
        <w:r w:rsidRPr="004B5D90">
          <w:rPr>
            <w:rFonts w:cs="Calibri"/>
            <w:noProof/>
            <w:webHidden/>
          </w:rPr>
          <w:instrText xml:space="preserve"> PAGEREF _Toc190268256 \h </w:instrText>
        </w:r>
        <w:r w:rsidRPr="004B5D90">
          <w:rPr>
            <w:rFonts w:cs="Calibri"/>
            <w:noProof/>
            <w:webHidden/>
          </w:rPr>
        </w:r>
        <w:r w:rsidRPr="004B5D90">
          <w:rPr>
            <w:rFonts w:cs="Calibri"/>
            <w:noProof/>
            <w:webHidden/>
          </w:rPr>
          <w:fldChar w:fldCharType="separate"/>
        </w:r>
        <w:r w:rsidR="00292A6B">
          <w:rPr>
            <w:rFonts w:cs="Calibri"/>
            <w:noProof/>
            <w:webHidden/>
          </w:rPr>
          <w:t>2</w:t>
        </w:r>
        <w:r w:rsidRPr="004B5D90">
          <w:rPr>
            <w:rFonts w:cs="Calibri"/>
            <w:noProof/>
            <w:webHidden/>
          </w:rPr>
          <w:fldChar w:fldCharType="end"/>
        </w:r>
      </w:hyperlink>
    </w:p>
    <w:p w14:paraId="5F3CBBF4" w14:textId="3B9DFA2B" w:rsidR="004B5D90" w:rsidRPr="004B5D90" w:rsidRDefault="004B5D90">
      <w:pPr>
        <w:pStyle w:val="TOC1"/>
        <w:tabs>
          <w:tab w:val="left" w:pos="440"/>
          <w:tab w:val="right" w:leader="dot" w:pos="9350"/>
        </w:tabs>
        <w:rPr>
          <w:rFonts w:cs="Calibri"/>
          <w:noProof/>
          <w:kern w:val="2"/>
          <w:sz w:val="24"/>
          <w:szCs w:val="24"/>
          <w:lang w:eastAsia="en-GB"/>
          <w14:ligatures w14:val="standardContextual"/>
        </w:rPr>
      </w:pPr>
      <w:hyperlink w:anchor="_Toc190268257" w:history="1">
        <w:r w:rsidRPr="004B5D90">
          <w:rPr>
            <w:rStyle w:val="Hyperlink"/>
            <w:rFonts w:cs="Calibri"/>
            <w:noProof/>
          </w:rPr>
          <w:t>2</w:t>
        </w:r>
        <w:r w:rsidRPr="004B5D90">
          <w:rPr>
            <w:rFonts w:cs="Calibri"/>
            <w:noProof/>
            <w:kern w:val="2"/>
            <w:sz w:val="24"/>
            <w:szCs w:val="24"/>
            <w:lang w:eastAsia="en-GB"/>
            <w14:ligatures w14:val="standardContextual"/>
          </w:rPr>
          <w:tab/>
        </w:r>
        <w:r w:rsidRPr="004B5D90">
          <w:rPr>
            <w:rStyle w:val="Hyperlink"/>
            <w:rFonts w:cs="Calibri"/>
            <w:noProof/>
          </w:rPr>
          <w:t>Review overview</w:t>
        </w:r>
        <w:r w:rsidRPr="004B5D90">
          <w:rPr>
            <w:rFonts w:cs="Calibri"/>
            <w:noProof/>
            <w:webHidden/>
          </w:rPr>
          <w:tab/>
        </w:r>
        <w:r w:rsidRPr="004B5D90">
          <w:rPr>
            <w:rFonts w:cs="Calibri"/>
            <w:noProof/>
            <w:webHidden/>
          </w:rPr>
          <w:fldChar w:fldCharType="begin"/>
        </w:r>
        <w:r w:rsidRPr="004B5D90">
          <w:rPr>
            <w:rFonts w:cs="Calibri"/>
            <w:noProof/>
            <w:webHidden/>
          </w:rPr>
          <w:instrText xml:space="preserve"> PAGEREF _Toc190268257 \h </w:instrText>
        </w:r>
        <w:r w:rsidRPr="004B5D90">
          <w:rPr>
            <w:rFonts w:cs="Calibri"/>
            <w:noProof/>
            <w:webHidden/>
          </w:rPr>
        </w:r>
        <w:r w:rsidRPr="004B5D90">
          <w:rPr>
            <w:rFonts w:cs="Calibri"/>
            <w:noProof/>
            <w:webHidden/>
          </w:rPr>
          <w:fldChar w:fldCharType="separate"/>
        </w:r>
        <w:r w:rsidR="00292A6B">
          <w:rPr>
            <w:rFonts w:cs="Calibri"/>
            <w:noProof/>
            <w:webHidden/>
          </w:rPr>
          <w:t>3</w:t>
        </w:r>
        <w:r w:rsidRPr="004B5D90">
          <w:rPr>
            <w:rFonts w:cs="Calibri"/>
            <w:noProof/>
            <w:webHidden/>
          </w:rPr>
          <w:fldChar w:fldCharType="end"/>
        </w:r>
      </w:hyperlink>
    </w:p>
    <w:p w14:paraId="38036000" w14:textId="44BB8B17" w:rsidR="004B5D90" w:rsidRPr="004B5D90" w:rsidRDefault="004B5D90">
      <w:pPr>
        <w:pStyle w:val="TOC2"/>
        <w:tabs>
          <w:tab w:val="left" w:pos="880"/>
          <w:tab w:val="right" w:leader="dot" w:pos="9350"/>
        </w:tabs>
        <w:rPr>
          <w:rFonts w:cs="Calibri"/>
          <w:noProof/>
          <w:kern w:val="2"/>
          <w:sz w:val="24"/>
          <w:szCs w:val="24"/>
          <w:lang w:eastAsia="en-GB"/>
          <w14:ligatures w14:val="standardContextual"/>
        </w:rPr>
      </w:pPr>
      <w:hyperlink w:anchor="_Toc190268258" w:history="1">
        <w:r w:rsidRPr="004B5D90">
          <w:rPr>
            <w:rStyle w:val="Hyperlink"/>
            <w:rFonts w:cs="Calibri"/>
            <w:noProof/>
          </w:rPr>
          <w:t>2.1</w:t>
        </w:r>
        <w:r w:rsidRPr="004B5D90">
          <w:rPr>
            <w:rFonts w:cs="Calibri"/>
            <w:noProof/>
            <w:kern w:val="2"/>
            <w:sz w:val="24"/>
            <w:szCs w:val="24"/>
            <w:lang w:eastAsia="en-GB"/>
            <w14:ligatures w14:val="standardContextual"/>
          </w:rPr>
          <w:tab/>
        </w:r>
        <w:r w:rsidRPr="004B5D90">
          <w:rPr>
            <w:rStyle w:val="Hyperlink"/>
            <w:rFonts w:eastAsia="Calibri" w:cs="Calibri"/>
            <w:noProof/>
          </w:rPr>
          <w:t>Method</w:t>
        </w:r>
        <w:r w:rsidRPr="004B5D90">
          <w:rPr>
            <w:rFonts w:cs="Calibri"/>
            <w:noProof/>
            <w:webHidden/>
          </w:rPr>
          <w:tab/>
        </w:r>
        <w:r w:rsidRPr="004B5D90">
          <w:rPr>
            <w:rFonts w:cs="Calibri"/>
            <w:noProof/>
            <w:webHidden/>
          </w:rPr>
          <w:fldChar w:fldCharType="begin"/>
        </w:r>
        <w:r w:rsidRPr="004B5D90">
          <w:rPr>
            <w:rFonts w:cs="Calibri"/>
            <w:noProof/>
            <w:webHidden/>
          </w:rPr>
          <w:instrText xml:space="preserve"> PAGEREF _Toc190268258 \h </w:instrText>
        </w:r>
        <w:r w:rsidRPr="004B5D90">
          <w:rPr>
            <w:rFonts w:cs="Calibri"/>
            <w:noProof/>
            <w:webHidden/>
          </w:rPr>
        </w:r>
        <w:r w:rsidRPr="004B5D90">
          <w:rPr>
            <w:rFonts w:cs="Calibri"/>
            <w:noProof/>
            <w:webHidden/>
          </w:rPr>
          <w:fldChar w:fldCharType="separate"/>
        </w:r>
        <w:r w:rsidR="00292A6B">
          <w:rPr>
            <w:rFonts w:cs="Calibri"/>
            <w:noProof/>
            <w:webHidden/>
          </w:rPr>
          <w:t>4</w:t>
        </w:r>
        <w:r w:rsidRPr="004B5D90">
          <w:rPr>
            <w:rFonts w:cs="Calibri"/>
            <w:noProof/>
            <w:webHidden/>
          </w:rPr>
          <w:fldChar w:fldCharType="end"/>
        </w:r>
      </w:hyperlink>
    </w:p>
    <w:p w14:paraId="7486AA1A" w14:textId="7EBF3C78" w:rsidR="004B5D90" w:rsidRPr="004B5D90" w:rsidRDefault="004B5D90">
      <w:pPr>
        <w:pStyle w:val="TOC1"/>
        <w:tabs>
          <w:tab w:val="left" w:pos="440"/>
          <w:tab w:val="right" w:leader="dot" w:pos="9350"/>
        </w:tabs>
        <w:rPr>
          <w:rFonts w:cs="Calibri"/>
          <w:noProof/>
          <w:kern w:val="2"/>
          <w:sz w:val="24"/>
          <w:szCs w:val="24"/>
          <w:lang w:eastAsia="en-GB"/>
          <w14:ligatures w14:val="standardContextual"/>
        </w:rPr>
      </w:pPr>
      <w:hyperlink w:anchor="_Toc190268259" w:history="1">
        <w:r w:rsidRPr="004B5D90">
          <w:rPr>
            <w:rStyle w:val="Hyperlink"/>
            <w:rFonts w:cs="Calibri"/>
            <w:noProof/>
          </w:rPr>
          <w:t>3</w:t>
        </w:r>
        <w:r w:rsidRPr="004B5D90">
          <w:rPr>
            <w:rFonts w:cs="Calibri"/>
            <w:noProof/>
            <w:kern w:val="2"/>
            <w:sz w:val="24"/>
            <w:szCs w:val="24"/>
            <w:lang w:eastAsia="en-GB"/>
            <w14:ligatures w14:val="standardContextual"/>
          </w:rPr>
          <w:tab/>
        </w:r>
        <w:r w:rsidRPr="004B5D90">
          <w:rPr>
            <w:rStyle w:val="Hyperlink"/>
            <w:rFonts w:cs="Calibri"/>
            <w:noProof/>
          </w:rPr>
          <w:t>Findings</w:t>
        </w:r>
        <w:r w:rsidRPr="004B5D90">
          <w:rPr>
            <w:rFonts w:cs="Calibri"/>
            <w:noProof/>
            <w:webHidden/>
          </w:rPr>
          <w:tab/>
        </w:r>
        <w:r w:rsidRPr="004B5D90">
          <w:rPr>
            <w:rFonts w:cs="Calibri"/>
            <w:noProof/>
            <w:webHidden/>
          </w:rPr>
          <w:fldChar w:fldCharType="begin"/>
        </w:r>
        <w:r w:rsidRPr="004B5D90">
          <w:rPr>
            <w:rFonts w:cs="Calibri"/>
            <w:noProof/>
            <w:webHidden/>
          </w:rPr>
          <w:instrText xml:space="preserve"> PAGEREF _Toc190268259 \h </w:instrText>
        </w:r>
        <w:r w:rsidRPr="004B5D90">
          <w:rPr>
            <w:rFonts w:cs="Calibri"/>
            <w:noProof/>
            <w:webHidden/>
          </w:rPr>
        </w:r>
        <w:r w:rsidRPr="004B5D90">
          <w:rPr>
            <w:rFonts w:cs="Calibri"/>
            <w:noProof/>
            <w:webHidden/>
          </w:rPr>
          <w:fldChar w:fldCharType="separate"/>
        </w:r>
        <w:r w:rsidR="00292A6B">
          <w:rPr>
            <w:rFonts w:cs="Calibri"/>
            <w:noProof/>
            <w:webHidden/>
          </w:rPr>
          <w:t>5</w:t>
        </w:r>
        <w:r w:rsidRPr="004B5D90">
          <w:rPr>
            <w:rFonts w:cs="Calibri"/>
            <w:noProof/>
            <w:webHidden/>
          </w:rPr>
          <w:fldChar w:fldCharType="end"/>
        </w:r>
      </w:hyperlink>
    </w:p>
    <w:p w14:paraId="6D3899EF" w14:textId="0499C073" w:rsidR="004B5D90" w:rsidRPr="004B5D90" w:rsidRDefault="004B5D90">
      <w:pPr>
        <w:pStyle w:val="TOC2"/>
        <w:tabs>
          <w:tab w:val="left" w:pos="880"/>
          <w:tab w:val="right" w:leader="dot" w:pos="9350"/>
        </w:tabs>
        <w:rPr>
          <w:rFonts w:cs="Calibri"/>
          <w:noProof/>
          <w:kern w:val="2"/>
          <w:sz w:val="24"/>
          <w:szCs w:val="24"/>
          <w:lang w:eastAsia="en-GB"/>
          <w14:ligatures w14:val="standardContextual"/>
        </w:rPr>
      </w:pPr>
      <w:hyperlink w:anchor="_Toc190268260" w:history="1">
        <w:r w:rsidRPr="004B5D90">
          <w:rPr>
            <w:rStyle w:val="Hyperlink"/>
            <w:rFonts w:cs="Calibri"/>
            <w:noProof/>
          </w:rPr>
          <w:t>3.1</w:t>
        </w:r>
        <w:r w:rsidRPr="004B5D90">
          <w:rPr>
            <w:rFonts w:cs="Calibri"/>
            <w:noProof/>
            <w:kern w:val="2"/>
            <w:sz w:val="24"/>
            <w:szCs w:val="24"/>
            <w:lang w:eastAsia="en-GB"/>
            <w14:ligatures w14:val="standardContextual"/>
          </w:rPr>
          <w:tab/>
        </w:r>
        <w:r w:rsidRPr="004B5D90">
          <w:rPr>
            <w:rStyle w:val="Hyperlink"/>
            <w:rFonts w:cs="Calibri"/>
            <w:noProof/>
          </w:rPr>
          <w:t>Education sector support: VAESP, including the DFA</w:t>
        </w:r>
        <w:r w:rsidRPr="004B5D90">
          <w:rPr>
            <w:rFonts w:cs="Calibri"/>
            <w:noProof/>
            <w:webHidden/>
          </w:rPr>
          <w:tab/>
        </w:r>
        <w:r w:rsidRPr="004B5D90">
          <w:rPr>
            <w:rFonts w:cs="Calibri"/>
            <w:noProof/>
            <w:webHidden/>
          </w:rPr>
          <w:fldChar w:fldCharType="begin"/>
        </w:r>
        <w:r w:rsidRPr="004B5D90">
          <w:rPr>
            <w:rFonts w:cs="Calibri"/>
            <w:noProof/>
            <w:webHidden/>
          </w:rPr>
          <w:instrText xml:space="preserve"> PAGEREF _Toc190268260 \h </w:instrText>
        </w:r>
        <w:r w:rsidRPr="004B5D90">
          <w:rPr>
            <w:rFonts w:cs="Calibri"/>
            <w:noProof/>
            <w:webHidden/>
          </w:rPr>
        </w:r>
        <w:r w:rsidRPr="004B5D90">
          <w:rPr>
            <w:rFonts w:cs="Calibri"/>
            <w:noProof/>
            <w:webHidden/>
          </w:rPr>
          <w:fldChar w:fldCharType="separate"/>
        </w:r>
        <w:r w:rsidR="00292A6B">
          <w:rPr>
            <w:rFonts w:cs="Calibri"/>
            <w:noProof/>
            <w:webHidden/>
          </w:rPr>
          <w:t>5</w:t>
        </w:r>
        <w:r w:rsidRPr="004B5D90">
          <w:rPr>
            <w:rFonts w:cs="Calibri"/>
            <w:noProof/>
            <w:webHidden/>
          </w:rPr>
          <w:fldChar w:fldCharType="end"/>
        </w:r>
      </w:hyperlink>
    </w:p>
    <w:p w14:paraId="2F7654A5" w14:textId="44A350E6" w:rsidR="004B5D90" w:rsidRPr="004B5D90" w:rsidRDefault="004B5D90">
      <w:pPr>
        <w:pStyle w:val="TOC2"/>
        <w:tabs>
          <w:tab w:val="left" w:pos="880"/>
          <w:tab w:val="right" w:leader="dot" w:pos="9350"/>
        </w:tabs>
        <w:rPr>
          <w:rFonts w:cs="Calibri"/>
          <w:noProof/>
          <w:kern w:val="2"/>
          <w:sz w:val="24"/>
          <w:szCs w:val="24"/>
          <w:lang w:eastAsia="en-GB"/>
          <w14:ligatures w14:val="standardContextual"/>
        </w:rPr>
      </w:pPr>
      <w:hyperlink w:anchor="_Toc190268261" w:history="1">
        <w:r w:rsidRPr="004B5D90">
          <w:rPr>
            <w:rStyle w:val="Hyperlink"/>
            <w:rFonts w:eastAsia="Century Gothic" w:cs="Calibri"/>
            <w:noProof/>
          </w:rPr>
          <w:t>3.2</w:t>
        </w:r>
        <w:r w:rsidRPr="004B5D90">
          <w:rPr>
            <w:rFonts w:cs="Calibri"/>
            <w:noProof/>
            <w:kern w:val="2"/>
            <w:sz w:val="24"/>
            <w:szCs w:val="24"/>
            <w:lang w:eastAsia="en-GB"/>
            <w14:ligatures w14:val="standardContextual"/>
          </w:rPr>
          <w:tab/>
        </w:r>
        <w:r w:rsidRPr="004B5D90">
          <w:rPr>
            <w:rStyle w:val="Hyperlink"/>
            <w:rFonts w:eastAsia="Century Gothic" w:cs="Calibri"/>
            <w:noProof/>
          </w:rPr>
          <w:t>Skills sector support: VSP</w:t>
        </w:r>
        <w:r w:rsidRPr="004B5D90">
          <w:rPr>
            <w:rFonts w:cs="Calibri"/>
            <w:noProof/>
            <w:webHidden/>
          </w:rPr>
          <w:tab/>
        </w:r>
        <w:r w:rsidRPr="004B5D90">
          <w:rPr>
            <w:rFonts w:cs="Calibri"/>
            <w:noProof/>
            <w:webHidden/>
          </w:rPr>
          <w:fldChar w:fldCharType="begin"/>
        </w:r>
        <w:r w:rsidRPr="004B5D90">
          <w:rPr>
            <w:rFonts w:cs="Calibri"/>
            <w:noProof/>
            <w:webHidden/>
          </w:rPr>
          <w:instrText xml:space="preserve"> PAGEREF _Toc190268261 \h </w:instrText>
        </w:r>
        <w:r w:rsidRPr="004B5D90">
          <w:rPr>
            <w:rFonts w:cs="Calibri"/>
            <w:noProof/>
            <w:webHidden/>
          </w:rPr>
        </w:r>
        <w:r w:rsidRPr="004B5D90">
          <w:rPr>
            <w:rFonts w:cs="Calibri"/>
            <w:noProof/>
            <w:webHidden/>
          </w:rPr>
          <w:fldChar w:fldCharType="separate"/>
        </w:r>
        <w:r w:rsidR="00292A6B">
          <w:rPr>
            <w:rFonts w:cs="Calibri"/>
            <w:noProof/>
            <w:webHidden/>
          </w:rPr>
          <w:t>17</w:t>
        </w:r>
        <w:r w:rsidRPr="004B5D90">
          <w:rPr>
            <w:rFonts w:cs="Calibri"/>
            <w:noProof/>
            <w:webHidden/>
          </w:rPr>
          <w:fldChar w:fldCharType="end"/>
        </w:r>
      </w:hyperlink>
    </w:p>
    <w:p w14:paraId="699A0A4B" w14:textId="285708F5" w:rsidR="004B5D90" w:rsidRDefault="004B5D90">
      <w:pPr>
        <w:pStyle w:val="TOC1"/>
        <w:tabs>
          <w:tab w:val="left" w:pos="440"/>
          <w:tab w:val="right" w:leader="dot" w:pos="9350"/>
        </w:tabs>
        <w:rPr>
          <w:rFonts w:asciiTheme="minorHAnsi" w:hAnsiTheme="minorHAnsi"/>
          <w:noProof/>
          <w:kern w:val="2"/>
          <w:sz w:val="24"/>
          <w:szCs w:val="24"/>
          <w:lang w:eastAsia="en-GB"/>
          <w14:ligatures w14:val="standardContextual"/>
        </w:rPr>
      </w:pPr>
      <w:hyperlink w:anchor="_Toc190268262" w:history="1">
        <w:r w:rsidRPr="00583815">
          <w:rPr>
            <w:rStyle w:val="Hyperlink"/>
            <w:noProof/>
          </w:rPr>
          <w:t>4</w:t>
        </w:r>
        <w:r>
          <w:rPr>
            <w:rFonts w:asciiTheme="minorHAnsi" w:hAnsiTheme="minorHAnsi"/>
            <w:noProof/>
            <w:kern w:val="2"/>
            <w:sz w:val="24"/>
            <w:szCs w:val="24"/>
            <w:lang w:eastAsia="en-GB"/>
            <w14:ligatures w14:val="standardContextual"/>
          </w:rPr>
          <w:tab/>
        </w:r>
        <w:r w:rsidRPr="00583815">
          <w:rPr>
            <w:rStyle w:val="Hyperlink"/>
            <w:noProof/>
          </w:rPr>
          <w:t>Summary and recommendation</w:t>
        </w:r>
        <w:r>
          <w:rPr>
            <w:noProof/>
            <w:webHidden/>
          </w:rPr>
          <w:tab/>
        </w:r>
        <w:r>
          <w:rPr>
            <w:noProof/>
            <w:webHidden/>
          </w:rPr>
          <w:fldChar w:fldCharType="begin"/>
        </w:r>
        <w:r>
          <w:rPr>
            <w:noProof/>
            <w:webHidden/>
          </w:rPr>
          <w:instrText xml:space="preserve"> PAGEREF _Toc190268262 \h </w:instrText>
        </w:r>
        <w:r>
          <w:rPr>
            <w:noProof/>
            <w:webHidden/>
          </w:rPr>
        </w:r>
        <w:r>
          <w:rPr>
            <w:noProof/>
            <w:webHidden/>
          </w:rPr>
          <w:fldChar w:fldCharType="separate"/>
        </w:r>
        <w:r w:rsidR="00292A6B">
          <w:rPr>
            <w:noProof/>
            <w:webHidden/>
          </w:rPr>
          <w:t>24</w:t>
        </w:r>
        <w:r>
          <w:rPr>
            <w:noProof/>
            <w:webHidden/>
          </w:rPr>
          <w:fldChar w:fldCharType="end"/>
        </w:r>
      </w:hyperlink>
    </w:p>
    <w:p w14:paraId="5589BC9B" w14:textId="3CD467C1" w:rsidR="004B5D90" w:rsidRDefault="004B5D90">
      <w:pPr>
        <w:pStyle w:val="TOC2"/>
        <w:tabs>
          <w:tab w:val="left" w:pos="880"/>
          <w:tab w:val="right" w:leader="dot" w:pos="9350"/>
        </w:tabs>
        <w:rPr>
          <w:rFonts w:asciiTheme="minorHAnsi" w:hAnsiTheme="minorHAnsi"/>
          <w:noProof/>
          <w:kern w:val="2"/>
          <w:sz w:val="24"/>
          <w:szCs w:val="24"/>
          <w:lang w:eastAsia="en-GB"/>
          <w14:ligatures w14:val="standardContextual"/>
        </w:rPr>
      </w:pPr>
      <w:hyperlink w:anchor="_Toc190268263" w:history="1">
        <w:r w:rsidRPr="00583815">
          <w:rPr>
            <w:rStyle w:val="Hyperlink"/>
            <w:noProof/>
          </w:rPr>
          <w:t>4.1</w:t>
        </w:r>
        <w:r>
          <w:rPr>
            <w:rFonts w:asciiTheme="minorHAnsi" w:hAnsiTheme="minorHAnsi"/>
            <w:noProof/>
            <w:kern w:val="2"/>
            <w:sz w:val="24"/>
            <w:szCs w:val="24"/>
            <w:lang w:eastAsia="en-GB"/>
            <w14:ligatures w14:val="standardContextual"/>
          </w:rPr>
          <w:tab/>
        </w:r>
        <w:r w:rsidRPr="00583815">
          <w:rPr>
            <w:rStyle w:val="Hyperlink"/>
            <w:noProof/>
          </w:rPr>
          <w:t>Modality for future design</w:t>
        </w:r>
        <w:r>
          <w:rPr>
            <w:noProof/>
            <w:webHidden/>
          </w:rPr>
          <w:tab/>
        </w:r>
        <w:r>
          <w:rPr>
            <w:noProof/>
            <w:webHidden/>
          </w:rPr>
          <w:fldChar w:fldCharType="begin"/>
        </w:r>
        <w:r>
          <w:rPr>
            <w:noProof/>
            <w:webHidden/>
          </w:rPr>
          <w:instrText xml:space="preserve"> PAGEREF _Toc190268263 \h </w:instrText>
        </w:r>
        <w:r>
          <w:rPr>
            <w:noProof/>
            <w:webHidden/>
          </w:rPr>
        </w:r>
        <w:r>
          <w:rPr>
            <w:noProof/>
            <w:webHidden/>
          </w:rPr>
          <w:fldChar w:fldCharType="separate"/>
        </w:r>
        <w:r w:rsidR="00292A6B">
          <w:rPr>
            <w:noProof/>
            <w:webHidden/>
          </w:rPr>
          <w:t>25</w:t>
        </w:r>
        <w:r>
          <w:rPr>
            <w:noProof/>
            <w:webHidden/>
          </w:rPr>
          <w:fldChar w:fldCharType="end"/>
        </w:r>
      </w:hyperlink>
    </w:p>
    <w:p w14:paraId="20156C97" w14:textId="1680486E" w:rsidR="004B5D90" w:rsidRDefault="004B5D90">
      <w:pPr>
        <w:pStyle w:val="TOC1"/>
        <w:tabs>
          <w:tab w:val="left" w:pos="440"/>
          <w:tab w:val="right" w:leader="dot" w:pos="9350"/>
        </w:tabs>
        <w:rPr>
          <w:rFonts w:asciiTheme="minorHAnsi" w:hAnsiTheme="minorHAnsi"/>
          <w:noProof/>
          <w:kern w:val="2"/>
          <w:sz w:val="24"/>
          <w:szCs w:val="24"/>
          <w:lang w:eastAsia="en-GB"/>
          <w14:ligatures w14:val="standardContextual"/>
        </w:rPr>
      </w:pPr>
      <w:hyperlink w:anchor="_Toc190268264" w:history="1">
        <w:r w:rsidRPr="00583815">
          <w:rPr>
            <w:rStyle w:val="Hyperlink"/>
            <w:noProof/>
          </w:rPr>
          <w:t>5</w:t>
        </w:r>
        <w:r>
          <w:rPr>
            <w:rFonts w:asciiTheme="minorHAnsi" w:hAnsiTheme="minorHAnsi"/>
            <w:noProof/>
            <w:kern w:val="2"/>
            <w:sz w:val="24"/>
            <w:szCs w:val="24"/>
            <w:lang w:eastAsia="en-GB"/>
            <w14:ligatures w14:val="standardContextual"/>
          </w:rPr>
          <w:tab/>
        </w:r>
        <w:r w:rsidRPr="00583815">
          <w:rPr>
            <w:rStyle w:val="Hyperlink"/>
            <w:noProof/>
          </w:rPr>
          <w:t>Next steps</w:t>
        </w:r>
        <w:r>
          <w:rPr>
            <w:noProof/>
            <w:webHidden/>
          </w:rPr>
          <w:tab/>
        </w:r>
        <w:r>
          <w:rPr>
            <w:noProof/>
            <w:webHidden/>
          </w:rPr>
          <w:fldChar w:fldCharType="begin"/>
        </w:r>
        <w:r>
          <w:rPr>
            <w:noProof/>
            <w:webHidden/>
          </w:rPr>
          <w:instrText xml:space="preserve"> PAGEREF _Toc190268264 \h </w:instrText>
        </w:r>
        <w:r>
          <w:rPr>
            <w:noProof/>
            <w:webHidden/>
          </w:rPr>
        </w:r>
        <w:r>
          <w:rPr>
            <w:noProof/>
            <w:webHidden/>
          </w:rPr>
          <w:fldChar w:fldCharType="separate"/>
        </w:r>
        <w:r w:rsidR="00292A6B">
          <w:rPr>
            <w:noProof/>
            <w:webHidden/>
          </w:rPr>
          <w:t>28</w:t>
        </w:r>
        <w:r>
          <w:rPr>
            <w:noProof/>
            <w:webHidden/>
          </w:rPr>
          <w:fldChar w:fldCharType="end"/>
        </w:r>
      </w:hyperlink>
    </w:p>
    <w:p w14:paraId="70F38E01" w14:textId="63A03DB1" w:rsidR="004B5D90" w:rsidRDefault="004B5D90">
      <w:pPr>
        <w:pStyle w:val="TOC1"/>
        <w:tabs>
          <w:tab w:val="right" w:leader="dot" w:pos="9350"/>
        </w:tabs>
        <w:rPr>
          <w:rFonts w:asciiTheme="minorHAnsi" w:hAnsiTheme="minorHAnsi"/>
          <w:noProof/>
          <w:kern w:val="2"/>
          <w:sz w:val="24"/>
          <w:szCs w:val="24"/>
          <w:lang w:eastAsia="en-GB"/>
          <w14:ligatures w14:val="standardContextual"/>
        </w:rPr>
      </w:pPr>
      <w:hyperlink w:anchor="_Toc190268265" w:history="1">
        <w:r w:rsidRPr="00583815">
          <w:rPr>
            <w:rStyle w:val="Hyperlink"/>
            <w:noProof/>
          </w:rPr>
          <w:t>Annex 1: List of people consulted</w:t>
        </w:r>
        <w:r>
          <w:rPr>
            <w:noProof/>
            <w:webHidden/>
          </w:rPr>
          <w:tab/>
        </w:r>
        <w:r>
          <w:rPr>
            <w:noProof/>
            <w:webHidden/>
          </w:rPr>
          <w:fldChar w:fldCharType="begin"/>
        </w:r>
        <w:r>
          <w:rPr>
            <w:noProof/>
            <w:webHidden/>
          </w:rPr>
          <w:instrText xml:space="preserve"> PAGEREF _Toc190268265 \h </w:instrText>
        </w:r>
        <w:r>
          <w:rPr>
            <w:noProof/>
            <w:webHidden/>
          </w:rPr>
        </w:r>
        <w:r>
          <w:rPr>
            <w:noProof/>
            <w:webHidden/>
          </w:rPr>
          <w:fldChar w:fldCharType="separate"/>
        </w:r>
        <w:r w:rsidR="00292A6B">
          <w:rPr>
            <w:noProof/>
            <w:webHidden/>
          </w:rPr>
          <w:t>29</w:t>
        </w:r>
        <w:r>
          <w:rPr>
            <w:noProof/>
            <w:webHidden/>
          </w:rPr>
          <w:fldChar w:fldCharType="end"/>
        </w:r>
      </w:hyperlink>
    </w:p>
    <w:p w14:paraId="4A9BC28F" w14:textId="5B5EC5E4" w:rsidR="004B5D90" w:rsidRDefault="004B5D90">
      <w:pPr>
        <w:pStyle w:val="TOC1"/>
        <w:tabs>
          <w:tab w:val="right" w:leader="dot" w:pos="9350"/>
        </w:tabs>
        <w:rPr>
          <w:rFonts w:asciiTheme="minorHAnsi" w:hAnsiTheme="minorHAnsi"/>
          <w:noProof/>
          <w:kern w:val="2"/>
          <w:sz w:val="24"/>
          <w:szCs w:val="24"/>
          <w:lang w:eastAsia="en-GB"/>
          <w14:ligatures w14:val="standardContextual"/>
        </w:rPr>
      </w:pPr>
      <w:hyperlink w:anchor="_Toc190268266" w:history="1">
        <w:r w:rsidRPr="00583815">
          <w:rPr>
            <w:rStyle w:val="Hyperlink"/>
            <w:noProof/>
          </w:rPr>
          <w:t>Annex 2: Documents consulted</w:t>
        </w:r>
        <w:r>
          <w:rPr>
            <w:noProof/>
            <w:webHidden/>
          </w:rPr>
          <w:tab/>
        </w:r>
        <w:r>
          <w:rPr>
            <w:noProof/>
            <w:webHidden/>
          </w:rPr>
          <w:fldChar w:fldCharType="begin"/>
        </w:r>
        <w:r>
          <w:rPr>
            <w:noProof/>
            <w:webHidden/>
          </w:rPr>
          <w:instrText xml:space="preserve"> PAGEREF _Toc190268266 \h </w:instrText>
        </w:r>
        <w:r>
          <w:rPr>
            <w:noProof/>
            <w:webHidden/>
          </w:rPr>
        </w:r>
        <w:r>
          <w:rPr>
            <w:noProof/>
            <w:webHidden/>
          </w:rPr>
          <w:fldChar w:fldCharType="separate"/>
        </w:r>
        <w:r w:rsidR="00292A6B">
          <w:rPr>
            <w:noProof/>
            <w:webHidden/>
          </w:rPr>
          <w:t>34</w:t>
        </w:r>
        <w:r>
          <w:rPr>
            <w:noProof/>
            <w:webHidden/>
          </w:rPr>
          <w:fldChar w:fldCharType="end"/>
        </w:r>
      </w:hyperlink>
    </w:p>
    <w:p w14:paraId="3A8735CD" w14:textId="2A77FB93" w:rsidR="004B5D90" w:rsidRDefault="004B5D90">
      <w:pPr>
        <w:pStyle w:val="TOC1"/>
        <w:tabs>
          <w:tab w:val="right" w:leader="dot" w:pos="9350"/>
        </w:tabs>
        <w:rPr>
          <w:rFonts w:asciiTheme="minorHAnsi" w:hAnsiTheme="minorHAnsi"/>
          <w:noProof/>
          <w:kern w:val="2"/>
          <w:sz w:val="24"/>
          <w:szCs w:val="24"/>
          <w:lang w:eastAsia="en-GB"/>
          <w14:ligatures w14:val="standardContextual"/>
        </w:rPr>
      </w:pPr>
      <w:hyperlink w:anchor="_Toc190268270" w:history="1">
        <w:r w:rsidRPr="00583815">
          <w:rPr>
            <w:rStyle w:val="Hyperlink"/>
            <w:noProof/>
          </w:rPr>
          <w:t>Annex 3: Terms of Reference</w:t>
        </w:r>
        <w:r>
          <w:rPr>
            <w:noProof/>
            <w:webHidden/>
          </w:rPr>
          <w:tab/>
        </w:r>
        <w:r>
          <w:rPr>
            <w:noProof/>
            <w:webHidden/>
          </w:rPr>
          <w:fldChar w:fldCharType="begin"/>
        </w:r>
        <w:r>
          <w:rPr>
            <w:noProof/>
            <w:webHidden/>
          </w:rPr>
          <w:instrText xml:space="preserve"> PAGEREF _Toc190268270 \h </w:instrText>
        </w:r>
        <w:r>
          <w:rPr>
            <w:noProof/>
            <w:webHidden/>
          </w:rPr>
        </w:r>
        <w:r>
          <w:rPr>
            <w:noProof/>
            <w:webHidden/>
          </w:rPr>
          <w:fldChar w:fldCharType="separate"/>
        </w:r>
        <w:r w:rsidR="00292A6B">
          <w:rPr>
            <w:noProof/>
            <w:webHidden/>
          </w:rPr>
          <w:t>37</w:t>
        </w:r>
        <w:r>
          <w:rPr>
            <w:noProof/>
            <w:webHidden/>
          </w:rPr>
          <w:fldChar w:fldCharType="end"/>
        </w:r>
      </w:hyperlink>
    </w:p>
    <w:p w14:paraId="468FF3BC" w14:textId="3CD46C4B" w:rsidR="00DD0CB8" w:rsidRDefault="00071EBE">
      <w:pPr>
        <w:spacing w:before="0" w:after="200"/>
        <w:rPr>
          <w:rFonts w:asciiTheme="majorHAnsi" w:eastAsiaTheme="majorEastAsia" w:hAnsiTheme="majorHAnsi" w:cstheme="majorBidi"/>
          <w:b/>
          <w:bCs/>
          <w:color w:val="650B5F" w:themeColor="accent1" w:themeShade="BF"/>
          <w:sz w:val="28"/>
          <w:szCs w:val="28"/>
        </w:rPr>
      </w:pPr>
      <w:r>
        <w:fldChar w:fldCharType="end"/>
      </w:r>
      <w:r w:rsidR="00DD0CB8">
        <w:br w:type="page"/>
      </w:r>
    </w:p>
    <w:bookmarkStart w:id="12" w:name="_Toc184911480"/>
    <w:bookmarkStart w:id="13" w:name="_Toc184935167"/>
    <w:bookmarkStart w:id="14" w:name="_Toc185784609"/>
    <w:bookmarkStart w:id="15" w:name="_Toc190268254"/>
    <w:p w14:paraId="22914A03" w14:textId="4FF9ECA2" w:rsidR="136A7CAD" w:rsidRDefault="0095602B" w:rsidP="00DD0CB8">
      <w:pPr>
        <w:pStyle w:val="Heading1"/>
        <w:numPr>
          <w:ilvl w:val="0"/>
          <w:numId w:val="0"/>
        </w:numPr>
      </w:pPr>
      <w:r w:rsidRPr="0065380F">
        <w:rPr>
          <w:noProof/>
        </w:rPr>
        <mc:AlternateContent>
          <mc:Choice Requires="wps">
            <w:drawing>
              <wp:anchor distT="0" distB="0" distL="114300" distR="114300" simplePos="0" relativeHeight="251664384" behindDoc="0" locked="0" layoutInCell="1" allowOverlap="1" wp14:anchorId="41F7D13A" wp14:editId="7BC3271F">
                <wp:simplePos x="0" y="0"/>
                <wp:positionH relativeFrom="column">
                  <wp:posOffset>-924128</wp:posOffset>
                </wp:positionH>
                <wp:positionV relativeFrom="paragraph">
                  <wp:posOffset>-97439</wp:posOffset>
                </wp:positionV>
                <wp:extent cx="541421" cy="475248"/>
                <wp:effectExtent l="0" t="0" r="5080" b="0"/>
                <wp:wrapNone/>
                <wp:docPr id="369935467" name="Rectangle 369935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w:pict w14:anchorId="28B13EC8">
              <v:rect id="Rectangle 369935467" style="position:absolute;margin-left:-72.75pt;margin-top:-7.65pt;width:42.65pt;height:37.4pt;z-index:25166438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fb200" stroked="f" strokeweight="2pt" w14:anchorId="5680D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"/>
            </w:pict>
          </mc:Fallback>
        </mc:AlternateContent>
      </w:r>
      <w:r w:rsidR="00DD0CB8">
        <w:t>Acronyms</w:t>
      </w:r>
      <w:bookmarkEnd w:id="12"/>
      <w:bookmarkEnd w:id="13"/>
      <w:bookmarkEnd w:id="14"/>
      <w:bookmarkEnd w:id="15"/>
    </w:p>
    <w:p w14:paraId="2FD8073B" w14:textId="77777777" w:rsidR="004B5D90" w:rsidRPr="004B5D90" w:rsidRDefault="004B5D90" w:rsidP="004B5D90"/>
    <w:tbl>
      <w:tblPr>
        <w:tblStyle w:val="PlainTable1"/>
        <w:tblW w:w="0" w:type="auto"/>
        <w:tblCellMar>
          <w:left w:w="85" w:type="dxa"/>
          <w:right w:w="85" w:type="dxa"/>
        </w:tblCellMar>
        <w:tblLook w:val="04A0" w:firstRow="1" w:lastRow="0" w:firstColumn="1" w:lastColumn="0" w:noHBand="0" w:noVBand="1"/>
      </w:tblPr>
      <w:tblGrid>
        <w:gridCol w:w="1362"/>
        <w:gridCol w:w="7988"/>
      </w:tblGrid>
      <w:tr w:rsidR="00C35E40" w:rsidRPr="00E16197" w14:paraId="0A64820A" w14:textId="77777777" w:rsidTr="00BD64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3" w:type="dxa"/>
          </w:tcPr>
          <w:p w14:paraId="43E03C31" w14:textId="177BEBA1" w:rsidR="00C35E40" w:rsidRPr="00E16197" w:rsidRDefault="00C35E40" w:rsidP="00C35E40">
            <w:pPr>
              <w:pStyle w:val="Listofacronyms"/>
            </w:pPr>
            <w:r>
              <w:t>Abbreviation</w:t>
            </w:r>
          </w:p>
        </w:tc>
        <w:tc>
          <w:tcPr>
            <w:tcW w:w="8097" w:type="dxa"/>
          </w:tcPr>
          <w:p w14:paraId="0C71F22E" w14:textId="080B3FB5" w:rsidR="00C35E40" w:rsidRPr="00E16197" w:rsidRDefault="00C35E40" w:rsidP="00C35E40">
            <w:pPr>
              <w:pStyle w:val="Listofacronyms"/>
              <w:cnfStyle w:val="100000000000" w:firstRow="1" w:lastRow="0" w:firstColumn="0" w:lastColumn="0" w:oddVBand="0" w:evenVBand="0" w:oddHBand="0" w:evenHBand="0" w:firstRowFirstColumn="0" w:firstRowLastColumn="0" w:lastRowFirstColumn="0" w:lastRowLastColumn="0"/>
            </w:pPr>
            <w:r>
              <w:t>Meaning</w:t>
            </w:r>
          </w:p>
        </w:tc>
      </w:tr>
      <w:tr w:rsidR="00A0189A" w:rsidRPr="00E16197" w14:paraId="142D9726"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48AB9030" w14:textId="77777777" w:rsidR="00A0189A" w:rsidRPr="00E16197" w:rsidRDefault="00A0189A" w:rsidP="00E16197">
            <w:pPr>
              <w:pStyle w:val="Listofacronyms"/>
              <w:rPr>
                <w:b w:val="0"/>
                <w:bCs w:val="0"/>
              </w:rPr>
            </w:pPr>
            <w:r w:rsidRPr="00E16197">
              <w:rPr>
                <w:b w:val="0"/>
                <w:bCs w:val="0"/>
              </w:rPr>
              <w:t>AAPS</w:t>
            </w:r>
          </w:p>
        </w:tc>
        <w:tc>
          <w:tcPr>
            <w:tcW w:w="8097" w:type="dxa"/>
          </w:tcPr>
          <w:p w14:paraId="78C762FE" w14:textId="77777777" w:rsidR="00A0189A" w:rsidRPr="00E16197" w:rsidRDefault="3C638BD2" w:rsidP="00E16197">
            <w:pPr>
              <w:pStyle w:val="Listofacronyms"/>
              <w:cnfStyle w:val="000000100000" w:firstRow="0" w:lastRow="0" w:firstColumn="0" w:lastColumn="0" w:oddVBand="0" w:evenVBand="0" w:oddHBand="1" w:evenHBand="0" w:firstRowFirstColumn="0" w:firstRowLastColumn="0" w:lastRowFirstColumn="0" w:lastRowLastColumn="0"/>
              <w:rPr>
                <w:b/>
                <w:bCs/>
              </w:rPr>
            </w:pPr>
            <w:r w:rsidRPr="00E16197">
              <w:t xml:space="preserve">Australia Awards Pacific Scholarships </w:t>
            </w:r>
          </w:p>
        </w:tc>
      </w:tr>
      <w:tr w:rsidR="00A0189A" w:rsidRPr="00E16197" w14:paraId="3E2C758F"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340C3D6F" w14:textId="77777777" w:rsidR="00A0189A" w:rsidRPr="00E16197" w:rsidRDefault="00A0189A" w:rsidP="00E16197">
            <w:pPr>
              <w:pStyle w:val="Listofacronyms"/>
              <w:rPr>
                <w:b w:val="0"/>
                <w:bCs w:val="0"/>
              </w:rPr>
            </w:pPr>
            <w:r w:rsidRPr="00E16197">
              <w:rPr>
                <w:b w:val="0"/>
                <w:bCs w:val="0"/>
              </w:rPr>
              <w:t>AAV</w:t>
            </w:r>
          </w:p>
        </w:tc>
        <w:tc>
          <w:tcPr>
            <w:tcW w:w="8097" w:type="dxa"/>
          </w:tcPr>
          <w:p w14:paraId="549DA0BE"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 xml:space="preserve">Australia Awards Vanuatu </w:t>
            </w:r>
          </w:p>
        </w:tc>
      </w:tr>
      <w:tr w:rsidR="00A0189A" w:rsidRPr="00E16197" w14:paraId="45AA6937"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4AA6D54D" w14:textId="77777777" w:rsidR="00A0189A" w:rsidRPr="00E16197" w:rsidRDefault="00A0189A" w:rsidP="00E16197">
            <w:pPr>
              <w:pStyle w:val="Listofacronyms"/>
              <w:rPr>
                <w:b w:val="0"/>
                <w:bCs w:val="0"/>
              </w:rPr>
            </w:pPr>
            <w:r w:rsidRPr="00E16197">
              <w:rPr>
                <w:b w:val="0"/>
                <w:bCs w:val="0"/>
              </w:rPr>
              <w:t>ADRA</w:t>
            </w:r>
          </w:p>
        </w:tc>
        <w:tc>
          <w:tcPr>
            <w:tcW w:w="8097" w:type="dxa"/>
          </w:tcPr>
          <w:p w14:paraId="7D51C974" w14:textId="32D2B783"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Adventist </w:t>
            </w:r>
            <w:r w:rsidR="00DE6079" w:rsidRPr="00E16197">
              <w:t xml:space="preserve">Development </w:t>
            </w:r>
            <w:r w:rsidRPr="00E16197">
              <w:t xml:space="preserve">Relief </w:t>
            </w:r>
            <w:r w:rsidR="00DE6079" w:rsidRPr="00E16197">
              <w:t>Agency</w:t>
            </w:r>
          </w:p>
        </w:tc>
      </w:tr>
      <w:tr w:rsidR="00281C56" w:rsidRPr="00E16197" w14:paraId="0B549DC3"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06E1C5D0" w14:textId="2E06B183" w:rsidR="00281C56" w:rsidRPr="00281C56" w:rsidRDefault="00281C56" w:rsidP="00E16197">
            <w:pPr>
              <w:pStyle w:val="Listofacronyms"/>
              <w:rPr>
                <w:b w:val="0"/>
                <w:bCs w:val="0"/>
              </w:rPr>
            </w:pPr>
            <w:r w:rsidRPr="00281C56">
              <w:rPr>
                <w:b w:val="0"/>
                <w:bCs w:val="0"/>
              </w:rPr>
              <w:t>ANS</w:t>
            </w:r>
          </w:p>
        </w:tc>
        <w:tc>
          <w:tcPr>
            <w:tcW w:w="8097" w:type="dxa"/>
          </w:tcPr>
          <w:p w14:paraId="1E6E5F8E" w14:textId="025D037A" w:rsidR="00281C56" w:rsidRPr="00E16197" w:rsidRDefault="00281C56" w:rsidP="00E16197">
            <w:pPr>
              <w:pStyle w:val="Listofacronyms"/>
              <w:cnfStyle w:val="000000000000" w:firstRow="0" w:lastRow="0" w:firstColumn="0" w:lastColumn="0" w:oddVBand="0" w:evenVBand="0" w:oddHBand="0" w:evenHBand="0" w:firstRowFirstColumn="0" w:firstRowLastColumn="0" w:lastRowFirstColumn="0" w:lastRowLastColumn="0"/>
            </w:pPr>
            <w:r>
              <w:t>Assessment of National Systems</w:t>
            </w:r>
          </w:p>
        </w:tc>
      </w:tr>
      <w:tr w:rsidR="00A0189A" w:rsidRPr="00E16197" w14:paraId="7339D563"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35934969" w14:textId="77777777" w:rsidR="00A0189A" w:rsidRPr="00E16197" w:rsidRDefault="00A0189A" w:rsidP="00E16197">
            <w:pPr>
              <w:pStyle w:val="Listofacronyms"/>
              <w:rPr>
                <w:b w:val="0"/>
                <w:bCs w:val="0"/>
              </w:rPr>
            </w:pPr>
            <w:r w:rsidRPr="00E16197">
              <w:rPr>
                <w:b w:val="0"/>
                <w:bCs w:val="0"/>
              </w:rPr>
              <w:t>CDU</w:t>
            </w:r>
          </w:p>
        </w:tc>
        <w:tc>
          <w:tcPr>
            <w:tcW w:w="8097" w:type="dxa"/>
          </w:tcPr>
          <w:p w14:paraId="6E74003B"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Curriculum Development Unit (Vanuatu)</w:t>
            </w:r>
          </w:p>
        </w:tc>
      </w:tr>
      <w:tr w:rsidR="00A0189A" w:rsidRPr="00E16197" w14:paraId="3176AD77"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0CBC1DD8" w14:textId="77777777" w:rsidR="00A0189A" w:rsidRPr="00E16197" w:rsidRDefault="00A0189A" w:rsidP="00E16197">
            <w:pPr>
              <w:pStyle w:val="Listofacronyms"/>
              <w:rPr>
                <w:b w:val="0"/>
                <w:bCs w:val="0"/>
              </w:rPr>
            </w:pPr>
            <w:r w:rsidRPr="00E16197">
              <w:rPr>
                <w:b w:val="0"/>
                <w:bCs w:val="0"/>
              </w:rPr>
              <w:t>DFA</w:t>
            </w:r>
          </w:p>
        </w:tc>
        <w:tc>
          <w:tcPr>
            <w:tcW w:w="8097" w:type="dxa"/>
          </w:tcPr>
          <w:p w14:paraId="27D1AA15" w14:textId="35F74A24"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 xml:space="preserve">Direct funding </w:t>
            </w:r>
            <w:r w:rsidR="00A91EA6">
              <w:t>arrangement</w:t>
            </w:r>
            <w:r w:rsidR="00A91EA6" w:rsidRPr="00E16197">
              <w:t xml:space="preserve"> </w:t>
            </w:r>
          </w:p>
        </w:tc>
      </w:tr>
      <w:tr w:rsidR="00A0189A" w:rsidRPr="00E16197" w14:paraId="39F51CCE"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30E96CCC" w14:textId="77777777" w:rsidR="00A0189A" w:rsidRPr="00E16197" w:rsidRDefault="00A0189A" w:rsidP="00E16197">
            <w:pPr>
              <w:pStyle w:val="Listofacronyms"/>
              <w:rPr>
                <w:b w:val="0"/>
                <w:bCs w:val="0"/>
              </w:rPr>
            </w:pPr>
            <w:r w:rsidRPr="00E16197">
              <w:rPr>
                <w:b w:val="0"/>
                <w:bCs w:val="0"/>
              </w:rPr>
              <w:t>DFAT</w:t>
            </w:r>
          </w:p>
        </w:tc>
        <w:tc>
          <w:tcPr>
            <w:tcW w:w="8097" w:type="dxa"/>
          </w:tcPr>
          <w:p w14:paraId="05FF9B4A"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Department of Foreign Affairs and Trade (Australia) </w:t>
            </w:r>
          </w:p>
        </w:tc>
      </w:tr>
      <w:tr w:rsidR="00A0189A" w:rsidRPr="00E16197" w14:paraId="425103B9"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0B5EEA26" w14:textId="77777777" w:rsidR="00A0189A" w:rsidRPr="00E16197" w:rsidRDefault="00A0189A" w:rsidP="00E16197">
            <w:pPr>
              <w:pStyle w:val="Listofacronyms"/>
              <w:rPr>
                <w:b w:val="0"/>
                <w:bCs w:val="0"/>
              </w:rPr>
            </w:pPr>
            <w:r w:rsidRPr="00E16197">
              <w:rPr>
                <w:b w:val="0"/>
                <w:bCs w:val="0"/>
              </w:rPr>
              <w:t>ECCE</w:t>
            </w:r>
          </w:p>
        </w:tc>
        <w:tc>
          <w:tcPr>
            <w:tcW w:w="8097" w:type="dxa"/>
          </w:tcPr>
          <w:p w14:paraId="53496914" w14:textId="7543745D"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Early childhood care and education</w:t>
            </w:r>
          </w:p>
        </w:tc>
      </w:tr>
      <w:tr w:rsidR="00A0189A" w:rsidRPr="00E16197" w14:paraId="13E3C957"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3908B9C8" w14:textId="77777777" w:rsidR="00A0189A" w:rsidRPr="00E16197" w:rsidRDefault="00A0189A" w:rsidP="00E16197">
            <w:pPr>
              <w:pStyle w:val="Listofacronyms"/>
              <w:rPr>
                <w:b w:val="0"/>
                <w:bCs w:val="0"/>
              </w:rPr>
            </w:pPr>
            <w:r w:rsidRPr="00E16197">
              <w:rPr>
                <w:b w:val="0"/>
                <w:bCs w:val="0"/>
              </w:rPr>
              <w:t>ECE</w:t>
            </w:r>
          </w:p>
        </w:tc>
        <w:tc>
          <w:tcPr>
            <w:tcW w:w="8097" w:type="dxa"/>
          </w:tcPr>
          <w:p w14:paraId="1ECC04E0" w14:textId="00FEAFAB"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Early childhood education</w:t>
            </w:r>
          </w:p>
        </w:tc>
      </w:tr>
      <w:tr w:rsidR="00A0189A" w:rsidRPr="00E16197" w14:paraId="0B4D1478"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24AFB86B" w14:textId="77777777" w:rsidR="00A0189A" w:rsidRPr="00E16197" w:rsidRDefault="00A0189A" w:rsidP="00E16197">
            <w:pPr>
              <w:pStyle w:val="Listofacronyms"/>
              <w:rPr>
                <w:b w:val="0"/>
                <w:bCs w:val="0"/>
              </w:rPr>
            </w:pPr>
            <w:r w:rsidRPr="00E16197">
              <w:rPr>
                <w:b w:val="0"/>
                <w:bCs w:val="0"/>
              </w:rPr>
              <w:t>GEDSI</w:t>
            </w:r>
          </w:p>
        </w:tc>
        <w:tc>
          <w:tcPr>
            <w:tcW w:w="8097" w:type="dxa"/>
          </w:tcPr>
          <w:p w14:paraId="0442A1FD" w14:textId="5E34479C"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 xml:space="preserve">Gender equality, disability and social inclusion </w:t>
            </w:r>
          </w:p>
        </w:tc>
      </w:tr>
      <w:tr w:rsidR="00A0189A" w:rsidRPr="00E16197" w14:paraId="2A585784"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271703DB" w14:textId="77777777" w:rsidR="00A0189A" w:rsidRPr="00E16197" w:rsidRDefault="00A0189A" w:rsidP="00E16197">
            <w:pPr>
              <w:pStyle w:val="Listofacronyms"/>
              <w:rPr>
                <w:b w:val="0"/>
                <w:bCs w:val="0"/>
              </w:rPr>
            </w:pPr>
            <w:proofErr w:type="spellStart"/>
            <w:r w:rsidRPr="00E16197">
              <w:rPr>
                <w:b w:val="0"/>
                <w:bCs w:val="0"/>
              </w:rPr>
              <w:t>GfG</w:t>
            </w:r>
            <w:proofErr w:type="spellEnd"/>
          </w:p>
        </w:tc>
        <w:tc>
          <w:tcPr>
            <w:tcW w:w="8097" w:type="dxa"/>
          </w:tcPr>
          <w:p w14:paraId="38FBAE3E"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Governance for Growth program </w:t>
            </w:r>
          </w:p>
        </w:tc>
      </w:tr>
      <w:tr w:rsidR="00A0189A" w:rsidRPr="00E16197" w14:paraId="09D2BFB7"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1A223860" w14:textId="77777777" w:rsidR="00A0189A" w:rsidRPr="00E16197" w:rsidRDefault="00A0189A" w:rsidP="00E16197">
            <w:pPr>
              <w:pStyle w:val="Listofacronyms"/>
              <w:rPr>
                <w:b w:val="0"/>
                <w:bCs w:val="0"/>
              </w:rPr>
            </w:pPr>
            <w:proofErr w:type="spellStart"/>
            <w:r w:rsidRPr="00E16197">
              <w:rPr>
                <w:b w:val="0"/>
                <w:bCs w:val="0"/>
              </w:rPr>
              <w:t>GoV</w:t>
            </w:r>
            <w:proofErr w:type="spellEnd"/>
          </w:p>
        </w:tc>
        <w:tc>
          <w:tcPr>
            <w:tcW w:w="8097" w:type="dxa"/>
          </w:tcPr>
          <w:p w14:paraId="2DD9710D"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Government of Vanuatu</w:t>
            </w:r>
          </w:p>
        </w:tc>
      </w:tr>
      <w:tr w:rsidR="00A0189A" w:rsidRPr="00E16197" w14:paraId="611BE575"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75118799" w14:textId="77777777" w:rsidR="00A0189A" w:rsidRPr="00E16197" w:rsidRDefault="00A0189A" w:rsidP="00E16197">
            <w:pPr>
              <w:pStyle w:val="Listofacronyms"/>
              <w:rPr>
                <w:b w:val="0"/>
                <w:bCs w:val="0"/>
              </w:rPr>
            </w:pPr>
            <w:r w:rsidRPr="00E16197">
              <w:rPr>
                <w:b w:val="0"/>
                <w:bCs w:val="0"/>
              </w:rPr>
              <w:t xml:space="preserve">GPE </w:t>
            </w:r>
          </w:p>
        </w:tc>
        <w:tc>
          <w:tcPr>
            <w:tcW w:w="8097" w:type="dxa"/>
          </w:tcPr>
          <w:p w14:paraId="3C8BFAA8"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Global Partnership for Education </w:t>
            </w:r>
          </w:p>
        </w:tc>
      </w:tr>
      <w:tr w:rsidR="00A0189A" w:rsidRPr="00E16197" w14:paraId="5B085205"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063E9EF6" w14:textId="77777777" w:rsidR="00A0189A" w:rsidRPr="00E16197" w:rsidRDefault="00A0189A" w:rsidP="00E16197">
            <w:pPr>
              <w:pStyle w:val="Listofacronyms"/>
              <w:rPr>
                <w:b w:val="0"/>
                <w:bCs w:val="0"/>
              </w:rPr>
            </w:pPr>
            <w:r w:rsidRPr="00E16197">
              <w:rPr>
                <w:b w:val="0"/>
                <w:bCs w:val="0"/>
              </w:rPr>
              <w:t>IES</w:t>
            </w:r>
          </w:p>
        </w:tc>
        <w:tc>
          <w:tcPr>
            <w:tcW w:w="8097" w:type="dxa"/>
          </w:tcPr>
          <w:p w14:paraId="2B64F499"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 xml:space="preserve">Independent Education Specialist </w:t>
            </w:r>
          </w:p>
        </w:tc>
      </w:tr>
      <w:tr w:rsidR="00A0189A" w:rsidRPr="00E16197" w14:paraId="6D397FF8"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693F6BBF" w14:textId="77777777" w:rsidR="00A0189A" w:rsidRPr="00E16197" w:rsidRDefault="00A0189A" w:rsidP="00E16197">
            <w:pPr>
              <w:pStyle w:val="Listofacronyms"/>
              <w:rPr>
                <w:b w:val="0"/>
                <w:bCs w:val="0"/>
              </w:rPr>
            </w:pPr>
            <w:r w:rsidRPr="00E16197">
              <w:rPr>
                <w:b w:val="0"/>
                <w:bCs w:val="0"/>
              </w:rPr>
              <w:t>IMR</w:t>
            </w:r>
          </w:p>
        </w:tc>
        <w:tc>
          <w:tcPr>
            <w:tcW w:w="8097" w:type="dxa"/>
          </w:tcPr>
          <w:p w14:paraId="411567BC"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Investment Monitoring Report (DFAT)</w:t>
            </w:r>
          </w:p>
        </w:tc>
      </w:tr>
      <w:tr w:rsidR="00A0189A" w:rsidRPr="00E16197" w14:paraId="498ED16E"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51EF43C8" w14:textId="77777777" w:rsidR="00A0189A" w:rsidRPr="00E16197" w:rsidRDefault="00A0189A" w:rsidP="00E16197">
            <w:pPr>
              <w:pStyle w:val="Listofacronyms"/>
              <w:rPr>
                <w:b w:val="0"/>
                <w:bCs w:val="0"/>
              </w:rPr>
            </w:pPr>
            <w:r w:rsidRPr="00E16197">
              <w:rPr>
                <w:b w:val="0"/>
                <w:bCs w:val="0"/>
              </w:rPr>
              <w:t>LEG</w:t>
            </w:r>
          </w:p>
        </w:tc>
        <w:tc>
          <w:tcPr>
            <w:tcW w:w="8097" w:type="dxa"/>
          </w:tcPr>
          <w:p w14:paraId="63081EB4"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Local Education Group</w:t>
            </w:r>
          </w:p>
        </w:tc>
      </w:tr>
      <w:tr w:rsidR="00A0189A" w:rsidRPr="00E16197" w14:paraId="5F97233F"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07055456" w14:textId="77777777" w:rsidR="00A0189A" w:rsidRPr="00E16197" w:rsidRDefault="00A0189A" w:rsidP="00E16197">
            <w:pPr>
              <w:pStyle w:val="Listofacronyms"/>
              <w:rPr>
                <w:b w:val="0"/>
                <w:bCs w:val="0"/>
              </w:rPr>
            </w:pPr>
            <w:r w:rsidRPr="00E16197">
              <w:rPr>
                <w:b w:val="0"/>
                <w:bCs w:val="0"/>
              </w:rPr>
              <w:t>M&amp;E</w:t>
            </w:r>
          </w:p>
        </w:tc>
        <w:tc>
          <w:tcPr>
            <w:tcW w:w="8097" w:type="dxa"/>
          </w:tcPr>
          <w:p w14:paraId="728125E1" w14:textId="0D83C99E"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Monitoring and </w:t>
            </w:r>
            <w:r w:rsidR="00F97727">
              <w:t>e</w:t>
            </w:r>
            <w:r w:rsidRPr="00E16197">
              <w:t xml:space="preserve">valuation </w:t>
            </w:r>
          </w:p>
        </w:tc>
      </w:tr>
      <w:tr w:rsidR="00A0189A" w:rsidRPr="00E16197" w14:paraId="4A5EEACA"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44300120" w14:textId="77777777" w:rsidR="00A0189A" w:rsidRPr="00E16197" w:rsidRDefault="00A0189A" w:rsidP="00E16197">
            <w:pPr>
              <w:pStyle w:val="Listofacronyms"/>
              <w:rPr>
                <w:b w:val="0"/>
                <w:bCs w:val="0"/>
              </w:rPr>
            </w:pPr>
            <w:r w:rsidRPr="00E16197">
              <w:rPr>
                <w:b w:val="0"/>
                <w:bCs w:val="0"/>
              </w:rPr>
              <w:t>MC</w:t>
            </w:r>
          </w:p>
        </w:tc>
        <w:tc>
          <w:tcPr>
            <w:tcW w:w="8097" w:type="dxa"/>
          </w:tcPr>
          <w:p w14:paraId="00A80F48" w14:textId="533B4BAF"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Managing contractor</w:t>
            </w:r>
          </w:p>
        </w:tc>
      </w:tr>
      <w:tr w:rsidR="00A0189A" w:rsidRPr="00E16197" w14:paraId="6403DB29"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3662129D" w14:textId="77777777" w:rsidR="00A0189A" w:rsidRPr="00E16197" w:rsidRDefault="00A0189A" w:rsidP="00E16197">
            <w:pPr>
              <w:pStyle w:val="Listofacronyms"/>
              <w:rPr>
                <w:b w:val="0"/>
                <w:bCs w:val="0"/>
              </w:rPr>
            </w:pPr>
            <w:r w:rsidRPr="00E16197">
              <w:rPr>
                <w:b w:val="0"/>
                <w:bCs w:val="0"/>
              </w:rPr>
              <w:t>MEL</w:t>
            </w:r>
          </w:p>
        </w:tc>
        <w:tc>
          <w:tcPr>
            <w:tcW w:w="8097" w:type="dxa"/>
          </w:tcPr>
          <w:p w14:paraId="6B70DE0F" w14:textId="20EB5B0F"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Monitoring, evaluation and learning </w:t>
            </w:r>
          </w:p>
        </w:tc>
      </w:tr>
      <w:tr w:rsidR="00A0189A" w:rsidRPr="00E16197" w14:paraId="12DABD5F"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02FB9B86" w14:textId="77777777" w:rsidR="00A0189A" w:rsidRPr="00E16197" w:rsidRDefault="00A0189A" w:rsidP="00E16197">
            <w:pPr>
              <w:pStyle w:val="Listofacronyms"/>
              <w:rPr>
                <w:b w:val="0"/>
                <w:bCs w:val="0"/>
              </w:rPr>
            </w:pPr>
            <w:r w:rsidRPr="00E16197">
              <w:rPr>
                <w:b w:val="0"/>
                <w:bCs w:val="0"/>
              </w:rPr>
              <w:t>MFAT</w:t>
            </w:r>
          </w:p>
        </w:tc>
        <w:tc>
          <w:tcPr>
            <w:tcW w:w="8097" w:type="dxa"/>
          </w:tcPr>
          <w:p w14:paraId="098A1F2D"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 xml:space="preserve">Ministry of Foreign Affairs and Trade (New Zealand) </w:t>
            </w:r>
          </w:p>
        </w:tc>
      </w:tr>
      <w:tr w:rsidR="00A0189A" w:rsidRPr="00E16197" w14:paraId="2844DE22"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6C9F9C92" w14:textId="77777777" w:rsidR="00A0189A" w:rsidRPr="00E16197" w:rsidRDefault="00A0189A" w:rsidP="00E16197">
            <w:pPr>
              <w:pStyle w:val="Listofacronyms"/>
              <w:rPr>
                <w:b w:val="0"/>
                <w:bCs w:val="0"/>
              </w:rPr>
            </w:pPr>
            <w:proofErr w:type="spellStart"/>
            <w:r w:rsidRPr="00E16197">
              <w:rPr>
                <w:b w:val="0"/>
                <w:bCs w:val="0"/>
              </w:rPr>
              <w:t>MoET</w:t>
            </w:r>
            <w:proofErr w:type="spellEnd"/>
          </w:p>
        </w:tc>
        <w:tc>
          <w:tcPr>
            <w:tcW w:w="8097" w:type="dxa"/>
          </w:tcPr>
          <w:p w14:paraId="42469166"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Ministry of Education and Training (Vanuatu) </w:t>
            </w:r>
          </w:p>
        </w:tc>
      </w:tr>
      <w:tr w:rsidR="00A0189A" w:rsidRPr="00E16197" w14:paraId="6A52B9AC"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750A7D4A" w14:textId="77777777" w:rsidR="00A0189A" w:rsidRPr="00E16197" w:rsidRDefault="00A0189A" w:rsidP="00E16197">
            <w:pPr>
              <w:pStyle w:val="Listofacronyms"/>
              <w:rPr>
                <w:b w:val="0"/>
                <w:bCs w:val="0"/>
              </w:rPr>
            </w:pPr>
            <w:proofErr w:type="spellStart"/>
            <w:r w:rsidRPr="00E16197">
              <w:rPr>
                <w:b w:val="0"/>
                <w:bCs w:val="0"/>
              </w:rPr>
              <w:t>MoJCS</w:t>
            </w:r>
            <w:proofErr w:type="spellEnd"/>
          </w:p>
        </w:tc>
        <w:tc>
          <w:tcPr>
            <w:tcW w:w="8097" w:type="dxa"/>
          </w:tcPr>
          <w:p w14:paraId="2E756FE7"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Ministry of Justice and Community Services (Vanuatu)</w:t>
            </w:r>
          </w:p>
        </w:tc>
      </w:tr>
      <w:tr w:rsidR="00A0189A" w:rsidRPr="00E16197" w14:paraId="5E215329"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02A9E3A4" w14:textId="77777777" w:rsidR="00A0189A" w:rsidRPr="00E16197" w:rsidRDefault="00A0189A" w:rsidP="00E16197">
            <w:pPr>
              <w:pStyle w:val="Listofacronyms"/>
              <w:rPr>
                <w:b w:val="0"/>
                <w:bCs w:val="0"/>
              </w:rPr>
            </w:pPr>
            <w:r w:rsidRPr="00E16197">
              <w:rPr>
                <w:b w:val="0"/>
                <w:bCs w:val="0"/>
              </w:rPr>
              <w:t>MTR</w:t>
            </w:r>
          </w:p>
        </w:tc>
        <w:tc>
          <w:tcPr>
            <w:tcW w:w="8097" w:type="dxa"/>
          </w:tcPr>
          <w:p w14:paraId="4A8EAA1F"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Mid-term Review </w:t>
            </w:r>
          </w:p>
        </w:tc>
      </w:tr>
      <w:tr w:rsidR="00A0189A" w:rsidRPr="00E16197" w14:paraId="61664E68"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3F802BF4" w14:textId="77777777" w:rsidR="00A0189A" w:rsidRPr="00E16197" w:rsidRDefault="00A0189A" w:rsidP="00E16197">
            <w:pPr>
              <w:pStyle w:val="Listofacronyms"/>
              <w:rPr>
                <w:b w:val="0"/>
                <w:bCs w:val="0"/>
              </w:rPr>
            </w:pPr>
            <w:r w:rsidRPr="00E16197">
              <w:rPr>
                <w:b w:val="0"/>
                <w:bCs w:val="0"/>
              </w:rPr>
              <w:t>NER</w:t>
            </w:r>
          </w:p>
        </w:tc>
        <w:tc>
          <w:tcPr>
            <w:tcW w:w="8097" w:type="dxa"/>
          </w:tcPr>
          <w:p w14:paraId="3323043C" w14:textId="6B9E79D4"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Net enrolment ratio</w:t>
            </w:r>
          </w:p>
        </w:tc>
      </w:tr>
      <w:tr w:rsidR="00A0189A" w:rsidRPr="00E16197" w14:paraId="1DA4A54A"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2CDAD91A" w14:textId="77777777" w:rsidR="00A0189A" w:rsidRPr="00E16197" w:rsidRDefault="00A0189A" w:rsidP="00E16197">
            <w:pPr>
              <w:pStyle w:val="Listofacronyms"/>
              <w:rPr>
                <w:b w:val="0"/>
                <w:bCs w:val="0"/>
              </w:rPr>
            </w:pPr>
            <w:r w:rsidRPr="00E16197">
              <w:rPr>
                <w:b w:val="0"/>
                <w:bCs w:val="0"/>
              </w:rPr>
              <w:t>NSDP</w:t>
            </w:r>
          </w:p>
        </w:tc>
        <w:tc>
          <w:tcPr>
            <w:tcW w:w="8097" w:type="dxa"/>
          </w:tcPr>
          <w:p w14:paraId="62C794CF"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National Sustainable Development Plan 2030 (Vanuatu)</w:t>
            </w:r>
          </w:p>
        </w:tc>
      </w:tr>
      <w:tr w:rsidR="00A0189A" w:rsidRPr="00E16197" w14:paraId="45F3A0E1"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5065C46D" w14:textId="77777777" w:rsidR="00A0189A" w:rsidRPr="00E16197" w:rsidRDefault="00A0189A" w:rsidP="00E16197">
            <w:pPr>
              <w:pStyle w:val="Listofacronyms"/>
              <w:rPr>
                <w:b w:val="0"/>
                <w:bCs w:val="0"/>
              </w:rPr>
            </w:pPr>
            <w:r w:rsidRPr="00E16197">
              <w:rPr>
                <w:b w:val="0"/>
                <w:bCs w:val="0"/>
              </w:rPr>
              <w:t>NUV</w:t>
            </w:r>
          </w:p>
        </w:tc>
        <w:tc>
          <w:tcPr>
            <w:tcW w:w="8097" w:type="dxa"/>
          </w:tcPr>
          <w:p w14:paraId="6B2D5A71"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 xml:space="preserve">National University of Vanuatu </w:t>
            </w:r>
          </w:p>
        </w:tc>
      </w:tr>
      <w:tr w:rsidR="00A0189A" w:rsidRPr="00E16197" w14:paraId="4A8C6CA3"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2E6FAD15" w14:textId="77777777" w:rsidR="00A0189A" w:rsidRPr="00E16197" w:rsidRDefault="00A0189A" w:rsidP="00E16197">
            <w:pPr>
              <w:pStyle w:val="Listofacronyms"/>
              <w:rPr>
                <w:b w:val="0"/>
                <w:bCs w:val="0"/>
              </w:rPr>
            </w:pPr>
            <w:r w:rsidRPr="00E16197">
              <w:rPr>
                <w:b w:val="0"/>
                <w:bCs w:val="0"/>
              </w:rPr>
              <w:t>OV</w:t>
            </w:r>
          </w:p>
        </w:tc>
        <w:tc>
          <w:tcPr>
            <w:tcW w:w="8097" w:type="dxa"/>
          </w:tcPr>
          <w:p w14:paraId="0D4FD433"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Open VEMIS</w:t>
            </w:r>
          </w:p>
        </w:tc>
      </w:tr>
      <w:tr w:rsidR="00A0189A" w:rsidRPr="00E16197" w14:paraId="2FCC5CA3"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08308754" w14:textId="77777777" w:rsidR="00A0189A" w:rsidRPr="00E16197" w:rsidRDefault="00A0189A" w:rsidP="00E16197">
            <w:pPr>
              <w:pStyle w:val="Listofacronyms"/>
              <w:rPr>
                <w:b w:val="0"/>
                <w:bCs w:val="0"/>
              </w:rPr>
            </w:pPr>
            <w:r w:rsidRPr="00E16197">
              <w:rPr>
                <w:b w:val="0"/>
                <w:bCs w:val="0"/>
              </w:rPr>
              <w:t>PAF</w:t>
            </w:r>
          </w:p>
        </w:tc>
        <w:tc>
          <w:tcPr>
            <w:tcW w:w="8097" w:type="dxa"/>
          </w:tcPr>
          <w:p w14:paraId="48C45A63"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 xml:space="preserve">Performance Assessment Framework </w:t>
            </w:r>
          </w:p>
        </w:tc>
      </w:tr>
      <w:tr w:rsidR="00A0189A" w:rsidRPr="00E16197" w14:paraId="52CC76A2"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4E0A966E" w14:textId="77777777" w:rsidR="00A0189A" w:rsidRPr="00E16197" w:rsidRDefault="00A0189A" w:rsidP="00E16197">
            <w:pPr>
              <w:pStyle w:val="Listofacronyms"/>
              <w:rPr>
                <w:b w:val="0"/>
                <w:bCs w:val="0"/>
              </w:rPr>
            </w:pPr>
            <w:r w:rsidRPr="00E16197">
              <w:rPr>
                <w:b w:val="0"/>
                <w:bCs w:val="0"/>
              </w:rPr>
              <w:t>PEO</w:t>
            </w:r>
          </w:p>
        </w:tc>
        <w:tc>
          <w:tcPr>
            <w:tcW w:w="8097" w:type="dxa"/>
          </w:tcPr>
          <w:p w14:paraId="0739E32A"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Provincial Education Officer </w:t>
            </w:r>
          </w:p>
        </w:tc>
      </w:tr>
      <w:tr w:rsidR="00A0189A" w:rsidRPr="00E16197" w14:paraId="31AE2AB5"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08EFFD6C" w14:textId="77777777" w:rsidR="00A0189A" w:rsidRPr="00E16197" w:rsidRDefault="00A0189A" w:rsidP="00E16197">
            <w:pPr>
              <w:pStyle w:val="Listofacronyms"/>
              <w:rPr>
                <w:b w:val="0"/>
                <w:bCs w:val="0"/>
              </w:rPr>
            </w:pPr>
            <w:r w:rsidRPr="00E16197">
              <w:rPr>
                <w:b w:val="0"/>
                <w:bCs w:val="0"/>
              </w:rPr>
              <w:t>PFM</w:t>
            </w:r>
          </w:p>
        </w:tc>
        <w:tc>
          <w:tcPr>
            <w:tcW w:w="8097" w:type="dxa"/>
          </w:tcPr>
          <w:p w14:paraId="79D9C02B" w14:textId="6A28AB9E"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 xml:space="preserve">Public financial management </w:t>
            </w:r>
          </w:p>
        </w:tc>
      </w:tr>
      <w:tr w:rsidR="00A0189A" w:rsidRPr="00E16197" w14:paraId="21184976"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01A9299D" w14:textId="77777777" w:rsidR="00A0189A" w:rsidRPr="00E16197" w:rsidRDefault="00A0189A" w:rsidP="00E16197">
            <w:pPr>
              <w:pStyle w:val="Listofacronyms"/>
              <w:rPr>
                <w:b w:val="0"/>
                <w:bCs w:val="0"/>
              </w:rPr>
            </w:pPr>
            <w:r w:rsidRPr="00E16197">
              <w:rPr>
                <w:b w:val="0"/>
                <w:bCs w:val="0"/>
              </w:rPr>
              <w:t>PILNA</w:t>
            </w:r>
          </w:p>
        </w:tc>
        <w:tc>
          <w:tcPr>
            <w:tcW w:w="8097" w:type="dxa"/>
          </w:tcPr>
          <w:p w14:paraId="51AE26EE"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Pacific Islands Literacy and Numeracy Assessment</w:t>
            </w:r>
          </w:p>
        </w:tc>
      </w:tr>
      <w:tr w:rsidR="00A0189A" w:rsidRPr="00E16197" w14:paraId="50525073"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3BC7005F" w14:textId="77777777" w:rsidR="00A0189A" w:rsidRPr="00E16197" w:rsidRDefault="00A0189A" w:rsidP="00E16197">
            <w:pPr>
              <w:pStyle w:val="Listofacronyms"/>
              <w:rPr>
                <w:b w:val="0"/>
                <w:bCs w:val="0"/>
              </w:rPr>
            </w:pPr>
            <w:r w:rsidRPr="00E16197">
              <w:rPr>
                <w:b w:val="0"/>
                <w:bCs w:val="0"/>
              </w:rPr>
              <w:t>PMO</w:t>
            </w:r>
          </w:p>
        </w:tc>
        <w:tc>
          <w:tcPr>
            <w:tcW w:w="8097" w:type="dxa"/>
          </w:tcPr>
          <w:p w14:paraId="5C660172"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Prime Minister’s Office (Vanuatu)</w:t>
            </w:r>
          </w:p>
        </w:tc>
      </w:tr>
      <w:tr w:rsidR="00A0189A" w:rsidRPr="00E16197" w14:paraId="51A00C3A"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00E5240C" w14:textId="77777777" w:rsidR="00A0189A" w:rsidRPr="00E16197" w:rsidRDefault="00A0189A" w:rsidP="00E16197">
            <w:pPr>
              <w:pStyle w:val="Listofacronyms"/>
              <w:rPr>
                <w:b w:val="0"/>
                <w:bCs w:val="0"/>
              </w:rPr>
            </w:pPr>
            <w:r w:rsidRPr="00E16197">
              <w:rPr>
                <w:b w:val="0"/>
                <w:bCs w:val="0"/>
              </w:rPr>
              <w:t>PSC</w:t>
            </w:r>
          </w:p>
        </w:tc>
        <w:tc>
          <w:tcPr>
            <w:tcW w:w="8097" w:type="dxa"/>
          </w:tcPr>
          <w:p w14:paraId="71A492C9"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Public Service Commission</w:t>
            </w:r>
          </w:p>
        </w:tc>
      </w:tr>
      <w:tr w:rsidR="00A0189A" w:rsidRPr="00E16197" w14:paraId="0E7C0669"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0401DEF9" w14:textId="77777777" w:rsidR="00A0189A" w:rsidRPr="00E16197" w:rsidRDefault="00A0189A" w:rsidP="00E16197">
            <w:pPr>
              <w:pStyle w:val="Listofacronyms"/>
              <w:rPr>
                <w:b w:val="0"/>
                <w:bCs w:val="0"/>
              </w:rPr>
            </w:pPr>
            <w:r w:rsidRPr="00E16197">
              <w:rPr>
                <w:b w:val="0"/>
                <w:bCs w:val="0"/>
              </w:rPr>
              <w:t>PSP</w:t>
            </w:r>
          </w:p>
        </w:tc>
        <w:tc>
          <w:tcPr>
            <w:tcW w:w="8097" w:type="dxa"/>
          </w:tcPr>
          <w:p w14:paraId="56D39806" w14:textId="138D22B3"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t xml:space="preserve">Parent Support Program </w:t>
            </w:r>
          </w:p>
        </w:tc>
      </w:tr>
      <w:tr w:rsidR="00A0189A" w:rsidRPr="00E16197" w14:paraId="19B822A2"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470E90A8" w14:textId="77777777" w:rsidR="00A0189A" w:rsidRPr="00E16197" w:rsidRDefault="00A0189A" w:rsidP="00E16197">
            <w:pPr>
              <w:pStyle w:val="Listofacronyms"/>
              <w:rPr>
                <w:b w:val="0"/>
                <w:bCs w:val="0"/>
              </w:rPr>
            </w:pPr>
            <w:r w:rsidRPr="00E16197">
              <w:rPr>
                <w:b w:val="0"/>
                <w:bCs w:val="0"/>
              </w:rPr>
              <w:t>PTAG</w:t>
            </w:r>
          </w:p>
        </w:tc>
        <w:tc>
          <w:tcPr>
            <w:tcW w:w="8097" w:type="dxa"/>
          </w:tcPr>
          <w:p w14:paraId="14D064CF"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Provincial Technical Advisory Group</w:t>
            </w:r>
          </w:p>
        </w:tc>
      </w:tr>
      <w:tr w:rsidR="00A0189A" w:rsidRPr="00E16197" w14:paraId="759B6E63"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481554A0" w14:textId="77777777" w:rsidR="00A0189A" w:rsidRPr="00E16197" w:rsidRDefault="00A0189A" w:rsidP="00E16197">
            <w:pPr>
              <w:pStyle w:val="Listofacronyms"/>
              <w:rPr>
                <w:b w:val="0"/>
                <w:bCs w:val="0"/>
              </w:rPr>
            </w:pPr>
            <w:r w:rsidRPr="00E16197">
              <w:rPr>
                <w:b w:val="0"/>
                <w:bCs w:val="0"/>
              </w:rPr>
              <w:t>PTB</w:t>
            </w:r>
          </w:p>
        </w:tc>
        <w:tc>
          <w:tcPr>
            <w:tcW w:w="8097" w:type="dxa"/>
          </w:tcPr>
          <w:p w14:paraId="755C6BAB"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Provincial Training Board</w:t>
            </w:r>
          </w:p>
        </w:tc>
      </w:tr>
      <w:tr w:rsidR="00A0189A" w:rsidRPr="00E16197" w14:paraId="78030C27"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66E6C220" w14:textId="77777777" w:rsidR="00A0189A" w:rsidRPr="00E16197" w:rsidRDefault="00A0189A" w:rsidP="00E16197">
            <w:pPr>
              <w:pStyle w:val="Listofacronyms"/>
              <w:rPr>
                <w:b w:val="0"/>
                <w:bCs w:val="0"/>
              </w:rPr>
            </w:pPr>
            <w:r w:rsidRPr="00E16197">
              <w:rPr>
                <w:b w:val="0"/>
                <w:bCs w:val="0"/>
              </w:rPr>
              <w:t>SMT</w:t>
            </w:r>
          </w:p>
        </w:tc>
        <w:tc>
          <w:tcPr>
            <w:tcW w:w="8097" w:type="dxa"/>
          </w:tcPr>
          <w:p w14:paraId="3DB230B3"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Senior Management Team (VSP)</w:t>
            </w:r>
          </w:p>
        </w:tc>
      </w:tr>
      <w:tr w:rsidR="00A0189A" w:rsidRPr="00E16197" w14:paraId="704D3E96"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27F63F29" w14:textId="77777777" w:rsidR="00A0189A" w:rsidRPr="00E16197" w:rsidRDefault="00A0189A" w:rsidP="00E16197">
            <w:pPr>
              <w:pStyle w:val="Listofacronyms"/>
              <w:rPr>
                <w:b w:val="0"/>
                <w:bCs w:val="0"/>
              </w:rPr>
            </w:pPr>
            <w:r w:rsidRPr="00E16197">
              <w:rPr>
                <w:b w:val="0"/>
                <w:bCs w:val="0"/>
              </w:rPr>
              <w:t>TVET</w:t>
            </w:r>
          </w:p>
        </w:tc>
        <w:tc>
          <w:tcPr>
            <w:tcW w:w="8097" w:type="dxa"/>
          </w:tcPr>
          <w:p w14:paraId="2CE1DFA3" w14:textId="3552BF15"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Technical and vocational education and training</w:t>
            </w:r>
          </w:p>
        </w:tc>
      </w:tr>
      <w:tr w:rsidR="00A0189A" w:rsidRPr="00E16197" w14:paraId="227B8EB9"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5E67008B" w14:textId="77777777" w:rsidR="00A0189A" w:rsidRPr="00E16197" w:rsidRDefault="00A0189A" w:rsidP="00E16197">
            <w:pPr>
              <w:pStyle w:val="Listofacronyms"/>
              <w:rPr>
                <w:b w:val="0"/>
                <w:bCs w:val="0"/>
              </w:rPr>
            </w:pPr>
            <w:r w:rsidRPr="00E16197">
              <w:rPr>
                <w:b w:val="0"/>
                <w:bCs w:val="0"/>
              </w:rPr>
              <w:t>VAESP</w:t>
            </w:r>
          </w:p>
        </w:tc>
        <w:tc>
          <w:tcPr>
            <w:tcW w:w="8097" w:type="dxa"/>
          </w:tcPr>
          <w:p w14:paraId="308CBEAC"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Vanuatu Australia Education Support Program </w:t>
            </w:r>
          </w:p>
        </w:tc>
      </w:tr>
      <w:tr w:rsidR="00A0189A" w:rsidRPr="00E16197" w14:paraId="080AA381"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791F188F" w14:textId="77777777" w:rsidR="00A0189A" w:rsidRPr="00E16197" w:rsidRDefault="00A0189A" w:rsidP="00E16197">
            <w:pPr>
              <w:pStyle w:val="Listofacronyms"/>
              <w:rPr>
                <w:b w:val="0"/>
                <w:bCs w:val="0"/>
              </w:rPr>
            </w:pPr>
            <w:r w:rsidRPr="00E16197">
              <w:rPr>
                <w:b w:val="0"/>
                <w:bCs w:val="0"/>
              </w:rPr>
              <w:t>VANSTA</w:t>
            </w:r>
          </w:p>
        </w:tc>
        <w:tc>
          <w:tcPr>
            <w:tcW w:w="8097" w:type="dxa"/>
          </w:tcPr>
          <w:p w14:paraId="38FE1F7C"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Vanuatu Standardised Test of Achievement</w:t>
            </w:r>
          </w:p>
        </w:tc>
      </w:tr>
      <w:tr w:rsidR="00470EC3" w14:paraId="17891785" w14:textId="77777777" w:rsidTr="00106A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3" w:type="dxa"/>
          </w:tcPr>
          <w:p w14:paraId="079C9DC8" w14:textId="62CEB2FE" w:rsidR="5814317F" w:rsidRDefault="5814317F" w:rsidP="00B3280A">
            <w:pPr>
              <w:pStyle w:val="Listofacronyms"/>
              <w:rPr>
                <w:b w:val="0"/>
                <w:bCs w:val="0"/>
              </w:rPr>
            </w:pPr>
            <w:r>
              <w:rPr>
                <w:b w:val="0"/>
                <w:bCs w:val="0"/>
              </w:rPr>
              <w:t>VDPA</w:t>
            </w:r>
          </w:p>
        </w:tc>
        <w:tc>
          <w:tcPr>
            <w:tcW w:w="8097" w:type="dxa"/>
          </w:tcPr>
          <w:p w14:paraId="16EBB519" w14:textId="770CCCBC" w:rsidR="5814317F" w:rsidRDefault="5814317F" w:rsidP="00B3280A">
            <w:pPr>
              <w:pStyle w:val="Listofacronyms"/>
              <w:cnfStyle w:val="000000100000" w:firstRow="0" w:lastRow="0" w:firstColumn="0" w:lastColumn="0" w:oddVBand="0" w:evenVBand="0" w:oddHBand="1" w:evenHBand="0" w:firstRowFirstColumn="0" w:firstRowLastColumn="0" w:lastRowFirstColumn="0" w:lastRowLastColumn="0"/>
            </w:pPr>
            <w:r>
              <w:t>Vanuatu Disability Advocacy and Awareness Association</w:t>
            </w:r>
          </w:p>
        </w:tc>
      </w:tr>
      <w:tr w:rsidR="00A0189A" w:rsidRPr="00E16197" w14:paraId="2238E61B"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1B2F3BF8" w14:textId="77777777" w:rsidR="00A0189A" w:rsidRPr="00E16197" w:rsidRDefault="00A0189A" w:rsidP="00E16197">
            <w:pPr>
              <w:pStyle w:val="Listofacronyms"/>
              <w:rPr>
                <w:b w:val="0"/>
                <w:bCs w:val="0"/>
              </w:rPr>
            </w:pPr>
            <w:r w:rsidRPr="00E16197">
              <w:rPr>
                <w:b w:val="0"/>
                <w:bCs w:val="0"/>
              </w:rPr>
              <w:t>VEMIS</w:t>
            </w:r>
          </w:p>
        </w:tc>
        <w:tc>
          <w:tcPr>
            <w:tcW w:w="8097" w:type="dxa"/>
          </w:tcPr>
          <w:p w14:paraId="7E1C6418"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 xml:space="preserve">Vanuatu Education Management Information System </w:t>
            </w:r>
          </w:p>
        </w:tc>
      </w:tr>
      <w:tr w:rsidR="00A0189A" w:rsidRPr="00E16197" w14:paraId="24C5B9E9"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7BE0572C" w14:textId="77777777" w:rsidR="00A0189A" w:rsidRPr="00E16197" w:rsidRDefault="00A0189A" w:rsidP="00E16197">
            <w:pPr>
              <w:pStyle w:val="Listofacronyms"/>
              <w:rPr>
                <w:b w:val="0"/>
                <w:bCs w:val="0"/>
              </w:rPr>
            </w:pPr>
            <w:r w:rsidRPr="00E16197">
              <w:rPr>
                <w:b w:val="0"/>
                <w:bCs w:val="0"/>
              </w:rPr>
              <w:t>VIPAM</w:t>
            </w:r>
          </w:p>
        </w:tc>
        <w:tc>
          <w:tcPr>
            <w:tcW w:w="8097" w:type="dxa"/>
          </w:tcPr>
          <w:p w14:paraId="687D2A1E" w14:textId="6F50626A" w:rsidR="00A0189A" w:rsidRPr="00E16197" w:rsidRDefault="3C638BD2"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Vanuatu Institute of Public Administration </w:t>
            </w:r>
            <w:r w:rsidR="421FD66F" w:rsidRPr="00E16197">
              <w:t>and Management</w:t>
            </w:r>
          </w:p>
        </w:tc>
      </w:tr>
      <w:tr w:rsidR="00A0189A" w:rsidRPr="00E16197" w14:paraId="30B63DA5"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5079E088" w14:textId="77777777" w:rsidR="00A0189A" w:rsidRPr="00E16197" w:rsidRDefault="00A0189A" w:rsidP="00E16197">
            <w:pPr>
              <w:pStyle w:val="Listofacronyms"/>
              <w:rPr>
                <w:b w:val="0"/>
                <w:bCs w:val="0"/>
              </w:rPr>
            </w:pPr>
            <w:r w:rsidRPr="00E16197">
              <w:rPr>
                <w:b w:val="0"/>
                <w:bCs w:val="0"/>
              </w:rPr>
              <w:t>VITE</w:t>
            </w:r>
          </w:p>
        </w:tc>
        <w:tc>
          <w:tcPr>
            <w:tcW w:w="8097" w:type="dxa"/>
          </w:tcPr>
          <w:p w14:paraId="6EA7A6C8"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Vanuatu Institute of Teacher Education</w:t>
            </w:r>
          </w:p>
        </w:tc>
      </w:tr>
      <w:tr w:rsidR="00A0189A" w:rsidRPr="00E16197" w14:paraId="52C1F4F5"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5A67A780" w14:textId="77777777" w:rsidR="00A0189A" w:rsidRPr="00E16197" w:rsidRDefault="00A0189A" w:rsidP="00E16197">
            <w:pPr>
              <w:pStyle w:val="Listofacronyms"/>
              <w:rPr>
                <w:b w:val="0"/>
                <w:bCs w:val="0"/>
              </w:rPr>
            </w:pPr>
            <w:r w:rsidRPr="00E16197">
              <w:rPr>
                <w:b w:val="0"/>
                <w:bCs w:val="0"/>
              </w:rPr>
              <w:t>VQA</w:t>
            </w:r>
          </w:p>
        </w:tc>
        <w:tc>
          <w:tcPr>
            <w:tcW w:w="8097" w:type="dxa"/>
          </w:tcPr>
          <w:p w14:paraId="5591BB0E"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Vanuatu Qualifications Authority </w:t>
            </w:r>
          </w:p>
        </w:tc>
      </w:tr>
      <w:tr w:rsidR="00A0189A" w:rsidRPr="00E16197" w14:paraId="048660D0" w14:textId="77777777" w:rsidTr="00106A33">
        <w:tc>
          <w:tcPr>
            <w:cnfStyle w:val="001000000000" w:firstRow="0" w:lastRow="0" w:firstColumn="1" w:lastColumn="0" w:oddVBand="0" w:evenVBand="0" w:oddHBand="0" w:evenHBand="0" w:firstRowFirstColumn="0" w:firstRowLastColumn="0" w:lastRowFirstColumn="0" w:lastRowLastColumn="0"/>
            <w:tcW w:w="1253" w:type="dxa"/>
          </w:tcPr>
          <w:p w14:paraId="75DF31EB" w14:textId="77777777" w:rsidR="00A0189A" w:rsidRPr="00E16197" w:rsidRDefault="00A0189A" w:rsidP="00E16197">
            <w:pPr>
              <w:pStyle w:val="Listofacronyms"/>
              <w:rPr>
                <w:b w:val="0"/>
                <w:bCs w:val="0"/>
              </w:rPr>
            </w:pPr>
            <w:r w:rsidRPr="00E16197">
              <w:rPr>
                <w:b w:val="0"/>
                <w:bCs w:val="0"/>
              </w:rPr>
              <w:t>VSP</w:t>
            </w:r>
          </w:p>
        </w:tc>
        <w:tc>
          <w:tcPr>
            <w:tcW w:w="8097" w:type="dxa"/>
          </w:tcPr>
          <w:p w14:paraId="0E8AF930" w14:textId="77777777" w:rsidR="00A0189A" w:rsidRPr="00E16197" w:rsidRDefault="00A0189A" w:rsidP="00E16197">
            <w:pPr>
              <w:pStyle w:val="Listofacronyms"/>
              <w:cnfStyle w:val="000000000000" w:firstRow="0" w:lastRow="0" w:firstColumn="0" w:lastColumn="0" w:oddVBand="0" w:evenVBand="0" w:oddHBand="0" w:evenHBand="0" w:firstRowFirstColumn="0" w:firstRowLastColumn="0" w:lastRowFirstColumn="0" w:lastRowLastColumn="0"/>
            </w:pPr>
            <w:r w:rsidRPr="00E16197">
              <w:t>Vanuatu Skills Partnership</w:t>
            </w:r>
          </w:p>
        </w:tc>
      </w:tr>
      <w:tr w:rsidR="00A0189A" w:rsidRPr="00E16197" w14:paraId="26569FD4" w14:textId="77777777" w:rsidTr="00106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dxa"/>
          </w:tcPr>
          <w:p w14:paraId="323CABC8" w14:textId="77777777" w:rsidR="00A0189A" w:rsidRPr="00E16197" w:rsidRDefault="00A0189A" w:rsidP="00E16197">
            <w:pPr>
              <w:pStyle w:val="Listofacronyms"/>
              <w:rPr>
                <w:b w:val="0"/>
                <w:bCs w:val="0"/>
              </w:rPr>
            </w:pPr>
            <w:r w:rsidRPr="00E16197">
              <w:rPr>
                <w:b w:val="0"/>
                <w:bCs w:val="0"/>
              </w:rPr>
              <w:t>VSPD</w:t>
            </w:r>
          </w:p>
        </w:tc>
        <w:tc>
          <w:tcPr>
            <w:tcW w:w="8097" w:type="dxa"/>
          </w:tcPr>
          <w:p w14:paraId="5C96F58A" w14:textId="77777777" w:rsidR="00A0189A" w:rsidRPr="00E16197" w:rsidRDefault="00A0189A" w:rsidP="00E16197">
            <w:pPr>
              <w:pStyle w:val="Listofacronyms"/>
              <w:cnfStyle w:val="000000100000" w:firstRow="0" w:lastRow="0" w:firstColumn="0" w:lastColumn="0" w:oddVBand="0" w:evenVBand="0" w:oddHBand="1" w:evenHBand="0" w:firstRowFirstColumn="0" w:firstRowLastColumn="0" w:lastRowFirstColumn="0" w:lastRowLastColumn="0"/>
            </w:pPr>
            <w:r w:rsidRPr="00E16197">
              <w:t xml:space="preserve">Vanuatu Society for People with Disability </w:t>
            </w:r>
          </w:p>
        </w:tc>
      </w:tr>
    </w:tbl>
    <w:p w14:paraId="65632E20" w14:textId="77777777" w:rsidR="007751E4" w:rsidRDefault="007751E4"/>
    <w:p w14:paraId="10FF3F1B" w14:textId="77777777" w:rsidR="00071EBE" w:rsidRDefault="00071EBE" w:rsidP="00CC10CC">
      <w:pPr>
        <w:pStyle w:val="Heading1"/>
        <w:numPr>
          <w:ilvl w:val="0"/>
          <w:numId w:val="0"/>
        </w:numPr>
        <w:ind w:left="432"/>
        <w:sectPr w:rsidR="00071EBE" w:rsidSect="00071EBE">
          <w:pgSz w:w="12240" w:h="15840" w:code="1"/>
          <w:pgMar w:top="1440" w:right="1440" w:bottom="1440" w:left="1440" w:header="720" w:footer="720" w:gutter="0"/>
          <w:pgNumType w:start="1"/>
          <w:cols w:space="720"/>
          <w:titlePg/>
          <w:docGrid w:linePitch="360"/>
        </w:sectPr>
      </w:pPr>
    </w:p>
    <w:bookmarkStart w:id="16" w:name="_Toc190268255"/>
    <w:p w14:paraId="1DCF2C34" w14:textId="6332988B" w:rsidR="00B7796B" w:rsidRDefault="0095602B" w:rsidP="00F15637">
      <w:pPr>
        <w:pStyle w:val="Heading1"/>
      </w:pPr>
      <w:r w:rsidRPr="0065380F">
        <w:rPr>
          <w:noProof/>
        </w:rPr>
        <mc:AlternateContent>
          <mc:Choice Requires="wps">
            <w:drawing>
              <wp:anchor distT="0" distB="0" distL="114300" distR="114300" simplePos="0" relativeHeight="251666432" behindDoc="0" locked="0" layoutInCell="1" allowOverlap="1" wp14:anchorId="653B974F" wp14:editId="4CDE084B">
                <wp:simplePos x="0" y="0"/>
                <wp:positionH relativeFrom="column">
                  <wp:posOffset>-933855</wp:posOffset>
                </wp:positionH>
                <wp:positionV relativeFrom="paragraph">
                  <wp:posOffset>214522</wp:posOffset>
                </wp:positionV>
                <wp:extent cx="541421" cy="475248"/>
                <wp:effectExtent l="0" t="0" r="5080" b="0"/>
                <wp:wrapNone/>
                <wp:docPr id="1332893179" name="Rectangle 1332893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w:pict w14:anchorId="29F31D2B">
              <v:rect id="Rectangle 1332893179" style="position:absolute;margin-left:-73.55pt;margin-top:16.9pt;width:42.65pt;height:37.4pt;z-index:25166643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fb200" stroked="f" strokeweight="2pt" w14:anchorId="03F0F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"/>
            </w:pict>
          </mc:Fallback>
        </mc:AlternateContent>
      </w:r>
      <w:r w:rsidR="00B7796B">
        <w:t>Introduction</w:t>
      </w:r>
      <w:bookmarkEnd w:id="16"/>
      <w:r w:rsidR="00B7796B">
        <w:t xml:space="preserve"> </w:t>
      </w:r>
    </w:p>
    <w:p w14:paraId="4AD4C5C0" w14:textId="77B12DAF" w:rsidR="39A3670B" w:rsidRDefault="39A3670B" w:rsidP="00010DEA">
      <w:r w:rsidRPr="3B0D9F72">
        <w:rPr>
          <w:rFonts w:eastAsia="Calibri" w:cs="Calibri"/>
        </w:rPr>
        <w:t xml:space="preserve">The </w:t>
      </w:r>
      <w:r w:rsidRPr="3B0D9F72">
        <w:rPr>
          <w:rFonts w:eastAsia="Calibri" w:cs="Calibri"/>
          <w:i/>
          <w:iCs/>
        </w:rPr>
        <w:t>National Sustainable Development Plan 2030</w:t>
      </w:r>
      <w:r w:rsidR="008C0705">
        <w:rPr>
          <w:rStyle w:val="FootnoteReference"/>
          <w:rFonts w:eastAsia="Calibri" w:cs="Calibri"/>
          <w:i/>
          <w:iCs/>
        </w:rPr>
        <w:footnoteReference w:id="6"/>
      </w:r>
      <w:r w:rsidR="008C0705" w:rsidRPr="3B0D9F72">
        <w:rPr>
          <w:rFonts w:eastAsia="Calibri" w:cs="Calibri"/>
        </w:rPr>
        <w:t xml:space="preserve"> </w:t>
      </w:r>
      <w:r w:rsidRPr="3B0D9F72">
        <w:rPr>
          <w:rFonts w:eastAsia="Calibri" w:cs="Calibri"/>
        </w:rPr>
        <w:t xml:space="preserve">(NSDP) articulates Vanuatu’s long-term aspirations and intentions for national development across all sectors. It commits the nation to developing “an inclusive, equitable and quality education system with life-long learning for all”. The </w:t>
      </w:r>
      <w:r w:rsidRPr="00A44943">
        <w:rPr>
          <w:rFonts w:eastAsia="Calibri" w:cs="Calibri"/>
          <w:i/>
          <w:iCs/>
        </w:rPr>
        <w:t>Vanuatu Education and Training Sector Strategy</w:t>
      </w:r>
      <w:r w:rsidRPr="3B0D9F72">
        <w:rPr>
          <w:rFonts w:eastAsia="Calibri" w:cs="Calibri"/>
        </w:rPr>
        <w:t xml:space="preserve">, and the </w:t>
      </w:r>
      <w:r w:rsidRPr="00A44943">
        <w:rPr>
          <w:rFonts w:eastAsia="Calibri" w:cs="Calibri"/>
          <w:i/>
          <w:iCs/>
        </w:rPr>
        <w:t>National Skills Development Policy 2023-2030</w:t>
      </w:r>
      <w:r w:rsidRPr="3B0D9F72">
        <w:rPr>
          <w:rFonts w:eastAsia="Calibri" w:cs="Calibri"/>
        </w:rPr>
        <w:t xml:space="preserve"> provide more specific national direction for the sector. </w:t>
      </w:r>
    </w:p>
    <w:p w14:paraId="661EF073" w14:textId="5989EE8A" w:rsidR="00E34931" w:rsidRDefault="5679E6B4" w:rsidP="3B0D9F72">
      <w:pPr>
        <w:rPr>
          <w:rFonts w:eastAsia="Calibri" w:cs="Calibri"/>
        </w:rPr>
      </w:pPr>
      <w:r w:rsidRPr="3B0D9F72">
        <w:rPr>
          <w:rFonts w:eastAsia="Calibri" w:cs="Calibri"/>
        </w:rPr>
        <w:t>However,</w:t>
      </w:r>
      <w:r w:rsidR="720FF1DE" w:rsidRPr="3B0D9F72">
        <w:rPr>
          <w:rFonts w:eastAsia="Calibri" w:cs="Calibri"/>
        </w:rPr>
        <w:t xml:space="preserve"> the education and training sector has faced multiple challenges over recent years, not least with the COVID-19 pandemic and associated restrictions, several damaging tropical cyclones and other</w:t>
      </w:r>
      <w:r w:rsidR="00F8DAAD" w:rsidRPr="6FCA30B7">
        <w:rPr>
          <w:rFonts w:eastAsia="Calibri" w:cs="Calibri"/>
        </w:rPr>
        <w:t xml:space="preserve"> environmental</w:t>
      </w:r>
      <w:r w:rsidR="720FF1DE" w:rsidRPr="3B0D9F72">
        <w:rPr>
          <w:rFonts w:eastAsia="Calibri" w:cs="Calibri"/>
        </w:rPr>
        <w:t xml:space="preserve"> disasters, and periodic government and policy instability and change. There have been many Ministers and gaps in sector leadership in the public sector, and industrial action by teachers in </w:t>
      </w:r>
      <w:proofErr w:type="spellStart"/>
      <w:r w:rsidR="720FF1DE" w:rsidRPr="3B0D9F72">
        <w:rPr>
          <w:rFonts w:eastAsia="Calibri" w:cs="Calibri"/>
        </w:rPr>
        <w:t>mid 2024</w:t>
      </w:r>
      <w:proofErr w:type="spellEnd"/>
      <w:r w:rsidR="720FF1DE" w:rsidRPr="3B0D9F72">
        <w:rPr>
          <w:rFonts w:eastAsia="Calibri" w:cs="Calibri"/>
        </w:rPr>
        <w:t xml:space="preserve"> further illustrated the</w:t>
      </w:r>
      <w:r w:rsidR="285209A9" w:rsidRPr="3B0D9F72">
        <w:rPr>
          <w:rFonts w:eastAsia="Calibri" w:cs="Calibri"/>
        </w:rPr>
        <w:t xml:space="preserve"> tensions and</w:t>
      </w:r>
      <w:r w:rsidR="720FF1DE" w:rsidRPr="3B0D9F72">
        <w:rPr>
          <w:rFonts w:eastAsia="Calibri" w:cs="Calibri"/>
        </w:rPr>
        <w:t xml:space="preserve"> issues facing the sector. Meanwhile, amongst a generally negative trend in education outcomes in Pacific nations</w:t>
      </w:r>
      <w:r w:rsidR="00775E89">
        <w:rPr>
          <w:rStyle w:val="FootnoteReference"/>
          <w:rFonts w:eastAsia="Calibri" w:cs="Calibri"/>
        </w:rPr>
        <w:footnoteReference w:id="7"/>
      </w:r>
      <w:r w:rsidR="720FF1DE" w:rsidRPr="3B0D9F72">
        <w:rPr>
          <w:rFonts w:eastAsia="Calibri" w:cs="Calibri"/>
        </w:rPr>
        <w:t>, Vanuatu has had particularly striking drops in literacy and numeracy</w:t>
      </w:r>
      <w:r w:rsidR="7E189782" w:rsidRPr="3B0D9F72">
        <w:rPr>
          <w:rFonts w:eastAsia="Calibri" w:cs="Calibri"/>
        </w:rPr>
        <w:t xml:space="preserve"> rates</w:t>
      </w:r>
      <w:r w:rsidR="720FF1DE" w:rsidRPr="3B0D9F72">
        <w:rPr>
          <w:rFonts w:eastAsia="Calibri" w:cs="Calibri"/>
        </w:rPr>
        <w:t xml:space="preserve">, as well as sizeable reductions in </w:t>
      </w:r>
      <w:r w:rsidR="2EC1C8F7" w:rsidRPr="6FCA30B7">
        <w:rPr>
          <w:rFonts w:eastAsia="Calibri" w:cs="Calibri"/>
        </w:rPr>
        <w:t xml:space="preserve">government </w:t>
      </w:r>
      <w:r w:rsidR="720FF1DE" w:rsidRPr="3B0D9F72">
        <w:rPr>
          <w:rFonts w:eastAsia="Calibri" w:cs="Calibri"/>
        </w:rPr>
        <w:t>funding invested in education per capita</w:t>
      </w:r>
      <w:r w:rsidR="7FD81A2A">
        <w:t>.</w:t>
      </w:r>
      <w:r w:rsidR="720FF1DE" w:rsidRPr="3B0D9F72">
        <w:rPr>
          <w:rFonts w:eastAsia="Calibri" w:cs="Calibri"/>
        </w:rPr>
        <w:t xml:space="preserve"> There are also significant numbers of young people who are not in work, education or trainin</w:t>
      </w:r>
      <w:r w:rsidR="7FD81A2A">
        <w:rPr>
          <w:rFonts w:eastAsia="Calibri" w:cs="Calibri"/>
        </w:rPr>
        <w:t>g</w:t>
      </w:r>
      <w:r w:rsidR="008C0705">
        <w:rPr>
          <w:rStyle w:val="FootnoteReference"/>
          <w:rFonts w:eastAsia="Calibri" w:cs="Calibri"/>
        </w:rPr>
        <w:footnoteReference w:id="8"/>
      </w:r>
      <w:r w:rsidR="7FD81A2A">
        <w:rPr>
          <w:rFonts w:eastAsia="Calibri" w:cs="Calibri"/>
        </w:rPr>
        <w:t>.</w:t>
      </w:r>
      <w:r w:rsidR="720FF1DE" w:rsidRPr="3B0D9F72">
        <w:rPr>
          <w:rFonts w:eastAsia="Calibri" w:cs="Calibri"/>
        </w:rPr>
        <w:t xml:space="preserve"> </w:t>
      </w:r>
    </w:p>
    <w:p w14:paraId="715779EF" w14:textId="148AB5CD" w:rsidR="39A3670B" w:rsidRDefault="720FF1DE" w:rsidP="3B0D9F72">
      <w:pPr>
        <w:rPr>
          <w:rFonts w:eastAsia="Calibri" w:cs="Calibri"/>
        </w:rPr>
      </w:pPr>
      <w:r w:rsidRPr="3B0D9F72">
        <w:rPr>
          <w:rFonts w:eastAsia="Calibri" w:cs="Calibri"/>
        </w:rPr>
        <w:t>Australia is a long-term partner and supporter of education and training in Vanuatu. This has ranged across early childhood</w:t>
      </w:r>
      <w:r w:rsidR="791F953F" w:rsidRPr="3B0D9F72">
        <w:rPr>
          <w:rFonts w:eastAsia="Calibri" w:cs="Calibri"/>
        </w:rPr>
        <w:t xml:space="preserve"> care and</w:t>
      </w:r>
      <w:r w:rsidRPr="3B0D9F72">
        <w:rPr>
          <w:rFonts w:eastAsia="Calibri" w:cs="Calibri"/>
        </w:rPr>
        <w:t xml:space="preserve"> education (EC</w:t>
      </w:r>
      <w:r w:rsidR="01BD79C3" w:rsidRPr="3B0D9F72">
        <w:rPr>
          <w:rFonts w:eastAsia="Calibri" w:cs="Calibri"/>
        </w:rPr>
        <w:t>C</w:t>
      </w:r>
      <w:r w:rsidRPr="3B0D9F72">
        <w:rPr>
          <w:rFonts w:eastAsia="Calibri" w:cs="Calibri"/>
        </w:rPr>
        <w:t xml:space="preserve">E), primary education and skills/technical and vocational education and training (TVET). These sectors remain a core priority for Australia’s development cooperation with Vanuatu. </w:t>
      </w:r>
      <w:r w:rsidR="4F6D93C6" w:rsidRPr="3B0D9F72">
        <w:rPr>
          <w:rFonts w:eastAsia="Calibri" w:cs="Calibri"/>
        </w:rPr>
        <w:t xml:space="preserve">Australia’s </w:t>
      </w:r>
      <w:r w:rsidRPr="3B0D9F72">
        <w:rPr>
          <w:rFonts w:eastAsia="Calibri" w:cs="Calibri"/>
        </w:rPr>
        <w:t xml:space="preserve">new </w:t>
      </w:r>
      <w:r w:rsidRPr="6FCA30B7">
        <w:rPr>
          <w:rFonts w:eastAsia="Calibri" w:cs="Calibri"/>
          <w:i/>
          <w:iCs/>
        </w:rPr>
        <w:t>International Development Policy</w:t>
      </w:r>
      <w:r w:rsidR="008C0705" w:rsidRPr="6FCA30B7">
        <w:rPr>
          <w:rStyle w:val="FootnoteReference"/>
          <w:rFonts w:eastAsia="Calibri" w:cs="Calibri"/>
          <w:i/>
          <w:iCs/>
        </w:rPr>
        <w:footnoteReference w:id="9"/>
      </w:r>
      <w:r w:rsidR="7FD81A2A">
        <w:t xml:space="preserve"> </w:t>
      </w:r>
      <w:r w:rsidRPr="3B0D9F72">
        <w:rPr>
          <w:rFonts w:eastAsia="Calibri" w:cs="Calibri"/>
        </w:rPr>
        <w:t>recognises the centrality of education and training for every nation’s ongoing development, and its Performance Assessment Framework (PAF) put</w:t>
      </w:r>
      <w:r w:rsidR="19FF4A75" w:rsidRPr="3B0D9F72">
        <w:rPr>
          <w:rFonts w:eastAsia="Calibri" w:cs="Calibri"/>
        </w:rPr>
        <w:t xml:space="preserve">s </w:t>
      </w:r>
      <w:r w:rsidRPr="3B0D9F72">
        <w:rPr>
          <w:rFonts w:eastAsia="Calibri" w:cs="Calibri"/>
        </w:rPr>
        <w:t>increased emphasis on measuring Australia’s contribution to improved learning outcomes, skills training and positive policy change in the sector</w:t>
      </w:r>
      <w:r w:rsidR="008C0705">
        <w:rPr>
          <w:rStyle w:val="FootnoteReference"/>
          <w:rFonts w:eastAsia="Calibri" w:cs="Calibri"/>
        </w:rPr>
        <w:footnoteReference w:id="10"/>
      </w:r>
      <w:r w:rsidRPr="3B0D9F72">
        <w:rPr>
          <w:rFonts w:eastAsia="Calibri" w:cs="Calibri"/>
        </w:rPr>
        <w:t xml:space="preserve">. </w:t>
      </w:r>
      <w:r w:rsidR="39A3670B" w:rsidRPr="3B0D9F72">
        <w:rPr>
          <w:rFonts w:eastAsia="Calibri" w:cs="Calibri"/>
        </w:rPr>
        <w:t xml:space="preserve">Two significant investments comprise the majority of Australia’s current support to Vanuatu’s education and skills sectors: the </w:t>
      </w:r>
      <w:r w:rsidR="39A3670B" w:rsidRPr="3B0D9F72">
        <w:rPr>
          <w:rFonts w:eastAsia="Calibri" w:cs="Calibri"/>
          <w:b/>
          <w:bCs/>
        </w:rPr>
        <w:t>Vanuatu Skills Partnership (VSP)</w:t>
      </w:r>
      <w:r w:rsidR="39A3670B" w:rsidRPr="3B0D9F72">
        <w:rPr>
          <w:rFonts w:eastAsia="Calibri" w:cs="Calibri"/>
        </w:rPr>
        <w:t xml:space="preserve"> and the </w:t>
      </w:r>
      <w:r w:rsidR="39A3670B" w:rsidRPr="3B0D9F72">
        <w:rPr>
          <w:rFonts w:eastAsia="Calibri" w:cs="Calibri"/>
          <w:b/>
          <w:bCs/>
        </w:rPr>
        <w:t>Vanuatu Australia Education Support Program (VAESP)</w:t>
      </w:r>
      <w:r w:rsidR="39A3670B" w:rsidRPr="3B0D9F72">
        <w:rPr>
          <w:rFonts w:eastAsia="Calibri" w:cs="Calibri"/>
        </w:rPr>
        <w:t>. Managed by the Department of Foreign Affairs (DFAT) from the Australian High Commission in Port Vila (‘Post’), both programs conclude in 2026</w:t>
      </w:r>
      <w:r w:rsidR="74CCD7DE" w:rsidRPr="6FCA30B7">
        <w:rPr>
          <w:rFonts w:eastAsia="Calibri" w:cs="Calibri"/>
        </w:rPr>
        <w:t xml:space="preserve"> </w:t>
      </w:r>
      <w:r w:rsidR="0CD04E67" w:rsidRPr="6FCA30B7">
        <w:rPr>
          <w:rFonts w:eastAsia="Calibri" w:cs="Calibri"/>
        </w:rPr>
        <w:t>- VSP in January, and VAESP in December</w:t>
      </w:r>
      <w:r w:rsidR="39A3670B" w:rsidRPr="3B0D9F72">
        <w:rPr>
          <w:rFonts w:eastAsia="Calibri" w:cs="Calibri"/>
        </w:rPr>
        <w:t xml:space="preserve">. </w:t>
      </w:r>
    </w:p>
    <w:p w14:paraId="1655CB25" w14:textId="286D4394" w:rsidR="00CB5A85" w:rsidRDefault="204133EA" w:rsidP="0C3CBE43">
      <w:pPr>
        <w:rPr>
          <w:rFonts w:eastAsia="Calibri" w:cs="Calibri"/>
          <w:lang w:val="en-GB"/>
        </w:rPr>
      </w:pPr>
      <w:r w:rsidRPr="3326E6A4">
        <w:rPr>
          <w:rFonts w:eastAsia="Calibri" w:cs="Calibri"/>
          <w:lang w:val="en-GB"/>
        </w:rPr>
        <w:t xml:space="preserve">The operational context and political economy in Vanuatu, as well as policy settings for both governments and the broader region, have evolved since the current designs of VAESP and VSP were created. Vanuatu’s </w:t>
      </w:r>
      <w:r w:rsidR="50EF379E" w:rsidRPr="3326E6A4">
        <w:rPr>
          <w:rFonts w:eastAsia="Calibri" w:cs="Calibri"/>
          <w:lang w:val="en-GB"/>
        </w:rPr>
        <w:t xml:space="preserve">refreshed </w:t>
      </w:r>
      <w:r w:rsidRPr="3326E6A4">
        <w:rPr>
          <w:rFonts w:eastAsia="Calibri" w:cs="Calibri"/>
          <w:lang w:val="en-GB"/>
        </w:rPr>
        <w:t xml:space="preserve">Gender Equality, Disability and Social Inclusion (GEDSI) intentions are articulated in the Government of Vanuatu’s </w:t>
      </w:r>
      <w:r w:rsidRPr="00A44943">
        <w:rPr>
          <w:rFonts w:eastAsia="Calibri" w:cs="Calibri"/>
          <w:i/>
          <w:iCs/>
          <w:color w:val="000000" w:themeColor="text1"/>
          <w:lang w:val="en-GB"/>
        </w:rPr>
        <w:t>National Gender Equality Policy 2020-2030</w:t>
      </w:r>
      <w:r w:rsidRPr="3326E6A4">
        <w:rPr>
          <w:rFonts w:eastAsia="Calibri" w:cs="Calibri"/>
          <w:color w:val="000000" w:themeColor="text1"/>
          <w:lang w:val="en-GB"/>
        </w:rPr>
        <w:t xml:space="preserve"> (NGEP) and </w:t>
      </w:r>
      <w:r w:rsidRPr="00A44943">
        <w:rPr>
          <w:rFonts w:eastAsia="Calibri" w:cs="Calibri"/>
          <w:i/>
          <w:iCs/>
          <w:color w:val="000000" w:themeColor="text1"/>
          <w:lang w:val="en-GB"/>
        </w:rPr>
        <w:t>National Disability Inclusive Development Policy 2018 – 2025</w:t>
      </w:r>
      <w:r w:rsidRPr="3326E6A4">
        <w:rPr>
          <w:rFonts w:eastAsia="Calibri" w:cs="Calibri"/>
          <w:color w:val="000000" w:themeColor="text1"/>
          <w:lang w:val="en-GB"/>
        </w:rPr>
        <w:t xml:space="preserve">. The </w:t>
      </w:r>
      <w:proofErr w:type="spellStart"/>
      <w:r w:rsidRPr="3326E6A4">
        <w:rPr>
          <w:rFonts w:eastAsia="Calibri" w:cs="Calibri"/>
          <w:color w:val="000000" w:themeColor="text1"/>
          <w:lang w:val="en-GB"/>
        </w:rPr>
        <w:t>MoET</w:t>
      </w:r>
      <w:proofErr w:type="spellEnd"/>
      <w:r w:rsidRPr="3326E6A4">
        <w:rPr>
          <w:rFonts w:eastAsia="Calibri" w:cs="Calibri"/>
          <w:color w:val="000000" w:themeColor="text1"/>
          <w:lang w:val="en-GB"/>
        </w:rPr>
        <w:t xml:space="preserve"> recently launched its new </w:t>
      </w:r>
      <w:r w:rsidRPr="00A44943">
        <w:rPr>
          <w:rFonts w:eastAsia="Calibri" w:cs="Calibri"/>
          <w:i/>
          <w:iCs/>
          <w:color w:val="000000" w:themeColor="text1"/>
          <w:lang w:val="en-GB"/>
        </w:rPr>
        <w:t>Inclusive Education and Training Policy 2024 – 2030</w:t>
      </w:r>
      <w:r w:rsidR="0755F7EA" w:rsidRPr="3326E6A4">
        <w:rPr>
          <w:rFonts w:eastAsia="Calibri" w:cs="Calibri"/>
          <w:color w:val="000000" w:themeColor="text1"/>
          <w:lang w:val="en-GB"/>
        </w:rPr>
        <w:t>, and</w:t>
      </w:r>
      <w:r w:rsidR="0755F7EA" w:rsidRPr="0C3CBE43">
        <w:rPr>
          <w:rFonts w:eastAsia="Calibri" w:cs="Calibri"/>
        </w:rPr>
        <w:t xml:space="preserve"> the </w:t>
      </w:r>
      <w:r w:rsidR="0755F7EA" w:rsidRPr="00A44943">
        <w:rPr>
          <w:rFonts w:eastAsia="Calibri" w:cs="Calibri"/>
          <w:i/>
          <w:iCs/>
        </w:rPr>
        <w:t>National Skills Development Policy 2023-2030</w:t>
      </w:r>
      <w:r w:rsidR="569F35C8" w:rsidRPr="0C3CBE43">
        <w:rPr>
          <w:rFonts w:eastAsia="Calibri" w:cs="Calibri"/>
        </w:rPr>
        <w:t>.</w:t>
      </w:r>
      <w:r w:rsidR="0755F7EA" w:rsidRPr="3326E6A4">
        <w:rPr>
          <w:rFonts w:eastAsia="Calibri" w:cs="Calibri"/>
          <w:color w:val="000000" w:themeColor="text1"/>
          <w:lang w:val="en-GB"/>
        </w:rPr>
        <w:t xml:space="preserve"> </w:t>
      </w:r>
      <w:r w:rsidRPr="3326E6A4">
        <w:rPr>
          <w:rFonts w:eastAsia="Calibri" w:cs="Calibri"/>
          <w:color w:val="000000" w:themeColor="text1"/>
          <w:lang w:val="en-GB"/>
        </w:rPr>
        <w:t>DFAT’s new</w:t>
      </w:r>
      <w:r w:rsidR="432C4234" w:rsidRPr="3326E6A4">
        <w:rPr>
          <w:rFonts w:eastAsia="Calibri" w:cs="Calibri"/>
          <w:color w:val="000000" w:themeColor="text1"/>
          <w:lang w:val="en-GB"/>
        </w:rPr>
        <w:t xml:space="preserve"> </w:t>
      </w:r>
      <w:r w:rsidR="432C4234" w:rsidRPr="2D65516E">
        <w:rPr>
          <w:rFonts w:eastAsia="Calibri" w:cs="Calibri"/>
          <w:i/>
          <w:iCs/>
          <w:color w:val="000000" w:themeColor="text1"/>
          <w:lang w:val="en-GB"/>
        </w:rPr>
        <w:t>International</w:t>
      </w:r>
      <w:r w:rsidRPr="2D65516E">
        <w:rPr>
          <w:rFonts w:eastAsia="Calibri" w:cs="Calibri"/>
          <w:i/>
          <w:iCs/>
          <w:color w:val="000000" w:themeColor="text1"/>
          <w:lang w:val="en-GB"/>
        </w:rPr>
        <w:t xml:space="preserve"> Disability Equity and Rights Strategy</w:t>
      </w:r>
      <w:r w:rsidR="00CB5A85" w:rsidRPr="3326E6A4">
        <w:rPr>
          <w:rStyle w:val="FootnoteReference"/>
          <w:rFonts w:eastAsia="Calibri" w:cs="Calibri"/>
          <w:color w:val="000000" w:themeColor="text1"/>
          <w:lang w:val="en-GB"/>
        </w:rPr>
        <w:footnoteReference w:id="11"/>
      </w:r>
      <w:r w:rsidRPr="3326E6A4">
        <w:rPr>
          <w:rFonts w:eastAsia="Calibri" w:cs="Calibri"/>
          <w:color w:val="000000" w:themeColor="text1"/>
          <w:lang w:val="en-GB"/>
        </w:rPr>
        <w:t xml:space="preserve"> reaffirms Australia's support to realisation of the rights to education for learners with disabilities. </w:t>
      </w:r>
      <w:r w:rsidRPr="3326E6A4">
        <w:rPr>
          <w:rFonts w:eastAsia="Calibri" w:cs="Calibri"/>
          <w:lang w:val="en-GB"/>
        </w:rPr>
        <w:t xml:space="preserve">DFAT’s new </w:t>
      </w:r>
      <w:r w:rsidRPr="00A44943">
        <w:rPr>
          <w:rFonts w:eastAsia="Calibri" w:cs="Calibri"/>
          <w:i/>
          <w:iCs/>
          <w:lang w:val="en-GB"/>
        </w:rPr>
        <w:t>International Development Policy</w:t>
      </w:r>
      <w:r w:rsidRPr="3326E6A4">
        <w:rPr>
          <w:rFonts w:eastAsia="Calibri" w:cs="Calibri"/>
          <w:lang w:val="en-GB"/>
        </w:rPr>
        <w:t xml:space="preserve"> and the </w:t>
      </w:r>
      <w:r w:rsidR="00F20D8B" w:rsidRPr="00A44943">
        <w:rPr>
          <w:rFonts w:eastAsia="Calibri" w:cs="Calibri"/>
          <w:i/>
          <w:iCs/>
          <w:lang w:val="en-GB"/>
        </w:rPr>
        <w:t xml:space="preserve">2050 Strategy for the </w:t>
      </w:r>
      <w:r w:rsidRPr="00A44943">
        <w:rPr>
          <w:rFonts w:eastAsia="Calibri" w:cs="Calibri"/>
          <w:i/>
          <w:iCs/>
          <w:lang w:val="en-GB"/>
        </w:rPr>
        <w:t xml:space="preserve">Blue Pacific </w:t>
      </w:r>
      <w:proofErr w:type="gramStart"/>
      <w:r w:rsidR="00F97727" w:rsidRPr="00A44943">
        <w:rPr>
          <w:rFonts w:eastAsia="Calibri" w:cs="Calibri"/>
          <w:i/>
          <w:iCs/>
          <w:lang w:val="en-GB"/>
        </w:rPr>
        <w:t>Continent</w:t>
      </w:r>
      <w:r w:rsidR="00F97727">
        <w:rPr>
          <w:rFonts w:eastAsia="Calibri" w:cs="Calibri"/>
          <w:lang w:val="en-GB"/>
        </w:rPr>
        <w:t xml:space="preserve"> </w:t>
      </w:r>
      <w:r w:rsidRPr="3326E6A4">
        <w:rPr>
          <w:rFonts w:eastAsia="Calibri" w:cs="Calibri"/>
          <w:lang w:val="en-GB"/>
        </w:rPr>
        <w:t xml:space="preserve"> place</w:t>
      </w:r>
      <w:proofErr w:type="gramEnd"/>
      <w:r w:rsidRPr="3326E6A4">
        <w:rPr>
          <w:rFonts w:eastAsia="Calibri" w:cs="Calibri"/>
          <w:lang w:val="en-GB"/>
        </w:rPr>
        <w:t xml:space="preserve"> a stronger emphasis on locally led development, and on maximising the collective impact of donor investments. </w:t>
      </w:r>
      <w:r w:rsidR="551CC226" w:rsidRPr="3326E6A4">
        <w:rPr>
          <w:rFonts w:eastAsia="Calibri" w:cs="Calibri"/>
          <w:lang w:val="en-GB"/>
        </w:rPr>
        <w:t>Therefore,</w:t>
      </w:r>
      <w:r w:rsidRPr="3326E6A4">
        <w:rPr>
          <w:rFonts w:eastAsia="Calibri" w:cs="Calibri"/>
          <w:lang w:val="en-GB"/>
        </w:rPr>
        <w:t xml:space="preserve"> DFAT has commissioned a Design Team to design the next phase of Australia’s bilateral investments in the Vanuatu education and skills sectors. </w:t>
      </w:r>
    </w:p>
    <w:p w14:paraId="7A671454" w14:textId="5F4A91EB" w:rsidR="39A3670B" w:rsidRDefault="39A3670B" w:rsidP="3B0D9F72">
      <w:r w:rsidRPr="0C3CBE43">
        <w:rPr>
          <w:rFonts w:eastAsia="Calibri" w:cs="Calibri"/>
          <w:color w:val="212121"/>
          <w:lang w:val="en-GB"/>
        </w:rPr>
        <w:t xml:space="preserve">The design process comprises two stages: a preliminary high-level </w:t>
      </w:r>
      <w:r w:rsidR="670F99F6" w:rsidRPr="0C3CBE43">
        <w:rPr>
          <w:rFonts w:eastAsia="Calibri" w:cs="Calibri"/>
          <w:color w:val="212121"/>
          <w:lang w:val="en-GB"/>
        </w:rPr>
        <w:t xml:space="preserve">modality assessment and </w:t>
      </w:r>
      <w:r w:rsidRPr="0C3CBE43">
        <w:rPr>
          <w:rFonts w:eastAsia="Calibri" w:cs="Calibri"/>
          <w:color w:val="212121"/>
          <w:lang w:val="en-GB"/>
        </w:rPr>
        <w:t>review</w:t>
      </w:r>
      <w:r w:rsidR="482CB716" w:rsidRPr="0C3CBE43">
        <w:rPr>
          <w:rFonts w:eastAsia="Calibri" w:cs="Calibri"/>
          <w:color w:val="212121"/>
          <w:lang w:val="en-GB"/>
        </w:rPr>
        <w:t>,</w:t>
      </w:r>
      <w:r w:rsidRPr="0C3CBE43">
        <w:rPr>
          <w:rFonts w:eastAsia="Calibri" w:cs="Calibri"/>
          <w:color w:val="212121"/>
          <w:lang w:val="en-GB"/>
        </w:rPr>
        <w:t xml:space="preserve"> synthesising key lessons from current programs and identifying opportunities to enhance the collective positive impact of Australia’s overall support to the education and skills sectors. The overall aim is to</w:t>
      </w:r>
      <w:r w:rsidR="1DA77ED3" w:rsidRPr="0C3CBE43">
        <w:rPr>
          <w:rFonts w:eastAsia="Calibri" w:cs="Calibri"/>
          <w:color w:val="212121"/>
          <w:lang w:val="en-GB"/>
        </w:rPr>
        <w:t xml:space="preserve"> recommend the best modality and design structure, which will</w:t>
      </w:r>
      <w:r w:rsidRPr="0C3CBE43">
        <w:rPr>
          <w:rFonts w:eastAsia="Calibri" w:cs="Calibri"/>
          <w:color w:val="212121"/>
          <w:lang w:val="en-GB"/>
        </w:rPr>
        <w:t xml:space="preserve"> increase the coherence</w:t>
      </w:r>
      <w:r w:rsidR="0028242C" w:rsidRPr="0C3CBE43">
        <w:rPr>
          <w:rFonts w:eastAsia="Calibri" w:cs="Calibri"/>
          <w:color w:val="212121"/>
          <w:lang w:val="en-GB"/>
        </w:rPr>
        <w:t>,</w:t>
      </w:r>
      <w:r w:rsidRPr="0C3CBE43">
        <w:rPr>
          <w:rFonts w:eastAsia="Calibri" w:cs="Calibri"/>
          <w:color w:val="212121"/>
          <w:lang w:val="en-GB"/>
        </w:rPr>
        <w:t xml:space="preserve"> coordination</w:t>
      </w:r>
      <w:r w:rsidR="0028242C" w:rsidRPr="0C3CBE43">
        <w:rPr>
          <w:rFonts w:eastAsia="Calibri" w:cs="Calibri"/>
          <w:color w:val="212121"/>
          <w:lang w:val="en-GB"/>
        </w:rPr>
        <w:t xml:space="preserve"> and efficiency</w:t>
      </w:r>
      <w:r w:rsidRPr="0C3CBE43">
        <w:rPr>
          <w:rFonts w:eastAsia="Calibri" w:cs="Calibri"/>
          <w:color w:val="212121"/>
          <w:lang w:val="en-GB"/>
        </w:rPr>
        <w:t xml:space="preserve"> of Australia’s programming in these sectors, reflecting their joint positioning under the Vanuatu Ministry of Education and Training (</w:t>
      </w:r>
      <w:proofErr w:type="spellStart"/>
      <w:r w:rsidRPr="0C3CBE43">
        <w:rPr>
          <w:rFonts w:eastAsia="Calibri" w:cs="Calibri"/>
          <w:color w:val="212121"/>
          <w:lang w:val="en-GB"/>
        </w:rPr>
        <w:t>MoET</w:t>
      </w:r>
      <w:proofErr w:type="spellEnd"/>
      <w:r w:rsidRPr="0C3CBE43">
        <w:rPr>
          <w:rFonts w:eastAsia="Calibri" w:cs="Calibri"/>
          <w:color w:val="212121"/>
          <w:lang w:val="en-GB"/>
        </w:rPr>
        <w:t>). The emphasis is on responding to existing program strengths and identifying areas for improvement on the current investments, so that lessons and gains generated by both can inform a more joined-up approach to Australia’s support to the national education and skills development system. Ultimately the design will aim to increase efficiency and amplify and expand the outcomes and impact of Australia’s investments, for the benefit of Vanuatu and its citizens.</w:t>
      </w:r>
    </w:p>
    <w:p w14:paraId="782B2348" w14:textId="393CA07B" w:rsidR="39A3670B" w:rsidRDefault="39A3670B" w:rsidP="3B0D9F72">
      <w:pPr>
        <w:pStyle w:val="Heading2"/>
        <w:rPr>
          <w:rFonts w:ascii="Century Gothic" w:eastAsia="Century Gothic" w:hAnsi="Century Gothic" w:cs="Century Gothic"/>
        </w:rPr>
      </w:pPr>
      <w:bookmarkStart w:id="17" w:name="_Toc190268256"/>
      <w:r w:rsidRPr="3B0D9F72">
        <w:rPr>
          <w:rFonts w:ascii="Century Gothic" w:eastAsia="Century Gothic" w:hAnsi="Century Gothic" w:cs="Century Gothic"/>
        </w:rPr>
        <w:t>Current program summaries</w:t>
      </w:r>
      <w:bookmarkEnd w:id="17"/>
    </w:p>
    <w:p w14:paraId="3CD17D99" w14:textId="133B21FE" w:rsidR="39A3670B" w:rsidRDefault="39A3670B" w:rsidP="3B0D9F72">
      <w:pPr>
        <w:pStyle w:val="Heading3"/>
        <w:rPr>
          <w:rFonts w:ascii="Century Gothic" w:eastAsia="Century Gothic" w:hAnsi="Century Gothic" w:cs="Century Gothic"/>
        </w:rPr>
      </w:pPr>
      <w:r w:rsidRPr="3B0D9F72">
        <w:rPr>
          <w:rFonts w:ascii="Century Gothic" w:eastAsia="Century Gothic" w:hAnsi="Century Gothic" w:cs="Century Gothic"/>
        </w:rPr>
        <w:t>Vanuatu Australia Education Support Program (VAESP)</w:t>
      </w:r>
    </w:p>
    <w:p w14:paraId="305435C8" w14:textId="2E5519E2" w:rsidR="39A3670B" w:rsidRDefault="39A3670B" w:rsidP="3B0D9F72">
      <w:r w:rsidRPr="6FCA30B7">
        <w:rPr>
          <w:rFonts w:eastAsia="Calibri" w:cs="Calibri"/>
          <w:lang w:val="en-GB"/>
        </w:rPr>
        <w:t>The goal of VAESP is to support the Ministry of Education and Training (</w:t>
      </w:r>
      <w:proofErr w:type="spellStart"/>
      <w:r w:rsidRPr="6FCA30B7">
        <w:rPr>
          <w:rFonts w:eastAsia="Calibri" w:cs="Calibri"/>
          <w:lang w:val="en-GB"/>
        </w:rPr>
        <w:t>MoET</w:t>
      </w:r>
      <w:proofErr w:type="spellEnd"/>
      <w:r w:rsidRPr="6FCA30B7">
        <w:rPr>
          <w:rFonts w:eastAsia="Calibri" w:cs="Calibri"/>
          <w:lang w:val="en-GB"/>
        </w:rPr>
        <w:t xml:space="preserve">) to achieve its goal of improving education access, quality and management, as detailed in the </w:t>
      </w:r>
      <w:r w:rsidRPr="00A44943">
        <w:rPr>
          <w:rFonts w:eastAsia="Calibri" w:cs="Calibri"/>
          <w:i/>
          <w:iCs/>
          <w:lang w:val="en-GB"/>
        </w:rPr>
        <w:t>Vanuatu Education and Training Sector Strategy</w:t>
      </w:r>
      <w:r w:rsidRPr="6FCA30B7">
        <w:rPr>
          <w:rFonts w:eastAsia="Calibri" w:cs="Calibri"/>
          <w:lang w:val="en-GB"/>
        </w:rPr>
        <w:t xml:space="preserve"> and operationalised through </w:t>
      </w:r>
      <w:proofErr w:type="spellStart"/>
      <w:r w:rsidRPr="6FCA30B7">
        <w:rPr>
          <w:rFonts w:eastAsia="Calibri" w:cs="Calibri"/>
          <w:lang w:val="en-GB"/>
        </w:rPr>
        <w:t>MoET's</w:t>
      </w:r>
      <w:proofErr w:type="spellEnd"/>
      <w:r w:rsidRPr="6FCA30B7">
        <w:rPr>
          <w:rFonts w:eastAsia="Calibri" w:cs="Calibri"/>
          <w:lang w:val="en-GB"/>
        </w:rPr>
        <w:t xml:space="preserve"> Corporate Plan. The central focus of VAESP is to support </w:t>
      </w:r>
      <w:proofErr w:type="spellStart"/>
      <w:r w:rsidRPr="6FCA30B7">
        <w:rPr>
          <w:rFonts w:eastAsia="Calibri" w:cs="Calibri"/>
          <w:lang w:val="en-GB"/>
        </w:rPr>
        <w:t>MoET</w:t>
      </w:r>
      <w:proofErr w:type="spellEnd"/>
      <w:r w:rsidRPr="6FCA30B7">
        <w:rPr>
          <w:rFonts w:eastAsia="Calibri" w:cs="Calibri"/>
          <w:lang w:val="en-GB"/>
        </w:rPr>
        <w:t xml:space="preserve"> to improve education delivery and learning outcomes in schools from early childhood</w:t>
      </w:r>
      <w:r w:rsidR="04B8FA75" w:rsidRPr="6FCA30B7">
        <w:rPr>
          <w:rFonts w:eastAsia="Calibri" w:cs="Calibri"/>
          <w:lang w:val="en-GB"/>
        </w:rPr>
        <w:t xml:space="preserve"> care and</w:t>
      </w:r>
      <w:r w:rsidRPr="6FCA30B7">
        <w:rPr>
          <w:rFonts w:eastAsia="Calibri" w:cs="Calibri"/>
          <w:lang w:val="en-GB"/>
        </w:rPr>
        <w:t xml:space="preserve"> education (E</w:t>
      </w:r>
      <w:r w:rsidR="75A11F61" w:rsidRPr="6FCA30B7">
        <w:rPr>
          <w:rFonts w:eastAsia="Calibri" w:cs="Calibri"/>
          <w:lang w:val="en-GB"/>
        </w:rPr>
        <w:t>C</w:t>
      </w:r>
      <w:r w:rsidRPr="6FCA30B7">
        <w:rPr>
          <w:rFonts w:eastAsia="Calibri" w:cs="Calibri"/>
          <w:lang w:val="en-GB"/>
        </w:rPr>
        <w:t xml:space="preserve">CE) to year 6. The program works to increase both access to education, through strengthening infrastructure and inclusive approaches, as well as the quality of education delivery, through strengthening curriculum, teaching delivery and teacher management. VAESP also aims to support </w:t>
      </w:r>
      <w:proofErr w:type="spellStart"/>
      <w:r w:rsidRPr="6FCA30B7">
        <w:rPr>
          <w:rFonts w:eastAsia="Calibri" w:cs="Calibri"/>
          <w:lang w:val="en-GB"/>
        </w:rPr>
        <w:t>MoET’s</w:t>
      </w:r>
      <w:proofErr w:type="spellEnd"/>
      <w:r w:rsidRPr="6FCA30B7">
        <w:rPr>
          <w:rFonts w:eastAsia="Calibri" w:cs="Calibri"/>
          <w:lang w:val="en-GB"/>
        </w:rPr>
        <w:t xml:space="preserve"> devolution at provincial and school levels, for improved planning, implementation and decision-making, as well as increased community and parental engagement. </w:t>
      </w:r>
    </w:p>
    <w:p w14:paraId="62C92E29" w14:textId="0D1A29A7" w:rsidR="39A3670B" w:rsidRDefault="720FF1DE" w:rsidP="3326E6A4">
      <w:pPr>
        <w:rPr>
          <w:rFonts w:eastAsia="Calibri" w:cs="Calibri"/>
          <w:lang w:val="en-GB"/>
        </w:rPr>
      </w:pPr>
      <w:r w:rsidRPr="2D65516E">
        <w:rPr>
          <w:rFonts w:eastAsia="Calibri" w:cs="Calibri"/>
          <w:lang w:val="en-GB"/>
        </w:rPr>
        <w:t xml:space="preserve">VAESP </w:t>
      </w:r>
      <w:r w:rsidR="204133EA" w:rsidRPr="2D65516E">
        <w:rPr>
          <w:rFonts w:eastAsia="Calibri" w:cs="Calibri"/>
          <w:lang w:val="en-GB"/>
        </w:rPr>
        <w:t>works</w:t>
      </w:r>
      <w:r w:rsidRPr="2D65516E">
        <w:rPr>
          <w:rFonts w:eastAsia="Calibri" w:cs="Calibri"/>
          <w:lang w:val="en-GB"/>
        </w:rPr>
        <w:t xml:space="preserve"> within </w:t>
      </w:r>
      <w:proofErr w:type="spellStart"/>
      <w:r w:rsidRPr="2D65516E">
        <w:rPr>
          <w:rFonts w:eastAsia="Calibri" w:cs="Calibri"/>
          <w:lang w:val="en-GB"/>
        </w:rPr>
        <w:t>MoET</w:t>
      </w:r>
      <w:proofErr w:type="spellEnd"/>
      <w:r w:rsidRPr="2D65516E">
        <w:rPr>
          <w:rFonts w:eastAsia="Calibri" w:cs="Calibri"/>
          <w:lang w:val="en-GB"/>
        </w:rPr>
        <w:t xml:space="preserve"> through a managing contractor</w:t>
      </w:r>
      <w:r w:rsidR="2FA42AEE" w:rsidRPr="2D65516E">
        <w:rPr>
          <w:rFonts w:eastAsia="Calibri" w:cs="Calibri"/>
          <w:lang w:val="en-GB"/>
        </w:rPr>
        <w:t xml:space="preserve"> (MC)</w:t>
      </w:r>
      <w:r w:rsidR="00614139" w:rsidRPr="2D65516E">
        <w:rPr>
          <w:rFonts w:eastAsia="Calibri" w:cs="Calibri"/>
          <w:lang w:val="en-GB"/>
        </w:rPr>
        <w:t xml:space="preserve"> (currently Tetra Tech</w:t>
      </w:r>
      <w:proofErr w:type="gramStart"/>
      <w:r w:rsidR="00614139" w:rsidRPr="2D65516E">
        <w:rPr>
          <w:rFonts w:eastAsia="Calibri" w:cs="Calibri"/>
          <w:lang w:val="en-GB"/>
        </w:rPr>
        <w:t>), and</w:t>
      </w:r>
      <w:proofErr w:type="gramEnd"/>
      <w:r w:rsidR="204133EA" w:rsidRPr="2D65516E">
        <w:rPr>
          <w:rFonts w:eastAsia="Calibri" w:cs="Calibri"/>
          <w:lang w:val="en-GB"/>
        </w:rPr>
        <w:t xml:space="preserve"> includ</w:t>
      </w:r>
      <w:r w:rsidR="00614139" w:rsidRPr="2D65516E">
        <w:rPr>
          <w:rFonts w:eastAsia="Calibri" w:cs="Calibri"/>
          <w:lang w:val="en-GB"/>
        </w:rPr>
        <w:t>e</w:t>
      </w:r>
      <w:r w:rsidR="0028242C" w:rsidRPr="2D65516E">
        <w:rPr>
          <w:rFonts w:eastAsia="Calibri" w:cs="Calibri"/>
          <w:lang w:val="en-GB"/>
        </w:rPr>
        <w:t xml:space="preserve">s </w:t>
      </w:r>
      <w:r w:rsidR="204133EA" w:rsidRPr="2D65516E">
        <w:rPr>
          <w:rFonts w:eastAsia="Calibri" w:cs="Calibri"/>
          <w:lang w:val="en-GB"/>
        </w:rPr>
        <w:t>d</w:t>
      </w:r>
      <w:r w:rsidRPr="2D65516E">
        <w:rPr>
          <w:rFonts w:eastAsia="Calibri" w:cs="Calibri"/>
          <w:lang w:val="en-GB"/>
        </w:rPr>
        <w:t xml:space="preserve">irect funding to </w:t>
      </w:r>
      <w:proofErr w:type="spellStart"/>
      <w:r w:rsidRPr="2D65516E">
        <w:rPr>
          <w:rFonts w:eastAsia="Calibri" w:cs="Calibri"/>
          <w:lang w:val="en-GB"/>
        </w:rPr>
        <w:t>MoET</w:t>
      </w:r>
      <w:proofErr w:type="spellEnd"/>
      <w:r w:rsidRPr="2D65516E">
        <w:rPr>
          <w:rFonts w:eastAsia="Calibri" w:cs="Calibri"/>
          <w:lang w:val="en-GB"/>
        </w:rPr>
        <w:t xml:space="preserve"> through a direct funding </w:t>
      </w:r>
      <w:r w:rsidR="00A91EA6" w:rsidRPr="2D65516E">
        <w:rPr>
          <w:rFonts w:eastAsia="Calibri" w:cs="Calibri"/>
          <w:lang w:val="en-GB"/>
        </w:rPr>
        <w:t xml:space="preserve">arrangement </w:t>
      </w:r>
      <w:r w:rsidRPr="2D65516E">
        <w:rPr>
          <w:rFonts w:eastAsia="Calibri" w:cs="Calibri"/>
          <w:lang w:val="en-GB"/>
        </w:rPr>
        <w:t xml:space="preserve">(DFA) between Australia and Vanuatu. </w:t>
      </w:r>
      <w:r w:rsidR="604D6550" w:rsidRPr="2D65516E">
        <w:rPr>
          <w:rFonts w:eastAsia="Calibri" w:cs="Calibri"/>
          <w:lang w:val="en-GB"/>
        </w:rPr>
        <w:t xml:space="preserve">Guidance and oversight </w:t>
      </w:r>
      <w:r w:rsidR="64929C6A" w:rsidRPr="2D65516E">
        <w:rPr>
          <w:rFonts w:eastAsia="Calibri" w:cs="Calibri"/>
          <w:lang w:val="en-GB"/>
        </w:rPr>
        <w:t>are</w:t>
      </w:r>
      <w:r w:rsidR="604D6550" w:rsidRPr="2D65516E">
        <w:rPr>
          <w:rFonts w:eastAsia="Calibri" w:cs="Calibri"/>
          <w:lang w:val="en-GB"/>
        </w:rPr>
        <w:t xml:space="preserve"> provided via a </w:t>
      </w:r>
      <w:r w:rsidR="673F9CF7" w:rsidRPr="2D65516E">
        <w:rPr>
          <w:rFonts w:eastAsia="Calibri" w:cs="Calibri"/>
          <w:lang w:val="en-GB"/>
        </w:rPr>
        <w:t>high-level</w:t>
      </w:r>
      <w:r w:rsidR="604D6550" w:rsidRPr="2D65516E">
        <w:rPr>
          <w:rFonts w:eastAsia="Calibri" w:cs="Calibri"/>
          <w:lang w:val="en-GB"/>
        </w:rPr>
        <w:t xml:space="preserve"> Steering Committee. </w:t>
      </w:r>
      <w:r w:rsidRPr="2D65516E">
        <w:rPr>
          <w:rFonts w:eastAsia="Calibri" w:cs="Calibri"/>
          <w:lang w:val="en-GB"/>
        </w:rPr>
        <w:t xml:space="preserve"> </w:t>
      </w:r>
      <w:r w:rsidR="2757BDA2" w:rsidRPr="2D65516E">
        <w:rPr>
          <w:rFonts w:eastAsia="Calibri" w:cs="Calibri"/>
          <w:lang w:val="en-GB"/>
        </w:rPr>
        <w:t>VAESP</w:t>
      </w:r>
      <w:r w:rsidR="3409F7DE" w:rsidRPr="2D65516E">
        <w:rPr>
          <w:rFonts w:eastAsia="Calibri" w:cs="Calibri"/>
          <w:lang w:val="en-GB"/>
        </w:rPr>
        <w:t xml:space="preserve"> is</w:t>
      </w:r>
      <w:r w:rsidRPr="2D65516E">
        <w:rPr>
          <w:rFonts w:eastAsia="Calibri" w:cs="Calibri"/>
          <w:lang w:val="en-GB"/>
        </w:rPr>
        <w:t xml:space="preserve"> intended to contribute to the sustainability of outcomes through alignment with </w:t>
      </w:r>
      <w:proofErr w:type="spellStart"/>
      <w:r w:rsidRPr="2D65516E">
        <w:rPr>
          <w:rFonts w:eastAsia="Calibri" w:cs="Calibri"/>
          <w:lang w:val="en-GB"/>
        </w:rPr>
        <w:t>GoV</w:t>
      </w:r>
      <w:proofErr w:type="spellEnd"/>
      <w:r w:rsidRPr="2D65516E">
        <w:rPr>
          <w:rFonts w:eastAsia="Calibri" w:cs="Calibri"/>
          <w:lang w:val="en-GB"/>
        </w:rPr>
        <w:t xml:space="preserve"> priorities, staffing, timelines and activities. </w:t>
      </w:r>
      <w:r w:rsidR="6DBCA00E" w:rsidRPr="2D65516E">
        <w:rPr>
          <w:rFonts w:eastAsia="Calibri" w:cs="Calibri"/>
          <w:lang w:val="en-GB"/>
        </w:rPr>
        <w:t>The program</w:t>
      </w:r>
      <w:r w:rsidRPr="2D65516E">
        <w:rPr>
          <w:rFonts w:eastAsia="Calibri" w:cs="Calibri"/>
          <w:lang w:val="en-GB"/>
        </w:rPr>
        <w:t xml:space="preserve"> </w:t>
      </w:r>
      <w:r w:rsidR="009F582F" w:rsidRPr="2D65516E">
        <w:rPr>
          <w:rFonts w:eastAsia="Calibri" w:cs="Calibri"/>
          <w:lang w:val="en-GB"/>
        </w:rPr>
        <w:t>funds</w:t>
      </w:r>
      <w:r w:rsidR="00850E5C" w:rsidRPr="2D65516E">
        <w:rPr>
          <w:rFonts w:eastAsia="Calibri" w:cs="Calibri"/>
          <w:lang w:val="en-GB"/>
        </w:rPr>
        <w:t xml:space="preserve"> </w:t>
      </w:r>
      <w:r w:rsidRPr="2D65516E">
        <w:rPr>
          <w:rFonts w:eastAsia="Calibri" w:cs="Calibri"/>
          <w:lang w:val="en-GB"/>
        </w:rPr>
        <w:t xml:space="preserve">activities </w:t>
      </w:r>
      <w:r w:rsidR="28AD1D34" w:rsidRPr="2D65516E">
        <w:rPr>
          <w:rFonts w:eastAsia="Calibri" w:cs="Calibri"/>
          <w:lang w:val="en-GB"/>
        </w:rPr>
        <w:t xml:space="preserve">which </w:t>
      </w:r>
      <w:r w:rsidRPr="2D65516E">
        <w:rPr>
          <w:rFonts w:eastAsia="Calibri" w:cs="Calibri"/>
          <w:lang w:val="en-GB"/>
        </w:rPr>
        <w:t xml:space="preserve">aim to feed into, support and enhance local systems and </w:t>
      </w:r>
      <w:proofErr w:type="spellStart"/>
      <w:r w:rsidRPr="2D65516E">
        <w:rPr>
          <w:rFonts w:eastAsia="Calibri" w:cs="Calibri"/>
          <w:lang w:val="en-GB"/>
        </w:rPr>
        <w:t>MoET</w:t>
      </w:r>
      <w:proofErr w:type="spellEnd"/>
      <w:r w:rsidRPr="2D65516E">
        <w:rPr>
          <w:rFonts w:eastAsia="Calibri" w:cs="Calibri"/>
          <w:lang w:val="en-GB"/>
        </w:rPr>
        <w:t xml:space="preserve"> leadership, including through professional development of government staff. The VAESP </w:t>
      </w:r>
      <w:r w:rsidR="00F20D8B">
        <w:rPr>
          <w:rFonts w:eastAsia="Calibri" w:cs="Calibri"/>
          <w:lang w:val="en-GB"/>
        </w:rPr>
        <w:t>MC</w:t>
      </w:r>
      <w:r w:rsidRPr="2D65516E">
        <w:rPr>
          <w:rFonts w:eastAsia="Calibri" w:cs="Calibri"/>
          <w:lang w:val="en-GB"/>
        </w:rPr>
        <w:t xml:space="preserve"> also supports the administration of Australia Awards Vanuatu (AAV), which aims to address skills gaps identified in Vanuatu’s </w:t>
      </w:r>
      <w:r w:rsidRPr="00A44943">
        <w:rPr>
          <w:rFonts w:eastAsia="Calibri" w:cs="Calibri"/>
          <w:i/>
          <w:iCs/>
          <w:lang w:val="en-GB"/>
        </w:rPr>
        <w:t xml:space="preserve">National Human Resource Development </w:t>
      </w:r>
      <w:proofErr w:type="gramStart"/>
      <w:r w:rsidRPr="00A44943">
        <w:rPr>
          <w:rFonts w:eastAsia="Calibri" w:cs="Calibri"/>
          <w:i/>
          <w:iCs/>
          <w:lang w:val="en-GB"/>
        </w:rPr>
        <w:t>Plan</w:t>
      </w:r>
      <w:r w:rsidR="468CD5BD" w:rsidRPr="2D65516E">
        <w:rPr>
          <w:rFonts w:eastAsia="Calibri" w:cs="Calibri"/>
          <w:lang w:val="en-GB"/>
        </w:rPr>
        <w:t>,</w:t>
      </w:r>
      <w:r w:rsidRPr="2D65516E">
        <w:rPr>
          <w:rFonts w:eastAsia="Calibri" w:cs="Calibri"/>
          <w:lang w:val="en-GB"/>
        </w:rPr>
        <w:t xml:space="preserve"> and</w:t>
      </w:r>
      <w:proofErr w:type="gramEnd"/>
      <w:r w:rsidRPr="2D65516E">
        <w:rPr>
          <w:rFonts w:eastAsia="Calibri" w:cs="Calibri"/>
          <w:lang w:val="en-GB"/>
        </w:rPr>
        <w:t xml:space="preserve"> </w:t>
      </w:r>
      <w:r w:rsidR="44841FB0" w:rsidRPr="2D65516E">
        <w:rPr>
          <w:rFonts w:eastAsia="Calibri" w:cs="Calibri"/>
          <w:lang w:val="en-GB"/>
        </w:rPr>
        <w:t>aligned</w:t>
      </w:r>
      <w:r w:rsidRPr="2D65516E">
        <w:rPr>
          <w:rFonts w:eastAsia="Calibri" w:cs="Calibri"/>
          <w:lang w:val="en-GB"/>
        </w:rPr>
        <w:t xml:space="preserve"> with Government of Vanuatu</w:t>
      </w:r>
      <w:r w:rsidR="322CBAE8" w:rsidRPr="2D65516E">
        <w:rPr>
          <w:rFonts w:eastAsia="Calibri" w:cs="Calibri"/>
          <w:lang w:val="en-GB"/>
        </w:rPr>
        <w:t>’s economic development</w:t>
      </w:r>
      <w:r w:rsidR="00E34931" w:rsidRPr="2D65516E">
        <w:rPr>
          <w:rFonts w:eastAsia="Calibri" w:cs="Calibri"/>
          <w:lang w:val="en-GB"/>
        </w:rPr>
        <w:t xml:space="preserve"> </w:t>
      </w:r>
      <w:r w:rsidRPr="2D65516E">
        <w:rPr>
          <w:rFonts w:eastAsia="Calibri" w:cs="Calibri"/>
          <w:lang w:val="en-GB"/>
        </w:rPr>
        <w:t xml:space="preserve">priorities. </w:t>
      </w:r>
    </w:p>
    <w:p w14:paraId="15C58685" w14:textId="1A36814C" w:rsidR="39A3670B" w:rsidRDefault="39A3670B" w:rsidP="3B0D9F72">
      <w:r w:rsidRPr="3B0D9F72">
        <w:rPr>
          <w:rFonts w:eastAsia="Calibri" w:cs="Calibri"/>
          <w:lang w:val="en-GB"/>
        </w:rPr>
        <w:t xml:space="preserve">The current phase of education support, through VAESP, commenced in 2019 and is currently scheduled to conclude at the end of 2026. </w:t>
      </w:r>
    </w:p>
    <w:p w14:paraId="24308651" w14:textId="5E93D86D" w:rsidR="39A3670B" w:rsidRDefault="39A3670B" w:rsidP="3B0D9F72">
      <w:pPr>
        <w:pStyle w:val="Heading3"/>
        <w:rPr>
          <w:rFonts w:ascii="Century Gothic" w:eastAsia="Century Gothic" w:hAnsi="Century Gothic" w:cs="Century Gothic"/>
        </w:rPr>
      </w:pPr>
      <w:r w:rsidRPr="3B0D9F72">
        <w:rPr>
          <w:rFonts w:ascii="Century Gothic" w:eastAsia="Century Gothic" w:hAnsi="Century Gothic" w:cs="Century Gothic"/>
        </w:rPr>
        <w:t>Vanuatu Skills Partnership (VSP)</w:t>
      </w:r>
    </w:p>
    <w:p w14:paraId="651CBDB1" w14:textId="24D4347E" w:rsidR="39A3670B" w:rsidRDefault="39A3670B" w:rsidP="3B0D9F72">
      <w:pPr>
        <w:rPr>
          <w:rFonts w:eastAsia="Calibri" w:cs="Calibri"/>
          <w:lang w:val="en-GB"/>
        </w:rPr>
      </w:pPr>
      <w:r w:rsidRPr="3B0D9F72">
        <w:rPr>
          <w:rFonts w:eastAsia="Calibri" w:cs="Calibri"/>
          <w:lang w:val="en-GB"/>
        </w:rPr>
        <w:t xml:space="preserve">VSP is a locally led initiative that has established provincial Skills Centres (now integrated under the Tertiary Education Directorate (TED) of the </w:t>
      </w:r>
      <w:proofErr w:type="spellStart"/>
      <w:r w:rsidRPr="3B0D9F72">
        <w:rPr>
          <w:rFonts w:eastAsia="Calibri" w:cs="Calibri"/>
          <w:lang w:val="en-GB"/>
        </w:rPr>
        <w:t>MoET</w:t>
      </w:r>
      <w:proofErr w:type="spellEnd"/>
      <w:r w:rsidRPr="3B0D9F72">
        <w:rPr>
          <w:rFonts w:eastAsia="Calibri" w:cs="Calibri"/>
          <w:lang w:val="en-GB"/>
        </w:rPr>
        <w:t xml:space="preserve">), which facilitate skills training and entrepreneurial support across key productive industry sectors, in partnership with a range of </w:t>
      </w:r>
      <w:proofErr w:type="spellStart"/>
      <w:r w:rsidRPr="3B0D9F72">
        <w:rPr>
          <w:rFonts w:eastAsia="Calibri" w:cs="Calibri"/>
          <w:lang w:val="en-GB"/>
        </w:rPr>
        <w:t>GoV</w:t>
      </w:r>
      <w:proofErr w:type="spellEnd"/>
      <w:r w:rsidRPr="3B0D9F72">
        <w:rPr>
          <w:rFonts w:eastAsia="Calibri" w:cs="Calibri"/>
          <w:lang w:val="en-GB"/>
        </w:rPr>
        <w:t xml:space="preserve"> ministries and all provincial governments. The two government agency counterparts for VSP are the </w:t>
      </w:r>
      <w:proofErr w:type="spellStart"/>
      <w:r w:rsidRPr="3B0D9F72">
        <w:rPr>
          <w:rFonts w:eastAsia="Calibri" w:cs="Calibri"/>
          <w:lang w:val="en-GB"/>
        </w:rPr>
        <w:t>MoET</w:t>
      </w:r>
      <w:proofErr w:type="spellEnd"/>
      <w:r w:rsidRPr="3B0D9F72">
        <w:rPr>
          <w:rFonts w:eastAsia="Calibri" w:cs="Calibri"/>
          <w:lang w:val="en-GB"/>
        </w:rPr>
        <w:t xml:space="preserve"> and the Prime Minister’s Office (PMO) and all results are tracked against the aims of the NSDP. VSP has a strong focus on ‘leadership incubation’, supporting reformists at both provincial and national level to build coalitions to address challenges in the supply of in-demand skills for inclusive economic results. At the same time as maximising economic results, VSP seeks to strengthen the quality of, and access to, local training delivery, and the governance of the national skills development system. VSP also works directly with schools through its </w:t>
      </w:r>
      <w:r w:rsidR="00F20D8B">
        <w:rPr>
          <w:rFonts w:eastAsia="Calibri" w:cs="Calibri"/>
          <w:lang w:val="en-GB"/>
        </w:rPr>
        <w:t>‘</w:t>
      </w:r>
      <w:r w:rsidRPr="00A44943">
        <w:rPr>
          <w:rFonts w:eastAsia="Calibri" w:cs="Calibri"/>
          <w:lang w:val="en-GB"/>
        </w:rPr>
        <w:t>TVET in Schools</w:t>
      </w:r>
      <w:r w:rsidR="00F20D8B">
        <w:rPr>
          <w:rFonts w:eastAsia="Calibri" w:cs="Calibri"/>
          <w:lang w:val="en-GB"/>
        </w:rPr>
        <w:t>’</w:t>
      </w:r>
      <w:r w:rsidRPr="3B0D9F72">
        <w:rPr>
          <w:rFonts w:eastAsia="Calibri" w:cs="Calibri"/>
          <w:i/>
          <w:iCs/>
          <w:lang w:val="en-GB"/>
        </w:rPr>
        <w:t xml:space="preserve"> </w:t>
      </w:r>
      <w:r w:rsidRPr="3B0D9F72">
        <w:rPr>
          <w:rFonts w:eastAsia="Calibri" w:cs="Calibri"/>
          <w:lang w:val="en-GB"/>
        </w:rPr>
        <w:t xml:space="preserve">and </w:t>
      </w:r>
      <w:r w:rsidR="00F20D8B">
        <w:rPr>
          <w:rFonts w:eastAsia="Calibri" w:cs="Calibri"/>
          <w:lang w:val="en-GB"/>
        </w:rPr>
        <w:t>‘</w:t>
      </w:r>
      <w:r w:rsidRPr="00A44943">
        <w:rPr>
          <w:rFonts w:eastAsia="Calibri" w:cs="Calibri"/>
          <w:lang w:val="en-GB"/>
        </w:rPr>
        <w:t>Farm to School</w:t>
      </w:r>
      <w:r w:rsidR="00F20D8B">
        <w:rPr>
          <w:rFonts w:eastAsia="Calibri" w:cs="Calibri"/>
          <w:lang w:val="en-GB"/>
        </w:rPr>
        <w:t>’</w:t>
      </w:r>
      <w:r w:rsidRPr="3B0D9F72">
        <w:rPr>
          <w:rFonts w:eastAsia="Calibri" w:cs="Calibri"/>
          <w:lang w:val="en-GB"/>
        </w:rPr>
        <w:t xml:space="preserve"> initiatives. </w:t>
      </w:r>
    </w:p>
    <w:p w14:paraId="17D81541" w14:textId="4029EE84" w:rsidR="001E7060" w:rsidRDefault="001E7060" w:rsidP="3B0D9F72">
      <w:r w:rsidRPr="6FCA30B7">
        <w:rPr>
          <w:rFonts w:eastAsia="Calibri" w:cs="Calibri"/>
          <w:lang w:val="en-GB"/>
        </w:rPr>
        <w:t>VSP</w:t>
      </w:r>
      <w:r w:rsidRPr="6FCA30B7">
        <w:rPr>
          <w:rFonts w:eastAsia="Calibri" w:cs="Calibri"/>
          <w:color w:val="212121"/>
          <w:lang w:val="en-GB"/>
        </w:rPr>
        <w:t xml:space="preserve"> is locally led, managed and staffed, </w:t>
      </w:r>
      <w:r w:rsidRPr="6FCA30B7">
        <w:rPr>
          <w:rFonts w:eastAsia="Calibri" w:cs="Calibri"/>
          <w:lang w:val="en-GB"/>
        </w:rPr>
        <w:t>uses a support contractor modality, has access to support from international personnel on key technical issues, and is complemented by a Strategic Adviser engaged by Post. The support contractor modality is provided by Palladium (a</w:t>
      </w:r>
      <w:r w:rsidR="00F20D8B">
        <w:rPr>
          <w:rFonts w:eastAsia="Calibri" w:cs="Calibri"/>
          <w:lang w:val="en-GB"/>
        </w:rPr>
        <w:t xml:space="preserve">n </w:t>
      </w:r>
      <w:proofErr w:type="gramStart"/>
      <w:r w:rsidR="00F20D8B">
        <w:rPr>
          <w:rFonts w:eastAsia="Calibri" w:cs="Calibri"/>
          <w:lang w:val="en-GB"/>
        </w:rPr>
        <w:t>MC</w:t>
      </w:r>
      <w:r w:rsidRPr="6FCA30B7">
        <w:rPr>
          <w:rFonts w:eastAsia="Calibri" w:cs="Calibri"/>
          <w:lang w:val="en-GB"/>
        </w:rPr>
        <w:t xml:space="preserve">  engaged</w:t>
      </w:r>
      <w:proofErr w:type="gramEnd"/>
      <w:r w:rsidRPr="6FCA30B7">
        <w:rPr>
          <w:rFonts w:eastAsia="Calibri" w:cs="Calibri"/>
          <w:lang w:val="en-GB"/>
        </w:rPr>
        <w:t xml:space="preserve"> by DFAT) and operates in support of the local leadership, through a Support Unit which provides specialist inputs on demand in areas including MEL (known as Quality Systems), strategic communications, contracts and finance, and programming/partnerships. Implementation is complemented by co-investment from the </w:t>
      </w:r>
      <w:proofErr w:type="spellStart"/>
      <w:r w:rsidR="00F20D8B">
        <w:rPr>
          <w:rFonts w:eastAsia="Calibri" w:cs="Calibri"/>
          <w:lang w:val="en-GB"/>
        </w:rPr>
        <w:t>GoV</w:t>
      </w:r>
      <w:proofErr w:type="spellEnd"/>
      <w:r w:rsidR="00F20D8B">
        <w:rPr>
          <w:rFonts w:eastAsia="Calibri" w:cs="Calibri"/>
          <w:lang w:val="en-GB"/>
        </w:rPr>
        <w:t xml:space="preserve"> </w:t>
      </w:r>
      <w:r w:rsidRPr="6FCA30B7">
        <w:rPr>
          <w:rFonts w:eastAsia="Calibri" w:cs="Calibri"/>
          <w:lang w:val="en-GB"/>
        </w:rPr>
        <w:t xml:space="preserve">and some targeted direct financing.  </w:t>
      </w:r>
    </w:p>
    <w:p w14:paraId="35D1568B" w14:textId="3E1A5BF4" w:rsidR="39A3670B" w:rsidRDefault="5DE61359" w:rsidP="0C3CBE43">
      <w:pPr>
        <w:rPr>
          <w:rFonts w:eastAsia="Calibri" w:cs="Calibri"/>
        </w:rPr>
      </w:pPr>
      <w:r w:rsidRPr="2D65516E">
        <w:rPr>
          <w:rFonts w:eastAsia="Calibri" w:cs="Calibri"/>
        </w:rPr>
        <w:t>VSP</w:t>
      </w:r>
      <w:r w:rsidR="1A0DE8FF" w:rsidRPr="2D65516E">
        <w:rPr>
          <w:rFonts w:eastAsia="Calibri" w:cs="Calibri"/>
        </w:rPr>
        <w:t xml:space="preserve"> </w:t>
      </w:r>
      <w:r w:rsidR="08C94146" w:rsidRPr="2D65516E">
        <w:rPr>
          <w:rFonts w:eastAsia="Calibri" w:cs="Calibri"/>
        </w:rPr>
        <w:t>activit</w:t>
      </w:r>
      <w:r w:rsidR="001E7060" w:rsidRPr="2D65516E">
        <w:rPr>
          <w:rFonts w:eastAsia="Calibri" w:cs="Calibri"/>
        </w:rPr>
        <w:t>i</w:t>
      </w:r>
      <w:r w:rsidR="08C94146" w:rsidRPr="2D65516E">
        <w:rPr>
          <w:rFonts w:eastAsia="Calibri" w:cs="Calibri"/>
        </w:rPr>
        <w:t>es are</w:t>
      </w:r>
      <w:r w:rsidR="720FF1DE" w:rsidRPr="2D65516E">
        <w:rPr>
          <w:rFonts w:eastAsia="Calibri" w:cs="Calibri"/>
        </w:rPr>
        <w:t xml:space="preserve"> increasingly embedded within </w:t>
      </w:r>
      <w:proofErr w:type="spellStart"/>
      <w:r w:rsidR="720FF1DE" w:rsidRPr="2D65516E">
        <w:rPr>
          <w:rFonts w:eastAsia="Calibri" w:cs="Calibri"/>
        </w:rPr>
        <w:t>MoET</w:t>
      </w:r>
      <w:proofErr w:type="spellEnd"/>
      <w:r w:rsidR="720FF1DE" w:rsidRPr="2D65516E">
        <w:rPr>
          <w:rFonts w:eastAsia="Calibri" w:cs="Calibri"/>
        </w:rPr>
        <w:t xml:space="preserve">, </w:t>
      </w:r>
      <w:r w:rsidR="348F13A3" w:rsidRPr="2D65516E">
        <w:rPr>
          <w:rFonts w:eastAsia="Calibri" w:cs="Calibri"/>
        </w:rPr>
        <w:t xml:space="preserve">as evidenced </w:t>
      </w:r>
      <w:r w:rsidR="720FF1DE" w:rsidRPr="2D65516E">
        <w:rPr>
          <w:rFonts w:eastAsia="Calibri" w:cs="Calibri"/>
        </w:rPr>
        <w:t>most notably by the</w:t>
      </w:r>
      <w:r w:rsidR="3D8B6BD3" w:rsidRPr="2D65516E">
        <w:rPr>
          <w:rFonts w:eastAsia="Calibri" w:cs="Calibri"/>
        </w:rPr>
        <w:t xml:space="preserve"> ownership of Skills Centres by </w:t>
      </w:r>
      <w:proofErr w:type="spellStart"/>
      <w:r w:rsidR="3D8B6BD3" w:rsidRPr="2D65516E">
        <w:rPr>
          <w:rFonts w:eastAsia="Calibri" w:cs="Calibri"/>
        </w:rPr>
        <w:t>MoET</w:t>
      </w:r>
      <w:proofErr w:type="spellEnd"/>
      <w:r w:rsidR="3D8B6BD3" w:rsidRPr="2D65516E">
        <w:rPr>
          <w:rFonts w:eastAsia="Calibri" w:cs="Calibri"/>
        </w:rPr>
        <w:t>, and the embedding of</w:t>
      </w:r>
      <w:r w:rsidR="720FF1DE" w:rsidRPr="2D65516E">
        <w:rPr>
          <w:rFonts w:eastAsia="Calibri" w:cs="Calibri"/>
        </w:rPr>
        <w:t xml:space="preserve"> </w:t>
      </w:r>
      <w:r w:rsidR="170C3DEF" w:rsidRPr="2D65516E">
        <w:rPr>
          <w:rFonts w:eastAsia="Calibri" w:cs="Calibri"/>
        </w:rPr>
        <w:t>Provincial Skills Coordinators</w:t>
      </w:r>
      <w:r w:rsidR="00E34931" w:rsidRPr="2D65516E">
        <w:rPr>
          <w:rFonts w:eastAsia="Calibri" w:cs="Calibri"/>
        </w:rPr>
        <w:t xml:space="preserve"> (PSCs)</w:t>
      </w:r>
      <w:r w:rsidR="720FF1DE" w:rsidRPr="2D65516E">
        <w:rPr>
          <w:rFonts w:eastAsia="Calibri" w:cs="Calibri"/>
        </w:rPr>
        <w:t xml:space="preserve"> </w:t>
      </w:r>
      <w:r w:rsidR="20ACA8A5" w:rsidRPr="2D65516E">
        <w:rPr>
          <w:rFonts w:eastAsia="Calibri" w:cs="Calibri"/>
        </w:rPr>
        <w:t xml:space="preserve">in </w:t>
      </w:r>
      <w:proofErr w:type="spellStart"/>
      <w:r w:rsidR="20ACA8A5" w:rsidRPr="2D65516E">
        <w:rPr>
          <w:rFonts w:eastAsia="Calibri" w:cs="Calibri"/>
        </w:rPr>
        <w:t>MoET’s</w:t>
      </w:r>
      <w:proofErr w:type="spellEnd"/>
      <w:r w:rsidR="20ACA8A5" w:rsidRPr="2D65516E">
        <w:rPr>
          <w:rFonts w:eastAsia="Calibri" w:cs="Calibri"/>
        </w:rPr>
        <w:t xml:space="preserve"> organisational structure, as </w:t>
      </w:r>
      <w:r w:rsidR="720FF1DE" w:rsidRPr="2D65516E">
        <w:rPr>
          <w:rFonts w:eastAsia="Calibri" w:cs="Calibri"/>
        </w:rPr>
        <w:t xml:space="preserve">public servants with their salaries paid by </w:t>
      </w:r>
      <w:proofErr w:type="spellStart"/>
      <w:r w:rsidR="720FF1DE" w:rsidRPr="2D65516E">
        <w:rPr>
          <w:rFonts w:eastAsia="Calibri" w:cs="Calibri"/>
        </w:rPr>
        <w:t>GoV</w:t>
      </w:r>
      <w:proofErr w:type="spellEnd"/>
      <w:r w:rsidR="000A00DF" w:rsidRPr="2D65516E">
        <w:rPr>
          <w:rFonts w:eastAsia="Calibri" w:cs="Calibri"/>
        </w:rPr>
        <w:t xml:space="preserve"> (topped up by VSP)</w:t>
      </w:r>
      <w:r w:rsidR="720FF1DE" w:rsidRPr="2D65516E">
        <w:rPr>
          <w:rFonts w:eastAsia="Calibri" w:cs="Calibri"/>
        </w:rPr>
        <w:t xml:space="preserve">. </w:t>
      </w:r>
      <w:r w:rsidR="5DCA7530" w:rsidRPr="2D65516E">
        <w:rPr>
          <w:rFonts w:eastAsia="Calibri" w:cs="Calibri"/>
        </w:rPr>
        <w:t xml:space="preserve">There are also other </w:t>
      </w:r>
      <w:proofErr w:type="spellStart"/>
      <w:r w:rsidR="5DCA7530" w:rsidRPr="2D65516E">
        <w:rPr>
          <w:rFonts w:eastAsia="Calibri" w:cs="Calibri"/>
        </w:rPr>
        <w:t>GoV</w:t>
      </w:r>
      <w:proofErr w:type="spellEnd"/>
      <w:r w:rsidR="5DCA7530" w:rsidRPr="2D65516E">
        <w:rPr>
          <w:rFonts w:eastAsia="Calibri" w:cs="Calibri"/>
        </w:rPr>
        <w:t xml:space="preserve"> co-contributions from the productive sectors which are determined through joint annual planning. </w:t>
      </w:r>
    </w:p>
    <w:p w14:paraId="5015216A" w14:textId="7EC19779" w:rsidR="39A3670B" w:rsidRDefault="39A3670B" w:rsidP="3B0D9F72">
      <w:r w:rsidRPr="3B0D9F72">
        <w:rPr>
          <w:rFonts w:eastAsia="Calibri" w:cs="Calibri"/>
          <w:lang w:val="en-GB"/>
        </w:rPr>
        <w:t xml:space="preserve">The current phase of skills support, the fourth so far, commenced in 2017 and is currently scheduled to conclude in January 2026. </w:t>
      </w:r>
    </w:p>
    <w:bookmarkStart w:id="18" w:name="_Toc190268257"/>
    <w:p w14:paraId="51FC45AF" w14:textId="3DB63C25" w:rsidR="00B7796B" w:rsidRDefault="0095602B" w:rsidP="008C0705">
      <w:pPr>
        <w:pStyle w:val="Heading1"/>
      </w:pPr>
      <w:r w:rsidRPr="0065380F">
        <w:rPr>
          <w:noProof/>
        </w:rPr>
        <mc:AlternateContent>
          <mc:Choice Requires="wps">
            <w:drawing>
              <wp:anchor distT="0" distB="0" distL="114300" distR="114300" simplePos="0" relativeHeight="251668480" behindDoc="0" locked="0" layoutInCell="1" allowOverlap="1" wp14:anchorId="1F8D8FB4" wp14:editId="5C76EBE5">
                <wp:simplePos x="0" y="0"/>
                <wp:positionH relativeFrom="column">
                  <wp:posOffset>-943583</wp:posOffset>
                </wp:positionH>
                <wp:positionV relativeFrom="paragraph">
                  <wp:posOffset>157777</wp:posOffset>
                </wp:positionV>
                <wp:extent cx="541421" cy="475248"/>
                <wp:effectExtent l="0" t="0" r="5080" b="0"/>
                <wp:wrapNone/>
                <wp:docPr id="1753470860" name="Rectangle 17534708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w:pict w14:anchorId="65B83726">
              <v:rect id="Rectangle 1753470860" style="position:absolute;margin-left:-74.3pt;margin-top:12.4pt;width:42.65pt;height:37.4pt;z-index:25166848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fb200" stroked="f" strokeweight="2pt" w14:anchorId="5A892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"/>
            </w:pict>
          </mc:Fallback>
        </mc:AlternateContent>
      </w:r>
      <w:r w:rsidR="00B7796B">
        <w:t>Review overview</w:t>
      </w:r>
      <w:bookmarkEnd w:id="18"/>
      <w:r w:rsidR="00B7796B">
        <w:t xml:space="preserve"> </w:t>
      </w:r>
    </w:p>
    <w:p w14:paraId="2E2F8FA3" w14:textId="141ADFC7" w:rsidR="690F0BCA" w:rsidRDefault="690F0BCA" w:rsidP="3B0D9F72">
      <w:r w:rsidRPr="2D65516E">
        <w:rPr>
          <w:rFonts w:eastAsia="Calibri" w:cs="Calibri"/>
        </w:rPr>
        <w:t xml:space="preserve">The high-level </w:t>
      </w:r>
      <w:r w:rsidR="22B7F312" w:rsidRPr="2D65516E">
        <w:rPr>
          <w:rFonts w:eastAsia="Calibri" w:cs="Calibri"/>
        </w:rPr>
        <w:t xml:space="preserve">modality </w:t>
      </w:r>
      <w:r w:rsidRPr="2D65516E">
        <w:rPr>
          <w:rFonts w:eastAsia="Calibri" w:cs="Calibri"/>
        </w:rPr>
        <w:t xml:space="preserve">review (stage 1 of the design) had two priorities: </w:t>
      </w:r>
    </w:p>
    <w:p w14:paraId="4738DAA4" w14:textId="4F9CE43A" w:rsidR="690F0BCA" w:rsidRDefault="690F0BCA" w:rsidP="3B0D9F72">
      <w:pPr>
        <w:pStyle w:val="ListParagraph"/>
        <w:numPr>
          <w:ilvl w:val="0"/>
          <w:numId w:val="24"/>
        </w:numPr>
        <w:spacing w:before="0" w:after="0"/>
        <w:rPr>
          <w:rFonts w:eastAsia="Calibri" w:cs="Calibri"/>
        </w:rPr>
      </w:pPr>
      <w:r w:rsidRPr="38E62D81">
        <w:rPr>
          <w:rFonts w:eastAsia="Calibri" w:cs="Calibri"/>
        </w:rPr>
        <w:t>Analysing and synthesising the experiences of VSP and VAESP</w:t>
      </w:r>
      <w:r w:rsidR="016AD98C" w:rsidRPr="38E62D81">
        <w:rPr>
          <w:rFonts w:eastAsia="Calibri" w:cs="Calibri"/>
        </w:rPr>
        <w:t xml:space="preserve"> (inclusive of AAV)</w:t>
      </w:r>
      <w:r w:rsidRPr="38E62D81">
        <w:rPr>
          <w:rFonts w:eastAsia="Calibri" w:cs="Calibri"/>
        </w:rPr>
        <w:t xml:space="preserve"> so the next phase of Australian investment can effectively build on successes and address challenges; and </w:t>
      </w:r>
    </w:p>
    <w:p w14:paraId="60F3A038" w14:textId="161307F3" w:rsidR="690F0BCA" w:rsidRDefault="690F0BCA" w:rsidP="3B0D9F72">
      <w:pPr>
        <w:pStyle w:val="ListParagraph"/>
        <w:numPr>
          <w:ilvl w:val="0"/>
          <w:numId w:val="24"/>
        </w:numPr>
        <w:spacing w:before="0" w:after="0"/>
        <w:rPr>
          <w:rFonts w:eastAsia="Calibri" w:cs="Calibri"/>
        </w:rPr>
      </w:pPr>
      <w:r w:rsidRPr="3B0D9F72">
        <w:rPr>
          <w:rFonts w:eastAsia="Calibri" w:cs="Calibri"/>
        </w:rPr>
        <w:t>Determining the best modality and implementation approach for the investment itself. A key question to be addressed in this stage is how to structure the future investment, the degree of integration or separation between support for skills, education and scholarships, and the most appropriate modality and contracting arrangement. As part of this, the review was required to recommend whether future design should be documented in a single, integrated investment design document, or two investment design documents.</w:t>
      </w:r>
    </w:p>
    <w:p w14:paraId="03D40EAB" w14:textId="0E80921B" w:rsidR="00CB5A85" w:rsidRDefault="690F0BCA" w:rsidP="3B0D9F72">
      <w:pPr>
        <w:rPr>
          <w:rFonts w:eastAsia="Calibri" w:cs="Calibri"/>
        </w:rPr>
      </w:pPr>
      <w:r w:rsidRPr="0C3CBE43">
        <w:rPr>
          <w:rFonts w:eastAsia="Calibri" w:cs="Calibri"/>
        </w:rPr>
        <w:t>Detailed, technical and design-specific issues</w:t>
      </w:r>
      <w:r w:rsidR="00794BD8">
        <w:rPr>
          <w:rStyle w:val="FootnoteReference"/>
          <w:rFonts w:eastAsia="Calibri" w:cs="Calibri"/>
        </w:rPr>
        <w:footnoteReference w:id="12"/>
      </w:r>
      <w:r w:rsidRPr="0C3CBE43">
        <w:rPr>
          <w:rFonts w:eastAsia="Calibri" w:cs="Calibri"/>
        </w:rPr>
        <w:t xml:space="preserve"> will be </w:t>
      </w:r>
      <w:r w:rsidR="58B27D30" w:rsidRPr="0C3CBE43">
        <w:rPr>
          <w:rFonts w:eastAsia="Calibri" w:cs="Calibri"/>
        </w:rPr>
        <w:t xml:space="preserve">explored and </w:t>
      </w:r>
      <w:r w:rsidRPr="0C3CBE43">
        <w:rPr>
          <w:rFonts w:eastAsia="Calibri" w:cs="Calibri"/>
        </w:rPr>
        <w:t>addressed during the design stage</w:t>
      </w:r>
      <w:r w:rsidR="00CB5A85" w:rsidRPr="0C3CBE43">
        <w:rPr>
          <w:rFonts w:eastAsia="Calibri" w:cs="Calibri"/>
        </w:rPr>
        <w:t xml:space="preserve"> in early 2025</w:t>
      </w:r>
      <w:r w:rsidRPr="0C3CBE43">
        <w:rPr>
          <w:rFonts w:eastAsia="Calibri" w:cs="Calibri"/>
        </w:rPr>
        <w:t>.</w:t>
      </w:r>
    </w:p>
    <w:p w14:paraId="35F686CF" w14:textId="12C517A2" w:rsidR="690F0BCA" w:rsidRDefault="00CB5A85" w:rsidP="00CB5A85">
      <w:pPr>
        <w:pStyle w:val="Heading2"/>
      </w:pPr>
      <w:bookmarkStart w:id="19" w:name="_Toc190268258"/>
      <w:r>
        <w:rPr>
          <w:rFonts w:eastAsia="Calibri"/>
        </w:rPr>
        <w:t>Method</w:t>
      </w:r>
      <w:bookmarkEnd w:id="19"/>
      <w:r w:rsidR="690F0BCA" w:rsidRPr="3B0D9F72">
        <w:rPr>
          <w:rFonts w:eastAsia="Calibri"/>
        </w:rPr>
        <w:t xml:space="preserve"> </w:t>
      </w:r>
    </w:p>
    <w:p w14:paraId="6A80D64C" w14:textId="71D686C1" w:rsidR="690F0BCA" w:rsidRDefault="3E25A5E9">
      <w:pPr>
        <w:rPr>
          <w:rFonts w:eastAsia="Calibri"/>
        </w:rPr>
      </w:pPr>
      <w:r w:rsidRPr="2D65516E">
        <w:rPr>
          <w:rFonts w:eastAsia="Calibri"/>
        </w:rPr>
        <w:t xml:space="preserve">The design team was commissioned late October 2024, and rapidly commenced work to prepare a Design Development Plan which set out the overall approach to the design, particularly the review stage. </w:t>
      </w:r>
      <w:r w:rsidR="49337CAD" w:rsidRPr="2D65516E">
        <w:rPr>
          <w:rFonts w:eastAsia="Calibri"/>
        </w:rPr>
        <w:t xml:space="preserve">The review method was primarily a synthesis of existing documentation and evidence, complemented by </w:t>
      </w:r>
      <w:r w:rsidR="46793FBC" w:rsidRPr="2D65516E">
        <w:rPr>
          <w:rFonts w:eastAsia="Calibri"/>
        </w:rPr>
        <w:t xml:space="preserve">targeted </w:t>
      </w:r>
      <w:r w:rsidR="49337CAD" w:rsidRPr="2D65516E">
        <w:rPr>
          <w:rFonts w:eastAsia="Calibri"/>
        </w:rPr>
        <w:t>consultations with select stakeholders</w:t>
      </w:r>
      <w:r w:rsidRPr="2D65516E">
        <w:rPr>
          <w:rStyle w:val="FootnoteReference"/>
          <w:rFonts w:eastAsia="Calibri"/>
        </w:rPr>
        <w:footnoteReference w:id="13"/>
      </w:r>
      <w:r w:rsidR="49337CAD" w:rsidRPr="2D65516E">
        <w:rPr>
          <w:rFonts w:eastAsia="Calibri"/>
        </w:rPr>
        <w:t xml:space="preserve">. </w:t>
      </w:r>
      <w:r w:rsidRPr="2D65516E">
        <w:rPr>
          <w:rFonts w:eastAsia="Calibri"/>
        </w:rPr>
        <w:t>DFAT</w:t>
      </w:r>
      <w:r w:rsidR="10978E43" w:rsidRPr="2D65516E">
        <w:rPr>
          <w:rFonts w:eastAsia="Calibri"/>
        </w:rPr>
        <w:t>,</w:t>
      </w:r>
      <w:r w:rsidR="005B3573" w:rsidRPr="2D65516E">
        <w:rPr>
          <w:rFonts w:eastAsia="Calibri"/>
        </w:rPr>
        <w:t xml:space="preserve"> </w:t>
      </w:r>
      <w:r w:rsidR="5EC77D0E" w:rsidRPr="2D65516E">
        <w:rPr>
          <w:rFonts w:eastAsia="Calibri"/>
        </w:rPr>
        <w:t xml:space="preserve">and </w:t>
      </w:r>
      <w:r w:rsidRPr="2D65516E">
        <w:rPr>
          <w:rFonts w:eastAsia="Calibri"/>
        </w:rPr>
        <w:t xml:space="preserve">the VSP and VAESP teams provided comprehensive document sets for review, and the team and DFAT worked together to plan a one-week program of stakeholder consultations in Port Vila on pre-specified dates (11-14 November) which coincided with the </w:t>
      </w:r>
      <w:r w:rsidR="74235519" w:rsidRPr="2D65516E">
        <w:rPr>
          <w:rFonts w:eastAsia="Calibri"/>
        </w:rPr>
        <w:t>six</w:t>
      </w:r>
      <w:r w:rsidRPr="2D65516E">
        <w:rPr>
          <w:rFonts w:eastAsia="Calibri"/>
        </w:rPr>
        <w:t xml:space="preserve">-monthly VSP reflection and planning week. This timing provided </w:t>
      </w:r>
      <w:r w:rsidR="204133EA" w:rsidRPr="2D65516E">
        <w:rPr>
          <w:rFonts w:eastAsia="Calibri"/>
        </w:rPr>
        <w:t>the</w:t>
      </w:r>
      <w:r w:rsidRPr="2D65516E">
        <w:rPr>
          <w:rFonts w:eastAsia="Calibri"/>
        </w:rPr>
        <w:t xml:space="preserve"> opportunity for the team to engage with officials and staff from the provinces, including Secretaries General and the Provincial Skills </w:t>
      </w:r>
      <w:r w:rsidR="00E34931" w:rsidRPr="2D65516E">
        <w:rPr>
          <w:rFonts w:eastAsia="Calibri"/>
        </w:rPr>
        <w:t>Coordinator</w:t>
      </w:r>
      <w:r w:rsidRPr="2D65516E">
        <w:rPr>
          <w:rFonts w:eastAsia="Calibri"/>
        </w:rPr>
        <w:t>s</w:t>
      </w:r>
      <w:r w:rsidR="204133EA" w:rsidRPr="2D65516E">
        <w:rPr>
          <w:rFonts w:eastAsia="Calibri"/>
        </w:rPr>
        <w:t xml:space="preserve"> without requiring provincial travel</w:t>
      </w:r>
      <w:r w:rsidRPr="2D65516E">
        <w:rPr>
          <w:rFonts w:eastAsia="Calibri"/>
        </w:rPr>
        <w:t xml:space="preserve">. </w:t>
      </w:r>
    </w:p>
    <w:p w14:paraId="7621EA6A" w14:textId="1D6A5ABF" w:rsidR="690F0BCA" w:rsidRDefault="690F0BCA" w:rsidP="3B0D9F72">
      <w:r w:rsidRPr="3B0D9F72">
        <w:rPr>
          <w:rFonts w:eastAsia="Calibri" w:cs="Calibri"/>
        </w:rPr>
        <w:t xml:space="preserve">The structure of review consultations was designed to enable stakeholders to share openly their views on successes and challenges, </w:t>
      </w:r>
      <w:proofErr w:type="gramStart"/>
      <w:r w:rsidRPr="3B0D9F72">
        <w:rPr>
          <w:rFonts w:eastAsia="Calibri" w:cs="Calibri"/>
        </w:rPr>
        <w:t>taking into account</w:t>
      </w:r>
      <w:proofErr w:type="gramEnd"/>
      <w:r w:rsidRPr="3B0D9F72">
        <w:rPr>
          <w:rFonts w:eastAsia="Calibri" w:cs="Calibri"/>
        </w:rPr>
        <w:t xml:space="preserve"> local protocols and power dynamics. A mix of individual and group consultations were conducted and the team worked to ensure cultural protocols were followed to create a respectful environment for discussion. </w:t>
      </w:r>
    </w:p>
    <w:p w14:paraId="37965445" w14:textId="0C81238E" w:rsidR="690F0BCA" w:rsidRDefault="3E25A5E9" w:rsidP="3B0D9F72">
      <w:r w:rsidRPr="3B0D9F72">
        <w:rPr>
          <w:rFonts w:eastAsia="Calibri" w:cs="Calibri"/>
        </w:rPr>
        <w:t xml:space="preserve">The review included more than 30 consultation meetings with over </w:t>
      </w:r>
      <w:r w:rsidR="5327D137" w:rsidRPr="3B0D9F72">
        <w:rPr>
          <w:rFonts w:eastAsia="Calibri" w:cs="Calibri"/>
        </w:rPr>
        <w:t xml:space="preserve">80 </w:t>
      </w:r>
      <w:r w:rsidRPr="3B0D9F72">
        <w:rPr>
          <w:rFonts w:eastAsia="Calibri" w:cs="Calibri"/>
        </w:rPr>
        <w:t>people</w:t>
      </w:r>
      <w:r w:rsidR="00B158C6">
        <w:rPr>
          <w:rStyle w:val="FootnoteReference"/>
          <w:rFonts w:eastAsia="Calibri" w:cs="Calibri"/>
        </w:rPr>
        <w:footnoteReference w:id="14"/>
      </w:r>
      <w:r w:rsidRPr="3B0D9F72">
        <w:rPr>
          <w:rFonts w:eastAsia="Calibri" w:cs="Calibri"/>
        </w:rPr>
        <w:t xml:space="preserve">, including: </w:t>
      </w:r>
    </w:p>
    <w:p w14:paraId="004527A5" w14:textId="1D08C316" w:rsidR="690F0BCA" w:rsidRDefault="3E25A5E9" w:rsidP="3B0D9F72">
      <w:pPr>
        <w:pStyle w:val="ListParagraph"/>
        <w:numPr>
          <w:ilvl w:val="0"/>
          <w:numId w:val="24"/>
        </w:numPr>
        <w:spacing w:before="0" w:after="0"/>
        <w:rPr>
          <w:rFonts w:eastAsia="Calibri" w:cs="Calibri"/>
        </w:rPr>
      </w:pPr>
      <w:proofErr w:type="spellStart"/>
      <w:r w:rsidRPr="3326E6A4">
        <w:rPr>
          <w:rFonts w:eastAsia="Calibri" w:cs="Calibri"/>
        </w:rPr>
        <w:t>GoV</w:t>
      </w:r>
      <w:proofErr w:type="spellEnd"/>
      <w:r w:rsidRPr="3326E6A4">
        <w:rPr>
          <w:rFonts w:eastAsia="Calibri" w:cs="Calibri"/>
        </w:rPr>
        <w:t xml:space="preserve"> (including </w:t>
      </w:r>
      <w:proofErr w:type="spellStart"/>
      <w:r w:rsidRPr="3326E6A4">
        <w:rPr>
          <w:rFonts w:eastAsia="Calibri" w:cs="Calibri"/>
        </w:rPr>
        <w:t>MoET</w:t>
      </w:r>
      <w:proofErr w:type="spellEnd"/>
      <w:r w:rsidRPr="3326E6A4">
        <w:rPr>
          <w:rFonts w:eastAsia="Calibri" w:cs="Calibri"/>
        </w:rPr>
        <w:t xml:space="preserve">, Provincial Governments, </w:t>
      </w:r>
      <w:r w:rsidR="4271763F" w:rsidRPr="3326E6A4">
        <w:rPr>
          <w:rFonts w:eastAsia="Calibri" w:cs="Calibri"/>
        </w:rPr>
        <w:t>Ministry of Justice and Community Services (</w:t>
      </w:r>
      <w:proofErr w:type="spellStart"/>
      <w:r w:rsidR="4271763F" w:rsidRPr="3326E6A4">
        <w:rPr>
          <w:rFonts w:eastAsia="Calibri" w:cs="Calibri"/>
        </w:rPr>
        <w:t>MoJCS</w:t>
      </w:r>
      <w:proofErr w:type="spellEnd"/>
      <w:r w:rsidR="4271763F" w:rsidRPr="3326E6A4">
        <w:rPr>
          <w:rFonts w:eastAsia="Calibri" w:cs="Calibri"/>
        </w:rPr>
        <w:t>)</w:t>
      </w:r>
      <w:r w:rsidRPr="3326E6A4">
        <w:rPr>
          <w:rFonts w:eastAsia="Calibri" w:cs="Calibri"/>
        </w:rPr>
        <w:t xml:space="preserve">, Departments of Agriculture and Tourism, </w:t>
      </w:r>
      <w:r w:rsidR="271B61A8" w:rsidRPr="3326E6A4">
        <w:rPr>
          <w:rFonts w:eastAsia="Calibri" w:cs="Calibri"/>
        </w:rPr>
        <w:t>Vanuatu Institute of Public Administration and Management (</w:t>
      </w:r>
      <w:r w:rsidRPr="3326E6A4">
        <w:rPr>
          <w:rFonts w:eastAsia="Calibri" w:cs="Calibri"/>
        </w:rPr>
        <w:t xml:space="preserve">VIPAM) </w:t>
      </w:r>
    </w:p>
    <w:p w14:paraId="073BAF4D" w14:textId="5A0F6CA9" w:rsidR="690F0BCA" w:rsidRDefault="690F0BCA" w:rsidP="3B0D9F72">
      <w:pPr>
        <w:pStyle w:val="ListParagraph"/>
        <w:numPr>
          <w:ilvl w:val="0"/>
          <w:numId w:val="24"/>
        </w:numPr>
        <w:spacing w:before="0" w:after="0"/>
        <w:rPr>
          <w:rFonts w:eastAsia="Calibri" w:cs="Calibri"/>
        </w:rPr>
      </w:pPr>
      <w:r w:rsidRPr="3B0D9F72">
        <w:rPr>
          <w:rFonts w:eastAsia="Calibri" w:cs="Calibri"/>
        </w:rPr>
        <w:t xml:space="preserve">DFAT-supported programs (VAESP including Australia Awards, VSP, </w:t>
      </w:r>
      <w:r w:rsidR="000B7080">
        <w:rPr>
          <w:rFonts w:eastAsia="Calibri" w:cs="Calibri"/>
        </w:rPr>
        <w:t>Governance for Growth</w:t>
      </w:r>
      <w:r w:rsidRPr="3B0D9F72">
        <w:rPr>
          <w:rFonts w:eastAsia="Calibri" w:cs="Calibri"/>
        </w:rPr>
        <w:t>)</w:t>
      </w:r>
    </w:p>
    <w:p w14:paraId="2F8AE66C" w14:textId="366E4000" w:rsidR="690F0BCA" w:rsidRDefault="30E31350" w:rsidP="3B0D9F72">
      <w:pPr>
        <w:pStyle w:val="ListParagraph"/>
        <w:numPr>
          <w:ilvl w:val="0"/>
          <w:numId w:val="24"/>
        </w:numPr>
        <w:spacing w:before="0" w:after="0"/>
        <w:rPr>
          <w:rFonts w:eastAsia="Calibri" w:cs="Calibri"/>
        </w:rPr>
      </w:pPr>
      <w:r w:rsidRPr="3326E6A4">
        <w:rPr>
          <w:rFonts w:eastAsia="Calibri" w:cs="Calibri"/>
        </w:rPr>
        <w:t>National University of Vanuatu (</w:t>
      </w:r>
      <w:r w:rsidR="3E25A5E9" w:rsidRPr="3326E6A4">
        <w:rPr>
          <w:rFonts w:eastAsia="Calibri" w:cs="Calibri"/>
        </w:rPr>
        <w:t>NUV</w:t>
      </w:r>
      <w:r w:rsidR="4CABCE7F" w:rsidRPr="3326E6A4">
        <w:rPr>
          <w:rFonts w:eastAsia="Calibri" w:cs="Calibri"/>
        </w:rPr>
        <w:t>)</w:t>
      </w:r>
      <w:r w:rsidR="3E25A5E9" w:rsidRPr="3326E6A4">
        <w:rPr>
          <w:rFonts w:eastAsia="Calibri" w:cs="Calibri"/>
        </w:rPr>
        <w:t xml:space="preserve">, </w:t>
      </w:r>
      <w:r w:rsidR="079039B7" w:rsidRPr="3326E6A4">
        <w:rPr>
          <w:rFonts w:eastAsia="Calibri" w:cs="Calibri"/>
        </w:rPr>
        <w:t>Vanuatu Qualifications Authority (</w:t>
      </w:r>
      <w:r w:rsidR="3E25A5E9" w:rsidRPr="3326E6A4">
        <w:rPr>
          <w:rFonts w:eastAsia="Calibri" w:cs="Calibri"/>
        </w:rPr>
        <w:t>VQA</w:t>
      </w:r>
      <w:r w:rsidR="2189B3C0" w:rsidRPr="3326E6A4">
        <w:rPr>
          <w:rFonts w:eastAsia="Calibri" w:cs="Calibri"/>
        </w:rPr>
        <w:t>)</w:t>
      </w:r>
      <w:r w:rsidR="3E25A5E9" w:rsidRPr="3326E6A4">
        <w:rPr>
          <w:rFonts w:eastAsia="Calibri" w:cs="Calibri"/>
        </w:rPr>
        <w:t xml:space="preserve">, </w:t>
      </w:r>
      <w:r w:rsidR="54BA32B1" w:rsidRPr="3326E6A4">
        <w:rPr>
          <w:rFonts w:eastAsia="Calibri" w:cs="Calibri"/>
        </w:rPr>
        <w:t xml:space="preserve">New Zealand’s Ministry of </w:t>
      </w:r>
      <w:r w:rsidR="712861FC" w:rsidRPr="3326E6A4">
        <w:rPr>
          <w:rFonts w:eastAsia="Calibri" w:cs="Calibri"/>
        </w:rPr>
        <w:t>Foreign</w:t>
      </w:r>
      <w:r w:rsidR="54BA32B1" w:rsidRPr="3326E6A4">
        <w:rPr>
          <w:rFonts w:eastAsia="Calibri" w:cs="Calibri"/>
        </w:rPr>
        <w:t xml:space="preserve"> Affairs and Trade (</w:t>
      </w:r>
      <w:r w:rsidR="3E25A5E9" w:rsidRPr="3326E6A4">
        <w:rPr>
          <w:rFonts w:eastAsia="Calibri" w:cs="Calibri"/>
        </w:rPr>
        <w:t>MFAT</w:t>
      </w:r>
      <w:r w:rsidR="35B20DF1" w:rsidRPr="3326E6A4">
        <w:rPr>
          <w:rFonts w:eastAsia="Calibri" w:cs="Calibri"/>
        </w:rPr>
        <w:t>)</w:t>
      </w:r>
      <w:r w:rsidR="3E25A5E9" w:rsidRPr="3326E6A4">
        <w:rPr>
          <w:rFonts w:eastAsia="Calibri" w:cs="Calibri"/>
        </w:rPr>
        <w:t>, Civil Society (</w:t>
      </w:r>
      <w:r w:rsidR="5632ED9D" w:rsidRPr="3326E6A4">
        <w:rPr>
          <w:rFonts w:eastAsia="Calibri" w:cs="Calibri"/>
        </w:rPr>
        <w:t>Vanuatu Society for People with Disability (</w:t>
      </w:r>
      <w:r w:rsidR="3E25A5E9" w:rsidRPr="3326E6A4">
        <w:rPr>
          <w:rFonts w:eastAsia="Calibri" w:cs="Calibri"/>
        </w:rPr>
        <w:t>VSPD</w:t>
      </w:r>
      <w:r w:rsidR="1F2C9B64" w:rsidRPr="3326E6A4">
        <w:rPr>
          <w:rFonts w:eastAsia="Calibri" w:cs="Calibri"/>
        </w:rPr>
        <w:t>)</w:t>
      </w:r>
      <w:r w:rsidR="3E25A5E9" w:rsidRPr="3326E6A4">
        <w:rPr>
          <w:rFonts w:eastAsia="Calibri" w:cs="Calibri"/>
        </w:rPr>
        <w:t xml:space="preserve">, </w:t>
      </w:r>
      <w:r w:rsidR="12E6F78E" w:rsidRPr="3326E6A4">
        <w:rPr>
          <w:rFonts w:eastAsia="Calibri" w:cs="Calibri"/>
        </w:rPr>
        <w:t>Adventist Development Relief Agency (</w:t>
      </w:r>
      <w:r w:rsidR="3E25A5E9" w:rsidRPr="3326E6A4">
        <w:rPr>
          <w:rFonts w:eastAsia="Calibri" w:cs="Calibri"/>
        </w:rPr>
        <w:t>ADRA)</w:t>
      </w:r>
    </w:p>
    <w:p w14:paraId="63BA2A04" w14:textId="2F710F61" w:rsidR="690F0BCA" w:rsidRDefault="3E25A5E9" w:rsidP="3B0D9F72">
      <w:pPr>
        <w:rPr>
          <w:rFonts w:eastAsia="Calibri" w:cs="Calibri"/>
        </w:rPr>
      </w:pPr>
      <w:r w:rsidRPr="6FCA30B7">
        <w:rPr>
          <w:rFonts w:eastAsia="Calibri" w:cs="Calibri"/>
        </w:rPr>
        <w:t xml:space="preserve">The Australia-based </w:t>
      </w:r>
      <w:r w:rsidR="0028242C" w:rsidRPr="6FCA30B7">
        <w:rPr>
          <w:rFonts w:eastAsia="Calibri" w:cs="Calibri"/>
        </w:rPr>
        <w:t xml:space="preserve">design </w:t>
      </w:r>
      <w:r w:rsidRPr="6FCA30B7">
        <w:rPr>
          <w:rFonts w:eastAsia="Calibri" w:cs="Calibri"/>
        </w:rPr>
        <w:t>team</w:t>
      </w:r>
      <w:r w:rsidR="0028242C" w:rsidRPr="6FCA30B7">
        <w:rPr>
          <w:rFonts w:eastAsia="Calibri" w:cs="Calibri"/>
        </w:rPr>
        <w:t xml:space="preserve"> members </w:t>
      </w:r>
      <w:r w:rsidRPr="6FCA30B7">
        <w:rPr>
          <w:rFonts w:eastAsia="Calibri" w:cs="Calibri"/>
        </w:rPr>
        <w:t xml:space="preserve">also held follow up discussions with some stakeholders </w:t>
      </w:r>
      <w:r w:rsidR="2D8DC771" w:rsidRPr="6FCA30B7">
        <w:rPr>
          <w:rFonts w:eastAsia="Calibri" w:cs="Calibri"/>
        </w:rPr>
        <w:t>during the</w:t>
      </w:r>
      <w:r w:rsidR="764EA433" w:rsidRPr="6FCA30B7">
        <w:rPr>
          <w:rFonts w:eastAsia="Calibri" w:cs="Calibri"/>
        </w:rPr>
        <w:t xml:space="preserve"> </w:t>
      </w:r>
      <w:r w:rsidRPr="6FCA30B7">
        <w:rPr>
          <w:rFonts w:eastAsia="Calibri" w:cs="Calibri"/>
        </w:rPr>
        <w:t xml:space="preserve">margins of the Oceania Comparative and International Education Society Conference </w:t>
      </w:r>
      <w:r w:rsidR="2D971708" w:rsidRPr="6FCA30B7">
        <w:rPr>
          <w:rFonts w:eastAsia="Calibri" w:cs="Calibri"/>
        </w:rPr>
        <w:t xml:space="preserve">in </w:t>
      </w:r>
      <w:r w:rsidRPr="6FCA30B7">
        <w:rPr>
          <w:rFonts w:eastAsia="Calibri" w:cs="Calibri"/>
        </w:rPr>
        <w:t xml:space="preserve">Melbourne </w:t>
      </w:r>
      <w:r w:rsidR="0A53B6AA" w:rsidRPr="6FCA30B7">
        <w:rPr>
          <w:rFonts w:eastAsia="Calibri" w:cs="Calibri"/>
        </w:rPr>
        <w:t xml:space="preserve">during </w:t>
      </w:r>
      <w:r w:rsidRPr="6FCA30B7">
        <w:rPr>
          <w:rFonts w:eastAsia="Calibri" w:cs="Calibri"/>
        </w:rPr>
        <w:t xml:space="preserve">the week of 25 November. </w:t>
      </w:r>
    </w:p>
    <w:p w14:paraId="273888E9" w14:textId="5BC5B196" w:rsidR="7EAB0AB4" w:rsidRPr="00225BBD" w:rsidRDefault="006932D5" w:rsidP="00225BBD">
      <w:pPr>
        <w:rPr>
          <w:rFonts w:eastAsiaTheme="majorEastAsia" w:cstheme="majorBidi"/>
        </w:rPr>
      </w:pPr>
      <w:r>
        <w:t xml:space="preserve">The draft report was </w:t>
      </w:r>
      <w:r w:rsidR="7EAB0AB4" w:rsidRPr="6FCA30B7">
        <w:t>submitted for review. Feedback was received from Post</w:t>
      </w:r>
      <w:r w:rsidR="4F3A2619" w:rsidRPr="6FCA30B7">
        <w:t xml:space="preserve">, including the </w:t>
      </w:r>
      <w:r w:rsidR="64C049EB" w:rsidRPr="6FCA30B7">
        <w:t xml:space="preserve">Strategic </w:t>
      </w:r>
      <w:r w:rsidR="4F3A2619" w:rsidRPr="6FCA30B7">
        <w:t>Education and Skills Adviser</w:t>
      </w:r>
      <w:r w:rsidR="7EAB0AB4" w:rsidRPr="6FCA30B7">
        <w:t>, DFAT’s Education</w:t>
      </w:r>
      <w:r w:rsidR="0AC862FB" w:rsidRPr="6FCA30B7">
        <w:t xml:space="preserve">, </w:t>
      </w:r>
      <w:r w:rsidR="78C8141C" w:rsidRPr="6FCA30B7">
        <w:t xml:space="preserve">Design, </w:t>
      </w:r>
      <w:r w:rsidR="0AC862FB" w:rsidRPr="6FCA30B7">
        <w:t>GEDSI and Climate Change representatives</w:t>
      </w:r>
      <w:r w:rsidR="5531A6CF" w:rsidRPr="6FCA30B7">
        <w:t xml:space="preserve"> and VAESP’s Independent Education Specialist</w:t>
      </w:r>
      <w:r w:rsidR="0AC862FB" w:rsidRPr="6FCA30B7">
        <w:t xml:space="preserve">. </w:t>
      </w:r>
      <w:r w:rsidR="13D4341A" w:rsidRPr="6FCA30B7">
        <w:t xml:space="preserve">The final report responds to and incorporates this feedback. </w:t>
      </w:r>
    </w:p>
    <w:p w14:paraId="4DE24B83" w14:textId="60EF7BDB" w:rsidR="690F0BCA" w:rsidRDefault="690F0BCA" w:rsidP="3B0D9F72">
      <w:pPr>
        <w:pStyle w:val="Heading3"/>
        <w:rPr>
          <w:rFonts w:ascii="Century Gothic" w:eastAsia="Century Gothic" w:hAnsi="Century Gothic" w:cs="Century Gothic"/>
        </w:rPr>
      </w:pPr>
      <w:r w:rsidRPr="3B0D9F72">
        <w:rPr>
          <w:rFonts w:ascii="Century Gothic" w:eastAsia="Century Gothic" w:hAnsi="Century Gothic" w:cs="Century Gothic"/>
        </w:rPr>
        <w:t>Limitations</w:t>
      </w:r>
    </w:p>
    <w:p w14:paraId="201CAAD5" w14:textId="4F73C9D0" w:rsidR="690F0BCA" w:rsidRDefault="3E25A5E9" w:rsidP="3326E6A4">
      <w:pPr>
        <w:rPr>
          <w:rFonts w:eastAsia="Calibri"/>
        </w:rPr>
      </w:pPr>
      <w:r w:rsidRPr="3326E6A4">
        <w:rPr>
          <w:rFonts w:eastAsia="Calibri"/>
        </w:rPr>
        <w:t>Limitations to the review stage mainly result</w:t>
      </w:r>
      <w:r w:rsidR="7D884B38" w:rsidRPr="3326E6A4">
        <w:rPr>
          <w:rFonts w:eastAsia="Calibri"/>
        </w:rPr>
        <w:t>ed</w:t>
      </w:r>
      <w:r w:rsidRPr="3326E6A4">
        <w:rPr>
          <w:rFonts w:eastAsia="Calibri"/>
        </w:rPr>
        <w:t xml:space="preserve"> from the truncated timeframes for planning and implementation after the awarding of the contract. The timeframes were specified to ensure DFAT could finalise the review before the end of 2024. As a result</w:t>
      </w:r>
      <w:r w:rsidR="05794870" w:rsidRPr="3326E6A4">
        <w:rPr>
          <w:rFonts w:eastAsia="Calibri"/>
        </w:rPr>
        <w:t>, the</w:t>
      </w:r>
      <w:r w:rsidRPr="3326E6A4">
        <w:rPr>
          <w:rFonts w:eastAsia="Calibri"/>
        </w:rPr>
        <w:t xml:space="preserve"> document review was necessarily limited, focused on high priority documents and targeted sources for individual team members. </w:t>
      </w:r>
    </w:p>
    <w:p w14:paraId="7BC797F4" w14:textId="4694CBA2" w:rsidR="3B0D9F72" w:rsidRPr="008C0705" w:rsidRDefault="690F0BCA">
      <w:pPr>
        <w:rPr>
          <w:rFonts w:eastAsia="Calibri"/>
        </w:rPr>
      </w:pPr>
      <w:r w:rsidRPr="3B0D9F72">
        <w:rPr>
          <w:rFonts w:eastAsia="Calibri"/>
        </w:rPr>
        <w:t xml:space="preserve">The review process was also limited by constraints in the </w:t>
      </w:r>
      <w:r w:rsidR="0028242C">
        <w:rPr>
          <w:rFonts w:eastAsia="Calibri"/>
        </w:rPr>
        <w:t xml:space="preserve">design </w:t>
      </w:r>
      <w:r w:rsidRPr="3B0D9F72">
        <w:rPr>
          <w:rFonts w:eastAsia="Calibri"/>
        </w:rPr>
        <w:t xml:space="preserve">Team Leader’s availability. She was unavailable to travel </w:t>
      </w:r>
      <w:r w:rsidR="3D4AB54E" w:rsidRPr="3B0D9F72">
        <w:rPr>
          <w:rFonts w:eastAsia="Calibri"/>
        </w:rPr>
        <w:t xml:space="preserve">to Vanuatu </w:t>
      </w:r>
      <w:r w:rsidRPr="3B0D9F72">
        <w:rPr>
          <w:rFonts w:eastAsia="Calibri"/>
        </w:rPr>
        <w:t xml:space="preserve">for the required consultation dates, so the first round of </w:t>
      </w:r>
      <w:r w:rsidR="013AF8ED" w:rsidRPr="3B0D9F72">
        <w:rPr>
          <w:rFonts w:eastAsia="Calibri"/>
        </w:rPr>
        <w:t xml:space="preserve">in-country </w:t>
      </w:r>
      <w:r w:rsidRPr="3B0D9F72">
        <w:rPr>
          <w:rFonts w:eastAsia="Calibri"/>
        </w:rPr>
        <w:t xml:space="preserve">consultations was undertaken by the remainder of the core team, with the Team Leader contributing remotely during that week. That said, the consultations team undertook </w:t>
      </w:r>
      <w:r w:rsidR="00B158C6">
        <w:rPr>
          <w:rFonts w:eastAsia="Calibri"/>
        </w:rPr>
        <w:t>targeted</w:t>
      </w:r>
      <w:r w:rsidRPr="3B0D9F72">
        <w:rPr>
          <w:rFonts w:eastAsia="Calibri"/>
        </w:rPr>
        <w:t xml:space="preserve"> data </w:t>
      </w:r>
      <w:r w:rsidR="00B158C6" w:rsidRPr="3B0D9F72">
        <w:rPr>
          <w:rFonts w:eastAsia="Calibri"/>
        </w:rPr>
        <w:t>collection,</w:t>
      </w:r>
      <w:r w:rsidRPr="3B0D9F72">
        <w:rPr>
          <w:rFonts w:eastAsia="Calibri"/>
        </w:rPr>
        <w:t xml:space="preserve"> and the synthesis of findings has been collaborative </w:t>
      </w:r>
      <w:r w:rsidR="000B7080">
        <w:rPr>
          <w:rFonts w:eastAsia="Calibri"/>
        </w:rPr>
        <w:t>across</w:t>
      </w:r>
      <w:r w:rsidR="6D32213B" w:rsidRPr="3B0D9F72">
        <w:rPr>
          <w:rFonts w:eastAsia="Calibri"/>
        </w:rPr>
        <w:t xml:space="preserve"> </w:t>
      </w:r>
      <w:r w:rsidRPr="3B0D9F72">
        <w:rPr>
          <w:rFonts w:eastAsia="Calibri"/>
        </w:rPr>
        <w:t>the whole team. The review stage was always intended to be a high-level synthesis based on document review and consultations with key stakeholders, with the greater focus for the team being the design stage.</w:t>
      </w:r>
    </w:p>
    <w:bookmarkStart w:id="20" w:name="_Toc190268259"/>
    <w:p w14:paraId="1B1A26F5" w14:textId="5554EA2E" w:rsidR="005B7138" w:rsidRDefault="00707464" w:rsidP="00F15637">
      <w:pPr>
        <w:pStyle w:val="Heading1"/>
      </w:pPr>
      <w:r w:rsidRPr="0065380F">
        <w:rPr>
          <w:noProof/>
        </w:rPr>
        <mc:AlternateContent>
          <mc:Choice Requires="wps">
            <w:drawing>
              <wp:anchor distT="0" distB="0" distL="114300" distR="114300" simplePos="0" relativeHeight="251670528" behindDoc="0" locked="0" layoutInCell="1" allowOverlap="1" wp14:anchorId="6E2568D3" wp14:editId="30772B91">
                <wp:simplePos x="0" y="0"/>
                <wp:positionH relativeFrom="column">
                  <wp:posOffset>-933450</wp:posOffset>
                </wp:positionH>
                <wp:positionV relativeFrom="paragraph">
                  <wp:posOffset>121663</wp:posOffset>
                </wp:positionV>
                <wp:extent cx="541421" cy="475248"/>
                <wp:effectExtent l="0" t="0" r="5080" b="0"/>
                <wp:wrapNone/>
                <wp:docPr id="1726646553" name="Rectangle 1726646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B6260" id="Rectangle 1726646553" o:spid="_x0000_s1026" alt="&quot;&quot;" style="position:absolute;margin-left:-73.5pt;margin-top:9.6pt;width:42.65pt;height:37.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" fillcolor="#ffb200" stroked="f" strokeweight="2pt"/>
            </w:pict>
          </mc:Fallback>
        </mc:AlternateContent>
      </w:r>
      <w:r w:rsidR="005B7138">
        <w:t>Findings</w:t>
      </w:r>
      <w:bookmarkEnd w:id="20"/>
      <w:r w:rsidR="005B7138">
        <w:t xml:space="preserve"> </w:t>
      </w:r>
    </w:p>
    <w:p w14:paraId="495AB787" w14:textId="0C68A244" w:rsidR="10ED90BE" w:rsidRDefault="10ED90BE" w:rsidP="00010DEA">
      <w:r w:rsidRPr="3B0D9F72">
        <w:rPr>
          <w:rFonts w:eastAsia="Calibri"/>
        </w:rPr>
        <w:t xml:space="preserve">Based on the targeted document review and stakeholder consultations, the design team has synthesised the primary strengths of both current </w:t>
      </w:r>
      <w:proofErr w:type="gramStart"/>
      <w:r w:rsidRPr="3B0D9F72">
        <w:rPr>
          <w:rFonts w:eastAsia="Calibri"/>
        </w:rPr>
        <w:t>investments, and</w:t>
      </w:r>
      <w:proofErr w:type="gramEnd"/>
      <w:r w:rsidRPr="3B0D9F72">
        <w:rPr>
          <w:rFonts w:eastAsia="Calibri"/>
        </w:rPr>
        <w:t xml:space="preserve"> identified the main issues </w:t>
      </w:r>
      <w:r w:rsidR="000B7080">
        <w:rPr>
          <w:rFonts w:eastAsia="Calibri"/>
        </w:rPr>
        <w:t>for the</w:t>
      </w:r>
      <w:r w:rsidRPr="3B0D9F72">
        <w:rPr>
          <w:rFonts w:eastAsia="Calibri"/>
        </w:rPr>
        <w:t xml:space="preserve"> design to address.</w:t>
      </w:r>
    </w:p>
    <w:p w14:paraId="1C2E85D9" w14:textId="376671D8" w:rsidR="005B7138" w:rsidRDefault="00F15637" w:rsidP="00F15637">
      <w:pPr>
        <w:pStyle w:val="Heading2"/>
      </w:pPr>
      <w:bookmarkStart w:id="21" w:name="_Toc190268260"/>
      <w:r>
        <w:t>Education sector support: VAESP</w:t>
      </w:r>
      <w:r w:rsidR="00222007">
        <w:t xml:space="preserve">, including </w:t>
      </w:r>
      <w:r w:rsidR="00C47B7E">
        <w:t xml:space="preserve">the </w:t>
      </w:r>
      <w:r>
        <w:t>DFA</w:t>
      </w:r>
      <w:bookmarkEnd w:id="21"/>
      <w:r>
        <w:t xml:space="preserve"> </w:t>
      </w:r>
    </w:p>
    <w:p w14:paraId="6C8703B3" w14:textId="702550CD" w:rsidR="09A087B5" w:rsidRDefault="36DAD5C2" w:rsidP="3326E6A4">
      <w:r>
        <w:t>There are several</w:t>
      </w:r>
      <w:r w:rsidR="63136226">
        <w:t xml:space="preserve"> key strengths in the current </w:t>
      </w:r>
      <w:r w:rsidR="4380D0F2">
        <w:t xml:space="preserve">education sector </w:t>
      </w:r>
      <w:r w:rsidR="63136226">
        <w:t xml:space="preserve">investment, as well as a set of key issues which the future design will need to </w:t>
      </w:r>
      <w:r w:rsidR="7EB7FD3A">
        <w:t>consider</w:t>
      </w:r>
      <w:r w:rsidR="63136226">
        <w:t xml:space="preserve"> and respond to </w:t>
      </w:r>
      <w:proofErr w:type="gramStart"/>
      <w:r w:rsidR="63136226">
        <w:t>in order to</w:t>
      </w:r>
      <w:proofErr w:type="gramEnd"/>
      <w:r w:rsidR="63136226">
        <w:t xml:space="preserve"> enhance </w:t>
      </w:r>
      <w:r w:rsidR="3AA897C0">
        <w:t xml:space="preserve">outcomes. </w:t>
      </w:r>
    </w:p>
    <w:p w14:paraId="65842AD4" w14:textId="76A9B9AA" w:rsidR="00F15637" w:rsidRDefault="009803A7" w:rsidP="009803A7">
      <w:pPr>
        <w:pStyle w:val="Heading3"/>
      </w:pPr>
      <w:r>
        <w:t>Strengths</w:t>
      </w:r>
    </w:p>
    <w:p w14:paraId="5CCF22BC" w14:textId="68038728" w:rsidR="009803A7" w:rsidRDefault="009803A7" w:rsidP="3B0D9F72">
      <w:pPr>
        <w:pStyle w:val="ListParagraph"/>
        <w:numPr>
          <w:ilvl w:val="0"/>
          <w:numId w:val="26"/>
        </w:numPr>
        <w:spacing w:line="240" w:lineRule="auto"/>
        <w:rPr>
          <w:b/>
          <w:bCs/>
        </w:rPr>
      </w:pPr>
      <w:r w:rsidRPr="3B0D9F72">
        <w:rPr>
          <w:b/>
          <w:bCs/>
        </w:rPr>
        <w:t>Mixed modality design is well suited to complexity</w:t>
      </w:r>
      <w:r w:rsidR="393D7195" w:rsidRPr="3B0D9F72">
        <w:rPr>
          <w:b/>
          <w:bCs/>
        </w:rPr>
        <w:t xml:space="preserve"> and </w:t>
      </w:r>
      <w:r w:rsidR="7A4B00C6" w:rsidRPr="3B0D9F72">
        <w:rPr>
          <w:b/>
          <w:bCs/>
        </w:rPr>
        <w:t xml:space="preserve">has </w:t>
      </w:r>
      <w:r w:rsidR="393D7195" w:rsidRPr="3B0D9F72">
        <w:rPr>
          <w:b/>
          <w:bCs/>
        </w:rPr>
        <w:t>efficiencies</w:t>
      </w:r>
      <w:r w:rsidRPr="3B0D9F72">
        <w:rPr>
          <w:b/>
          <w:bCs/>
        </w:rPr>
        <w:t xml:space="preserve"> </w:t>
      </w:r>
    </w:p>
    <w:p w14:paraId="24F3B58C" w14:textId="77777777" w:rsidR="00172432" w:rsidRDefault="35EB48F4" w:rsidP="00010DEA">
      <w:r>
        <w:t xml:space="preserve">VAESP is delivered through mixed modalities: </w:t>
      </w:r>
    </w:p>
    <w:p w14:paraId="2033656B" w14:textId="71FC6D26" w:rsidR="00172432" w:rsidRDefault="30F2583B" w:rsidP="00172432">
      <w:pPr>
        <w:pStyle w:val="ListParagraph"/>
        <w:numPr>
          <w:ilvl w:val="0"/>
          <w:numId w:val="87"/>
        </w:numPr>
      </w:pPr>
      <w:r>
        <w:t xml:space="preserve">an </w:t>
      </w:r>
      <w:r w:rsidR="66516DD0">
        <w:t xml:space="preserve">MC, </w:t>
      </w:r>
      <w:r w:rsidR="3B94C343">
        <w:t>which</w:t>
      </w:r>
      <w:r w:rsidR="7AF773F3">
        <w:t xml:space="preserve"> manages </w:t>
      </w:r>
      <w:r w:rsidR="42CF3294">
        <w:t xml:space="preserve">financial and </w:t>
      </w:r>
      <w:r w:rsidR="7AF773F3">
        <w:t xml:space="preserve">technical assistance </w:t>
      </w:r>
      <w:r w:rsidR="7F7FCDCA">
        <w:t xml:space="preserve">(both local and international) </w:t>
      </w:r>
      <w:r w:rsidR="7AF773F3">
        <w:t xml:space="preserve">to </w:t>
      </w:r>
      <w:proofErr w:type="spellStart"/>
      <w:r w:rsidR="7AF773F3">
        <w:t>MoET</w:t>
      </w:r>
      <w:proofErr w:type="spellEnd"/>
      <w:r w:rsidR="3CA585CB">
        <w:t xml:space="preserve"> </w:t>
      </w:r>
      <w:r w:rsidR="7AF773F3">
        <w:t xml:space="preserve">and </w:t>
      </w:r>
      <w:r w:rsidR="3B94C343">
        <w:t xml:space="preserve">the </w:t>
      </w:r>
      <w:r w:rsidR="7AF773F3">
        <w:t>administration of Australia Awards Vanuatu (AAV)</w:t>
      </w:r>
      <w:r w:rsidR="3B94C343">
        <w:t xml:space="preserve"> </w:t>
      </w:r>
      <w:r w:rsidR="7AF773F3">
        <w:t>(AUD47m</w:t>
      </w:r>
      <w:proofErr w:type="gramStart"/>
      <w:r w:rsidR="7AF773F3">
        <w:t>);</w:t>
      </w:r>
      <w:proofErr w:type="gramEnd"/>
    </w:p>
    <w:p w14:paraId="76671F26" w14:textId="23B01000" w:rsidR="00172432" w:rsidRDefault="35EB48F4" w:rsidP="00172432">
      <w:pPr>
        <w:pStyle w:val="ListParagraph"/>
        <w:numPr>
          <w:ilvl w:val="0"/>
          <w:numId w:val="87"/>
        </w:numPr>
      </w:pPr>
      <w:r>
        <w:t>Direct</w:t>
      </w:r>
      <w:r w:rsidR="574353B7">
        <w:t xml:space="preserve"> </w:t>
      </w:r>
      <w:r>
        <w:t>Funding Arrangement</w:t>
      </w:r>
      <w:r w:rsidR="006F4327">
        <w:t>s</w:t>
      </w:r>
      <w:r>
        <w:t xml:space="preserve"> (DFA) between DFAT and </w:t>
      </w:r>
      <w:proofErr w:type="spellStart"/>
      <w:r>
        <w:t>MoET</w:t>
      </w:r>
      <w:proofErr w:type="spellEnd"/>
      <w:r>
        <w:t xml:space="preserve"> (AUD</w:t>
      </w:r>
      <w:r w:rsidR="006F4327">
        <w:t>54.3</w:t>
      </w:r>
      <w:r>
        <w:t xml:space="preserve">m) </w:t>
      </w:r>
      <w:r w:rsidR="00010DEA">
        <w:t xml:space="preserve">which </w:t>
      </w:r>
      <w:r w:rsidR="6AFE0207">
        <w:t xml:space="preserve">provide </w:t>
      </w:r>
      <w:r>
        <w:t>grants to</w:t>
      </w:r>
      <w:r w:rsidR="007D349E">
        <w:t xml:space="preserve"> </w:t>
      </w:r>
      <w:r w:rsidR="2215F8E3">
        <w:t>schools and s</w:t>
      </w:r>
      <w:r>
        <w:t>uppor</w:t>
      </w:r>
      <w:r w:rsidR="5C6A2127">
        <w:t>t for</w:t>
      </w:r>
      <w:r>
        <w:t xml:space="preserve"> priority needs e.g. rebuilding of schools post</w:t>
      </w:r>
      <w:r w:rsidR="00F20D8B">
        <w:t>-</w:t>
      </w:r>
      <w:proofErr w:type="gramStart"/>
      <w:r>
        <w:t>cyclone;</w:t>
      </w:r>
      <w:proofErr w:type="gramEnd"/>
      <w:r>
        <w:t xml:space="preserve"> </w:t>
      </w:r>
    </w:p>
    <w:p w14:paraId="72B2650E" w14:textId="72ECE35B" w:rsidR="35EB48F4" w:rsidRDefault="35EB48F4" w:rsidP="00610E92">
      <w:pPr>
        <w:pStyle w:val="ListParagraph"/>
        <w:numPr>
          <w:ilvl w:val="0"/>
          <w:numId w:val="87"/>
        </w:numPr>
      </w:pPr>
      <w:r>
        <w:t>an Independent Education</w:t>
      </w:r>
      <w:r w:rsidR="6AD21AEC">
        <w:t xml:space="preserve"> </w:t>
      </w:r>
      <w:r>
        <w:t>Specialist</w:t>
      </w:r>
      <w:r w:rsidR="4FA96BAD">
        <w:t xml:space="preserve"> </w:t>
      </w:r>
      <w:r>
        <w:t xml:space="preserve">(IES) </w:t>
      </w:r>
      <w:r w:rsidR="00172432">
        <w:t xml:space="preserve">who </w:t>
      </w:r>
      <w:r>
        <w:t>provides</w:t>
      </w:r>
      <w:r w:rsidR="009F582F">
        <w:t xml:space="preserve"> on demand</w:t>
      </w:r>
      <w:r>
        <w:t xml:space="preserve"> technical advice to DFAT and </w:t>
      </w:r>
      <w:proofErr w:type="spellStart"/>
      <w:r>
        <w:t>MoET</w:t>
      </w:r>
      <w:proofErr w:type="spellEnd"/>
      <w:r w:rsidR="006F4327">
        <w:t>, recently supplemented by the new Strategic Adviser role at Post for both skills and education</w:t>
      </w:r>
      <w:r w:rsidR="00610E92">
        <w:rPr>
          <w:rStyle w:val="FootnoteReference"/>
        </w:rPr>
        <w:footnoteReference w:id="15"/>
      </w:r>
      <w:r w:rsidR="230F9FDC">
        <w:t>.</w:t>
      </w:r>
    </w:p>
    <w:p w14:paraId="5E2110C4" w14:textId="58628A16" w:rsidR="07297585" w:rsidRDefault="2D88CF50" w:rsidP="00010DEA">
      <w:r>
        <w:t xml:space="preserve">The </w:t>
      </w:r>
      <w:r w:rsidR="36DAD5C2">
        <w:t>blend of</w:t>
      </w:r>
      <w:r>
        <w:t xml:space="preserve"> modalities is well suited </w:t>
      </w:r>
      <w:r w:rsidR="39D5D28B">
        <w:t xml:space="preserve">to </w:t>
      </w:r>
      <w:r>
        <w:t>the complexity of the program</w:t>
      </w:r>
      <w:r w:rsidR="2395F63F">
        <w:t xml:space="preserve">, which requires </w:t>
      </w:r>
      <w:r w:rsidR="618C3CC7">
        <w:t xml:space="preserve">a combination of </w:t>
      </w:r>
      <w:r>
        <w:t xml:space="preserve">system strengthening, organisational </w:t>
      </w:r>
      <w:r w:rsidR="7146D7CE">
        <w:t xml:space="preserve">and individual </w:t>
      </w:r>
      <w:r>
        <w:t>capacity building</w:t>
      </w:r>
      <w:r w:rsidR="32E52141">
        <w:t xml:space="preserve">, </w:t>
      </w:r>
      <w:r>
        <w:t>service delivery</w:t>
      </w:r>
      <w:r w:rsidR="1C43F93C">
        <w:t xml:space="preserve"> and </w:t>
      </w:r>
      <w:r w:rsidR="6E3B15A6">
        <w:t>coalition building for policy reform</w:t>
      </w:r>
      <w:r w:rsidR="15740783">
        <w:t xml:space="preserve">. </w:t>
      </w:r>
      <w:r w:rsidR="3C074102">
        <w:t xml:space="preserve">The combination of modalities has the potential for </w:t>
      </w:r>
      <w:r w:rsidR="5A16B80C">
        <w:t>facilitating</w:t>
      </w:r>
      <w:r w:rsidR="5203FF8A">
        <w:t xml:space="preserve"> </w:t>
      </w:r>
      <w:r w:rsidR="3C074102">
        <w:t xml:space="preserve">collaboration between </w:t>
      </w:r>
      <w:r w:rsidR="63AD9BBF">
        <w:t xml:space="preserve">the MC, IES, AAV and </w:t>
      </w:r>
      <w:proofErr w:type="spellStart"/>
      <w:r w:rsidR="63AD9BBF">
        <w:t>MoET</w:t>
      </w:r>
      <w:proofErr w:type="spellEnd"/>
      <w:r w:rsidR="63AD9BBF">
        <w:t xml:space="preserve"> </w:t>
      </w:r>
      <w:r w:rsidR="6F504CAB">
        <w:t>in</w:t>
      </w:r>
      <w:r w:rsidR="63AD9BBF">
        <w:t xml:space="preserve"> work</w:t>
      </w:r>
      <w:r w:rsidR="63842A7E">
        <w:t>ing</w:t>
      </w:r>
      <w:r w:rsidR="63AD9BBF">
        <w:t xml:space="preserve"> together </w:t>
      </w:r>
      <w:r w:rsidR="1EEED9A1">
        <w:t>to</w:t>
      </w:r>
      <w:r w:rsidR="63AD9BBF">
        <w:t xml:space="preserve"> meet common targeted goals</w:t>
      </w:r>
      <w:r w:rsidR="3C074102">
        <w:t xml:space="preserve">. </w:t>
      </w:r>
      <w:r w:rsidR="36DAD5C2">
        <w:t xml:space="preserve">DFAT </w:t>
      </w:r>
      <w:r w:rsidR="2156FE37">
        <w:t>In</w:t>
      </w:r>
      <w:r w:rsidR="6B33EFB9">
        <w:t>vestment</w:t>
      </w:r>
      <w:r w:rsidR="2156FE37">
        <w:t xml:space="preserve"> Monitoring Reports (IMRs) </w:t>
      </w:r>
      <w:r w:rsidR="0ECC2D88">
        <w:t xml:space="preserve">and MC reporting </w:t>
      </w:r>
      <w:r w:rsidR="0C876FA5">
        <w:t xml:space="preserve">indicate the mixed modalities have </w:t>
      </w:r>
      <w:r w:rsidR="1770C6D0">
        <w:t xml:space="preserve">enabled </w:t>
      </w:r>
      <w:r w:rsidR="0C876FA5">
        <w:t>efficiencies</w:t>
      </w:r>
      <w:r w:rsidR="0876C677">
        <w:t xml:space="preserve"> with decisions made on a case-by-case basis as to which modality is most suited for delivery of different program </w:t>
      </w:r>
      <w:r w:rsidR="36DAD5C2">
        <w:t>activities</w:t>
      </w:r>
      <w:r w:rsidR="7E3963B2">
        <w:t>.</w:t>
      </w:r>
      <w:r w:rsidR="0876C677">
        <w:t xml:space="preserve"> </w:t>
      </w:r>
    </w:p>
    <w:p w14:paraId="4F082718" w14:textId="06D0B131" w:rsidR="00EF3757" w:rsidRDefault="2C27CDE3" w:rsidP="00010DEA">
      <w:r>
        <w:t xml:space="preserve">The review found examples of where the modalities have been effectively leveraged to provide complementary support. For example, </w:t>
      </w:r>
      <w:r w:rsidR="3045D80E">
        <w:t xml:space="preserve">following a </w:t>
      </w:r>
      <w:r w:rsidR="36DAD5C2">
        <w:t xml:space="preserve">DFAT </w:t>
      </w:r>
      <w:r w:rsidR="2B131EBC">
        <w:t>Public Financial Management (</w:t>
      </w:r>
      <w:r w:rsidR="3045D80E">
        <w:t>PFM</w:t>
      </w:r>
      <w:r w:rsidR="5599C476">
        <w:t>)</w:t>
      </w:r>
      <w:r w:rsidR="3045D80E">
        <w:t xml:space="preserve"> </w:t>
      </w:r>
      <w:r w:rsidR="1DD33428">
        <w:t>assessment</w:t>
      </w:r>
      <w:r w:rsidR="3045D80E">
        <w:t xml:space="preserve"> in 2020, </w:t>
      </w:r>
      <w:r w:rsidR="5F0BB755">
        <w:t xml:space="preserve">the MC was used to provide </w:t>
      </w:r>
      <w:r w:rsidR="3045D80E">
        <w:t xml:space="preserve">technical assistance to </w:t>
      </w:r>
      <w:r w:rsidR="53DDAA9E">
        <w:t xml:space="preserve">MOET to </w:t>
      </w:r>
      <w:r w:rsidR="3045D80E">
        <w:t>progress</w:t>
      </w:r>
      <w:r w:rsidR="7A689558">
        <w:t xml:space="preserve"> </w:t>
      </w:r>
      <w:r w:rsidR="3045D80E">
        <w:t>mitigation measures d</w:t>
      </w:r>
      <w:r w:rsidR="76301714">
        <w:t>eemed necessary for DFAT to continue DFA funding</w:t>
      </w:r>
      <w:r w:rsidR="00172432">
        <w:rPr>
          <w:rStyle w:val="FootnoteReference"/>
        </w:rPr>
        <w:footnoteReference w:id="16"/>
      </w:r>
      <w:r w:rsidR="0CCBD2D4">
        <w:t xml:space="preserve">. </w:t>
      </w:r>
      <w:r w:rsidR="3938AB13">
        <w:t xml:space="preserve">Another example is the use of the DFA to support </w:t>
      </w:r>
      <w:proofErr w:type="spellStart"/>
      <w:r w:rsidR="3938AB13">
        <w:t>MoET</w:t>
      </w:r>
      <w:proofErr w:type="spellEnd"/>
      <w:r w:rsidR="3938AB13">
        <w:t xml:space="preserve"> with the provision of school grants and post-cyclone school rebuilds, which has been complemented by</w:t>
      </w:r>
      <w:r w:rsidR="75910D1C">
        <w:t xml:space="preserve"> support through the MC for delivery of school</w:t>
      </w:r>
      <w:r w:rsidR="319A1CCD">
        <w:t>-</w:t>
      </w:r>
      <w:r w:rsidR="75910D1C">
        <w:t>based management training and capacity development</w:t>
      </w:r>
      <w:r w:rsidR="00172432">
        <w:rPr>
          <w:rStyle w:val="FootnoteReference"/>
        </w:rPr>
        <w:footnoteReference w:id="17"/>
      </w:r>
      <w:r w:rsidR="36DAD5C2">
        <w:t>,</w:t>
      </w:r>
      <w:r w:rsidR="0C67EAF2">
        <w:t xml:space="preserve"> analysis of </w:t>
      </w:r>
      <w:r w:rsidR="1B4FFA9E">
        <w:t>schools’</w:t>
      </w:r>
      <w:r w:rsidR="0C67EAF2">
        <w:t xml:space="preserve"> use of grants to inform improvements of the grant policy</w:t>
      </w:r>
      <w:r w:rsidR="00172432">
        <w:rPr>
          <w:rStyle w:val="FootnoteReference"/>
        </w:rPr>
        <w:footnoteReference w:id="18"/>
      </w:r>
      <w:r w:rsidR="36DAD5C2">
        <w:t>,</w:t>
      </w:r>
      <w:r w:rsidR="0C67EAF2">
        <w:t xml:space="preserve"> </w:t>
      </w:r>
      <w:r w:rsidR="75910D1C">
        <w:t>and</w:t>
      </w:r>
      <w:r w:rsidR="6124CCAF">
        <w:t xml:space="preserve"> </w:t>
      </w:r>
      <w:r w:rsidR="601C9241">
        <w:t xml:space="preserve">more recently, the </w:t>
      </w:r>
      <w:r w:rsidR="6124CCAF">
        <w:t>provision of an</w:t>
      </w:r>
      <w:r w:rsidR="75910D1C">
        <w:t xml:space="preserve"> </w:t>
      </w:r>
      <w:r w:rsidR="43998A51">
        <w:t xml:space="preserve">infrastructure </w:t>
      </w:r>
      <w:r w:rsidR="09E3A8F9">
        <w:t>technical adviser</w:t>
      </w:r>
      <w:r w:rsidR="43998A51">
        <w:t xml:space="preserve">. </w:t>
      </w:r>
      <w:r w:rsidR="6BA3DABE">
        <w:t>Consultations indicated that t</w:t>
      </w:r>
      <w:r w:rsidR="775787FD">
        <w:t xml:space="preserve">he IES </w:t>
      </w:r>
      <w:r w:rsidR="1410A247">
        <w:t>allows for the provision of</w:t>
      </w:r>
      <w:r w:rsidR="681A72BF">
        <w:t xml:space="preserve"> </w:t>
      </w:r>
      <w:r w:rsidR="328C13F2">
        <w:t xml:space="preserve">technical </w:t>
      </w:r>
      <w:r w:rsidR="681A72BF">
        <w:t>advice</w:t>
      </w:r>
      <w:r w:rsidR="64E21A74">
        <w:t xml:space="preserve"> </w:t>
      </w:r>
      <w:r w:rsidR="7467B38E">
        <w:t>that is independent of</w:t>
      </w:r>
      <w:r w:rsidR="772CA49D">
        <w:t>, but also trusted by,</w:t>
      </w:r>
      <w:r w:rsidR="7467B38E">
        <w:t xml:space="preserve"> </w:t>
      </w:r>
      <w:proofErr w:type="spellStart"/>
      <w:r w:rsidR="7467B38E">
        <w:t>MoET</w:t>
      </w:r>
      <w:proofErr w:type="spellEnd"/>
      <w:r w:rsidR="7467B38E">
        <w:t>, DFAT and the MC</w:t>
      </w:r>
      <w:r w:rsidR="29B5946D">
        <w:t>,</w:t>
      </w:r>
      <w:r w:rsidR="51166781">
        <w:t xml:space="preserve"> </w:t>
      </w:r>
      <w:r w:rsidR="4E31E3EB">
        <w:t>offering</w:t>
      </w:r>
      <w:r w:rsidR="51166781">
        <w:t xml:space="preserve"> a valued ‘critical friend’ function</w:t>
      </w:r>
      <w:r w:rsidR="7467B38E">
        <w:t>.</w:t>
      </w:r>
      <w:r w:rsidR="2C777100">
        <w:t xml:space="preserve"> </w:t>
      </w:r>
      <w:r w:rsidR="36DAD5C2">
        <w:t>IMRs indicate that</w:t>
      </w:r>
      <w:r w:rsidR="29AB5489">
        <w:t xml:space="preserve"> the</w:t>
      </w:r>
      <w:r w:rsidR="64E21A74">
        <w:t xml:space="preserve"> IES has been particularly valued for bringing </w:t>
      </w:r>
      <w:r w:rsidR="681A72BF">
        <w:t xml:space="preserve">international </w:t>
      </w:r>
      <w:r w:rsidR="6CA57CFE">
        <w:t xml:space="preserve">‘best practice’ and learnings from other similar countries in the region </w:t>
      </w:r>
      <w:r w:rsidR="6A7A7457">
        <w:t>to the program</w:t>
      </w:r>
      <w:r w:rsidR="6CA57CFE">
        <w:t xml:space="preserve">. </w:t>
      </w:r>
      <w:r w:rsidR="681A72BF">
        <w:t xml:space="preserve"> </w:t>
      </w:r>
    </w:p>
    <w:p w14:paraId="35E38F4F" w14:textId="401EE502" w:rsidR="009803A7" w:rsidRDefault="009803A7" w:rsidP="00340446">
      <w:pPr>
        <w:pStyle w:val="ListParagraph"/>
        <w:numPr>
          <w:ilvl w:val="0"/>
          <w:numId w:val="26"/>
        </w:numPr>
        <w:spacing w:line="240" w:lineRule="auto"/>
        <w:rPr>
          <w:b/>
          <w:bCs/>
        </w:rPr>
      </w:pPr>
      <w:r w:rsidRPr="3B0D9F72">
        <w:rPr>
          <w:b/>
          <w:bCs/>
        </w:rPr>
        <w:t xml:space="preserve">Structural alignment with </w:t>
      </w:r>
      <w:proofErr w:type="spellStart"/>
      <w:r w:rsidRPr="3B0D9F72">
        <w:rPr>
          <w:b/>
          <w:bCs/>
        </w:rPr>
        <w:t>MoET</w:t>
      </w:r>
      <w:proofErr w:type="spellEnd"/>
      <w:r w:rsidRPr="3B0D9F72">
        <w:rPr>
          <w:b/>
          <w:bCs/>
        </w:rPr>
        <w:t xml:space="preserve"> (co-located advisers, funding aligned with </w:t>
      </w:r>
      <w:proofErr w:type="spellStart"/>
      <w:r w:rsidRPr="3B0D9F72">
        <w:rPr>
          <w:b/>
          <w:bCs/>
        </w:rPr>
        <w:t>MoET</w:t>
      </w:r>
      <w:proofErr w:type="spellEnd"/>
      <w:r w:rsidRPr="3B0D9F72">
        <w:rPr>
          <w:b/>
          <w:bCs/>
        </w:rPr>
        <w:t xml:space="preserve"> annual plans) </w:t>
      </w:r>
      <w:r w:rsidR="2086E7B1" w:rsidRPr="3B0D9F72">
        <w:rPr>
          <w:b/>
          <w:bCs/>
        </w:rPr>
        <w:t xml:space="preserve">and high degree of relevance to </w:t>
      </w:r>
      <w:proofErr w:type="spellStart"/>
      <w:r w:rsidR="2086E7B1" w:rsidRPr="3B0D9F72">
        <w:rPr>
          <w:b/>
          <w:bCs/>
        </w:rPr>
        <w:t>GoV</w:t>
      </w:r>
      <w:proofErr w:type="spellEnd"/>
      <w:r w:rsidR="2086E7B1" w:rsidRPr="3B0D9F72">
        <w:rPr>
          <w:b/>
          <w:bCs/>
        </w:rPr>
        <w:t xml:space="preserve"> and </w:t>
      </w:r>
      <w:proofErr w:type="spellStart"/>
      <w:r w:rsidR="2086E7B1" w:rsidRPr="3B0D9F72">
        <w:rPr>
          <w:b/>
          <w:bCs/>
        </w:rPr>
        <w:t>GoA</w:t>
      </w:r>
      <w:proofErr w:type="spellEnd"/>
      <w:r w:rsidR="2086E7B1" w:rsidRPr="3B0D9F72">
        <w:rPr>
          <w:b/>
          <w:bCs/>
        </w:rPr>
        <w:t xml:space="preserve"> policy priorities</w:t>
      </w:r>
    </w:p>
    <w:p w14:paraId="75108BD1" w14:textId="6A35B8DF" w:rsidR="105475FE" w:rsidRDefault="56AB7789" w:rsidP="00010DEA">
      <w:r w:rsidRPr="00010DEA">
        <w:t xml:space="preserve">The VAESP program logic and end of program outcomes are well aligned to </w:t>
      </w:r>
      <w:proofErr w:type="spellStart"/>
      <w:r w:rsidRPr="00010DEA">
        <w:t>MoET</w:t>
      </w:r>
      <w:proofErr w:type="spellEnd"/>
      <w:r w:rsidRPr="00010DEA">
        <w:t xml:space="preserve"> and </w:t>
      </w:r>
      <w:proofErr w:type="spellStart"/>
      <w:r w:rsidRPr="00010DEA">
        <w:t>GoV</w:t>
      </w:r>
      <w:proofErr w:type="spellEnd"/>
      <w:r w:rsidRPr="00010DEA">
        <w:t xml:space="preserve"> priorities, including the stated intention of strengthening decentralised delivery. </w:t>
      </w:r>
      <w:r w:rsidR="62268B2C" w:rsidRPr="00010DEA">
        <w:t>Review c</w:t>
      </w:r>
      <w:r w:rsidR="7FB1981B" w:rsidRPr="00010DEA">
        <w:t xml:space="preserve">onsultations consistently emphasised the value of co-location of VAESP advisors in </w:t>
      </w:r>
      <w:proofErr w:type="spellStart"/>
      <w:r w:rsidR="7FB1981B" w:rsidRPr="00010DEA">
        <w:t>MoET</w:t>
      </w:r>
      <w:proofErr w:type="spellEnd"/>
      <w:r w:rsidR="519D40D5" w:rsidRPr="00010DEA">
        <w:t xml:space="preserve"> for</w:t>
      </w:r>
      <w:r w:rsidR="7FB1981B" w:rsidRPr="00010DEA">
        <w:t xml:space="preserve"> allowing for close collaboration and</w:t>
      </w:r>
      <w:r w:rsidR="055FF590" w:rsidRPr="00010DEA">
        <w:t xml:space="preserve"> in many cases</w:t>
      </w:r>
      <w:r w:rsidR="7FB1981B" w:rsidRPr="00010DEA">
        <w:t xml:space="preserve"> facilitating a sense of shared </w:t>
      </w:r>
      <w:r w:rsidR="04599604" w:rsidRPr="00010DEA">
        <w:t>responsibility for</w:t>
      </w:r>
      <w:r w:rsidR="755F0939" w:rsidRPr="00010DEA">
        <w:t xml:space="preserve"> activities.</w:t>
      </w:r>
      <w:r w:rsidR="40453BEF" w:rsidRPr="00010DEA">
        <w:t xml:space="preserve"> </w:t>
      </w:r>
      <w:r w:rsidR="755F0939" w:rsidRPr="00010DEA">
        <w:t xml:space="preserve"> </w:t>
      </w:r>
      <w:r w:rsidR="69EBB7FE" w:rsidRPr="00010DEA">
        <w:t xml:space="preserve">In recent years, the program has succeeded in aligning MC plans and MEL with </w:t>
      </w:r>
      <w:proofErr w:type="spellStart"/>
      <w:r w:rsidR="69EBB7FE" w:rsidRPr="00010DEA">
        <w:t>MoETs</w:t>
      </w:r>
      <w:proofErr w:type="spellEnd"/>
      <w:r w:rsidR="69EBB7FE">
        <w:t xml:space="preserve"> corporate plan, </w:t>
      </w:r>
      <w:r w:rsidR="3231C0AE">
        <w:t xml:space="preserve">which </w:t>
      </w:r>
      <w:r w:rsidR="79D58567">
        <w:t xml:space="preserve">consultations and MC reporting </w:t>
      </w:r>
      <w:r w:rsidR="1B4FFA9E">
        <w:t>confirm</w:t>
      </w:r>
      <w:r w:rsidR="79D58567">
        <w:t xml:space="preserve"> </w:t>
      </w:r>
      <w:r w:rsidR="3231C0AE">
        <w:t xml:space="preserve">has been particularly valued by </w:t>
      </w:r>
      <w:proofErr w:type="spellStart"/>
      <w:r w:rsidR="3231C0AE">
        <w:t>MoET</w:t>
      </w:r>
      <w:proofErr w:type="spellEnd"/>
      <w:r w:rsidR="3231C0AE">
        <w:t xml:space="preserve">. </w:t>
      </w:r>
      <w:r w:rsidR="257F7969">
        <w:t xml:space="preserve">VAESP </w:t>
      </w:r>
      <w:r w:rsidR="2789F2B1">
        <w:t xml:space="preserve">is involved in joint planning with </w:t>
      </w:r>
      <w:proofErr w:type="spellStart"/>
      <w:r w:rsidR="2789F2B1">
        <w:t>MoET</w:t>
      </w:r>
      <w:proofErr w:type="spellEnd"/>
      <w:r w:rsidR="2789F2B1">
        <w:t xml:space="preserve"> and </w:t>
      </w:r>
      <w:r w:rsidR="257F7969">
        <w:t xml:space="preserve">has supported </w:t>
      </w:r>
      <w:proofErr w:type="spellStart"/>
      <w:r w:rsidR="257F7969">
        <w:t>MoET</w:t>
      </w:r>
      <w:proofErr w:type="spellEnd"/>
      <w:r w:rsidR="257F7969">
        <w:t xml:space="preserve"> to </w:t>
      </w:r>
      <w:r w:rsidR="5DE12CAA">
        <w:t xml:space="preserve">strengthen </w:t>
      </w:r>
      <w:r w:rsidR="13DCA20D">
        <w:t>its</w:t>
      </w:r>
      <w:r w:rsidR="5DE12CAA">
        <w:t xml:space="preserve"> planning processes, including greater involvement of</w:t>
      </w:r>
      <w:r w:rsidR="3231C0AE">
        <w:t xml:space="preserve"> provincial staff</w:t>
      </w:r>
      <w:r w:rsidR="008B4360">
        <w:rPr>
          <w:rStyle w:val="FootnoteReference"/>
        </w:rPr>
        <w:footnoteReference w:id="19"/>
      </w:r>
      <w:r w:rsidR="13DCA20D">
        <w:t>.</w:t>
      </w:r>
      <w:r w:rsidR="47BEA04C">
        <w:t xml:space="preserve"> </w:t>
      </w:r>
    </w:p>
    <w:p w14:paraId="6B638835" w14:textId="38940244" w:rsidR="15230DCB" w:rsidRDefault="15230DCB" w:rsidP="00010DEA">
      <w:r>
        <w:t>The program’s role in facilitating the provision of grants to kindergartens and schools and t</w:t>
      </w:r>
      <w:r w:rsidR="05340D2C">
        <w:t>he transition from DFAT-</w:t>
      </w:r>
      <w:proofErr w:type="spellStart"/>
      <w:r w:rsidR="05340D2C">
        <w:t>GoV</w:t>
      </w:r>
      <w:proofErr w:type="spellEnd"/>
      <w:r w:rsidR="05340D2C">
        <w:t xml:space="preserve"> co-financing of grants to </w:t>
      </w:r>
      <w:proofErr w:type="spellStart"/>
      <w:r w:rsidR="05340D2C">
        <w:t>GoV</w:t>
      </w:r>
      <w:proofErr w:type="spellEnd"/>
      <w:r w:rsidR="05340D2C">
        <w:t xml:space="preserve"> now </w:t>
      </w:r>
      <w:r w:rsidR="0B8A53F5">
        <w:t xml:space="preserve">financing 96% (IMR 2024) is a good example of </w:t>
      </w:r>
      <w:r w:rsidR="1DF79E9F">
        <w:t xml:space="preserve">strategic alignment between </w:t>
      </w:r>
      <w:r w:rsidR="4F7735AF">
        <w:t xml:space="preserve">VAESP </w:t>
      </w:r>
      <w:r w:rsidR="7449882E">
        <w:t xml:space="preserve">funding </w:t>
      </w:r>
      <w:r w:rsidR="4F7735AF">
        <w:t xml:space="preserve">and </w:t>
      </w:r>
      <w:proofErr w:type="spellStart"/>
      <w:proofErr w:type="gramStart"/>
      <w:r w:rsidR="4F7735AF">
        <w:t>MoET</w:t>
      </w:r>
      <w:proofErr w:type="spellEnd"/>
      <w:r w:rsidR="4F7735AF">
        <w:t xml:space="preserve">, </w:t>
      </w:r>
      <w:r w:rsidR="7F3263D6">
        <w:t>and</w:t>
      </w:r>
      <w:proofErr w:type="gramEnd"/>
      <w:r w:rsidR="7F3263D6">
        <w:t xml:space="preserve"> leveraging the DFA to influence </w:t>
      </w:r>
      <w:proofErr w:type="spellStart"/>
      <w:r w:rsidR="7F3263D6">
        <w:t>GoV</w:t>
      </w:r>
      <w:proofErr w:type="spellEnd"/>
      <w:r w:rsidR="7F3263D6">
        <w:t xml:space="preserve"> policy implementation and resourcing. </w:t>
      </w:r>
      <w:r w:rsidR="0692228C">
        <w:t xml:space="preserve">What is not clear from the available documentation is </w:t>
      </w:r>
      <w:r w:rsidR="34E06E8B">
        <w:t xml:space="preserve">how and in what ways the program has learnt from this success and </w:t>
      </w:r>
      <w:r w:rsidR="7D9683B4">
        <w:t xml:space="preserve">is </w:t>
      </w:r>
      <w:r w:rsidR="34E06E8B">
        <w:t xml:space="preserve">using </w:t>
      </w:r>
      <w:r w:rsidR="671701CC">
        <w:t xml:space="preserve">these learnings to </w:t>
      </w:r>
      <w:r w:rsidR="34E06E8B">
        <w:t xml:space="preserve">inform </w:t>
      </w:r>
      <w:proofErr w:type="gramStart"/>
      <w:r w:rsidR="34E06E8B">
        <w:t xml:space="preserve">future </w:t>
      </w:r>
      <w:r w:rsidR="3C0F3DEF">
        <w:t>plans</w:t>
      </w:r>
      <w:proofErr w:type="gramEnd"/>
      <w:r w:rsidR="3C0F3DEF">
        <w:t xml:space="preserve">. We understand that the agreement for </w:t>
      </w:r>
      <w:proofErr w:type="spellStart"/>
      <w:r w:rsidR="3C0F3DEF">
        <w:t>MoET</w:t>
      </w:r>
      <w:proofErr w:type="spellEnd"/>
      <w:r w:rsidR="3C0F3DEF">
        <w:t xml:space="preserve"> to take over grant funding over time was built into DFAT-</w:t>
      </w:r>
      <w:proofErr w:type="spellStart"/>
      <w:r w:rsidR="3C0F3DEF">
        <w:t>MoET</w:t>
      </w:r>
      <w:proofErr w:type="spellEnd"/>
      <w:r w:rsidR="3C0F3DEF">
        <w:t xml:space="preserve"> partnership agreements</w:t>
      </w:r>
      <w:r w:rsidR="68AE7F7C">
        <w:t>.</w:t>
      </w:r>
      <w:r w:rsidR="3C0F3DEF">
        <w:t xml:space="preserve"> </w:t>
      </w:r>
      <w:r w:rsidR="198AA79C">
        <w:t>H</w:t>
      </w:r>
      <w:r w:rsidR="3C0F3DEF">
        <w:t xml:space="preserve">owever, </w:t>
      </w:r>
      <w:r w:rsidR="674E9647">
        <w:t>the</w:t>
      </w:r>
      <w:r w:rsidR="2AEF08B3">
        <w:t xml:space="preserve">re does not appear to be any systematic reflection on what </w:t>
      </w:r>
      <w:proofErr w:type="gramStart"/>
      <w:r w:rsidR="2AEF08B3">
        <w:t>were the enabling</w:t>
      </w:r>
      <w:r w:rsidR="674E9647">
        <w:t xml:space="preserve"> factors </w:t>
      </w:r>
      <w:r w:rsidR="1DC7E098">
        <w:t>for this agreement</w:t>
      </w:r>
      <w:proofErr w:type="gramEnd"/>
      <w:r w:rsidR="1DC7E098">
        <w:t xml:space="preserve"> to be upheld and effectively implemented, and what can be learnt from </w:t>
      </w:r>
      <w:r w:rsidR="14237A37">
        <w:t xml:space="preserve">this experience </w:t>
      </w:r>
      <w:r w:rsidR="002E641D">
        <w:t>to</w:t>
      </w:r>
      <w:r w:rsidR="14237A37">
        <w:t xml:space="preserve"> inform future approaches. </w:t>
      </w:r>
    </w:p>
    <w:p w14:paraId="75FDA329" w14:textId="52AF6140" w:rsidR="009803A7" w:rsidRDefault="0F08D8A4" w:rsidP="00340446">
      <w:pPr>
        <w:pStyle w:val="ListParagraph"/>
        <w:numPr>
          <w:ilvl w:val="0"/>
          <w:numId w:val="26"/>
        </w:numPr>
        <w:spacing w:line="240" w:lineRule="auto"/>
        <w:rPr>
          <w:b/>
          <w:bCs/>
        </w:rPr>
      </w:pPr>
      <w:r w:rsidRPr="0C3CBE43">
        <w:rPr>
          <w:b/>
          <w:bCs/>
        </w:rPr>
        <w:t>Promising practices: curriculum improvement</w:t>
      </w:r>
      <w:r w:rsidR="6A203BC6" w:rsidRPr="0C3CBE43">
        <w:rPr>
          <w:b/>
          <w:bCs/>
        </w:rPr>
        <w:t xml:space="preserve">, </w:t>
      </w:r>
      <w:r w:rsidRPr="0C3CBE43">
        <w:rPr>
          <w:b/>
          <w:bCs/>
        </w:rPr>
        <w:t>parent support</w:t>
      </w:r>
      <w:r w:rsidR="02C7408F" w:rsidRPr="0C3CBE43">
        <w:rPr>
          <w:b/>
          <w:bCs/>
        </w:rPr>
        <w:t xml:space="preserve"> </w:t>
      </w:r>
      <w:r w:rsidR="000FB5CC" w:rsidRPr="0C3CBE43">
        <w:rPr>
          <w:b/>
          <w:bCs/>
        </w:rPr>
        <w:t xml:space="preserve">program </w:t>
      </w:r>
      <w:r w:rsidR="02C7408F" w:rsidRPr="0C3CBE43">
        <w:rPr>
          <w:b/>
          <w:bCs/>
        </w:rPr>
        <w:t>and inclusive education</w:t>
      </w:r>
    </w:p>
    <w:p w14:paraId="6B12BBD9" w14:textId="5F4AC5D6" w:rsidR="00DB4E16" w:rsidRPr="002477FC" w:rsidRDefault="008A29DF" w:rsidP="00010DEA">
      <w:pPr>
        <w:rPr>
          <w:rFonts w:ascii="Helvetica Neue" w:hAnsi="Helvetica Neue" w:cs="Helvetica Neue"/>
          <w:color w:val="000000"/>
          <w:sz w:val="26"/>
          <w:szCs w:val="26"/>
          <w:lang w:val="en-GB"/>
        </w:rPr>
      </w:pPr>
      <w:r w:rsidRPr="002477FC">
        <w:t xml:space="preserve">Enhancing the quality of teaching at ECCE and primary levels has been a key objective of VAESP throughout both phases. To achieve this, VAESP has invested significantly in supporting </w:t>
      </w:r>
      <w:proofErr w:type="spellStart"/>
      <w:r w:rsidRPr="002477FC">
        <w:t>MoET</w:t>
      </w:r>
      <w:proofErr w:type="spellEnd"/>
      <w:r w:rsidRPr="002477FC">
        <w:t xml:space="preserve"> to develop the new outcome-based curriculum and associated teaching resources and, under phase 1, deliver field-based training for teachers. Reporting from phase 2 of VAESP consistently identifies the continued delivery of teacher training for the new curriculum as a key challenge</w:t>
      </w:r>
      <w:r w:rsidR="002477FC" w:rsidRPr="002477FC">
        <w:t xml:space="preserve">. </w:t>
      </w:r>
      <w:r w:rsidR="6E35AA16" w:rsidRPr="002477FC">
        <w:t>The</w:t>
      </w:r>
      <w:r w:rsidR="6E35AA16">
        <w:t xml:space="preserve"> challenges in this area have b</w:t>
      </w:r>
      <w:r w:rsidR="03FC6B28">
        <w:t xml:space="preserve">een further exacerbated </w:t>
      </w:r>
      <w:r w:rsidR="040C8FEB">
        <w:t xml:space="preserve">with the reforming of </w:t>
      </w:r>
      <w:r w:rsidR="359951B4">
        <w:t>the Vanuatu Institute of Teacher Education (</w:t>
      </w:r>
      <w:r w:rsidR="040C8FEB">
        <w:t>VITE</w:t>
      </w:r>
      <w:r w:rsidR="3545753B">
        <w:t>)</w:t>
      </w:r>
      <w:r w:rsidR="040C8FEB">
        <w:t xml:space="preserve"> into </w:t>
      </w:r>
      <w:r w:rsidR="3C12D944">
        <w:t>the</w:t>
      </w:r>
      <w:r w:rsidR="040C8FEB">
        <w:t xml:space="preserve"> S</w:t>
      </w:r>
      <w:r w:rsidR="15D1B9B6">
        <w:t>chool of Education within the National University of Vanuatu (NUV)</w:t>
      </w:r>
      <w:r w:rsidR="040C8FEB">
        <w:t xml:space="preserve">, the </w:t>
      </w:r>
      <w:r w:rsidR="00610E92">
        <w:t xml:space="preserve">disbanding </w:t>
      </w:r>
      <w:r w:rsidR="2B1142DE">
        <w:t xml:space="preserve">of </w:t>
      </w:r>
      <w:proofErr w:type="spellStart"/>
      <w:r w:rsidR="2B1142DE">
        <w:t>MoET’s</w:t>
      </w:r>
      <w:proofErr w:type="spellEnd"/>
      <w:r w:rsidR="2B1142DE">
        <w:t xml:space="preserve"> dedicated in</w:t>
      </w:r>
      <w:r w:rsidR="3B576853">
        <w:t>-</w:t>
      </w:r>
      <w:r w:rsidR="2B1142DE">
        <w:t xml:space="preserve">service training unit and provincial level positions supporting teaching (e.g. the zone curriculum advisors), and </w:t>
      </w:r>
      <w:r w:rsidR="504D8B34">
        <w:t xml:space="preserve">disruptions caused by COVID-19 and </w:t>
      </w:r>
      <w:r w:rsidR="1BEBAD97">
        <w:t xml:space="preserve">environmental </w:t>
      </w:r>
      <w:r w:rsidR="504D8B34">
        <w:t>disasters</w:t>
      </w:r>
      <w:r w:rsidR="00DB4E16">
        <w:rPr>
          <w:rStyle w:val="FootnoteReference"/>
        </w:rPr>
        <w:footnoteReference w:id="20"/>
      </w:r>
      <w:r w:rsidR="504D8B34">
        <w:t>.</w:t>
      </w:r>
      <w:r w:rsidR="78A6A377">
        <w:t xml:space="preserve"> </w:t>
      </w:r>
    </w:p>
    <w:p w14:paraId="07BF80E2" w14:textId="3831D705" w:rsidR="57848237" w:rsidRDefault="6A6107A5" w:rsidP="00010DEA">
      <w:r>
        <w:t xml:space="preserve">The 2023 Annual Report </w:t>
      </w:r>
      <w:r w:rsidR="12F42F5F">
        <w:t>indicates VAESP has responded to th</w:t>
      </w:r>
      <w:r w:rsidR="017BD43E">
        <w:t>ese challenges</w:t>
      </w:r>
      <w:r w:rsidR="12F42F5F">
        <w:t xml:space="preserve"> through working closely with the </w:t>
      </w:r>
      <w:proofErr w:type="spellStart"/>
      <w:r w:rsidR="12F42F5F">
        <w:t>MoET</w:t>
      </w:r>
      <w:proofErr w:type="spellEnd"/>
      <w:r w:rsidR="12F42F5F">
        <w:t xml:space="preserve"> Curriculum Development Unit (CDU) to develop a</w:t>
      </w:r>
      <w:r w:rsidR="693763E5">
        <w:t xml:space="preserve"> school-based</w:t>
      </w:r>
      <w:r w:rsidR="12F42F5F">
        <w:t xml:space="preserve"> </w:t>
      </w:r>
      <w:r w:rsidR="12F42F5F" w:rsidRPr="00010DEA">
        <w:rPr>
          <w:b/>
          <w:bCs/>
        </w:rPr>
        <w:t>Curriculum Improvement Plan</w:t>
      </w:r>
      <w:r w:rsidR="2CA1570E" w:rsidRPr="00010DEA">
        <w:t xml:space="preserve">, </w:t>
      </w:r>
      <w:r w:rsidR="2CA1570E">
        <w:t>that involves funding and training of Curriculum Improvement Officers</w:t>
      </w:r>
      <w:r w:rsidR="4650EFD3">
        <w:t xml:space="preserve"> based</w:t>
      </w:r>
      <w:r w:rsidR="2CA1570E">
        <w:t xml:space="preserve"> in the provinces to deliver</w:t>
      </w:r>
      <w:r w:rsidR="4C4BEA2D">
        <w:t xml:space="preserve"> school-based teacher professional development</w:t>
      </w:r>
      <w:r w:rsidR="727B01C7">
        <w:t xml:space="preserve"> alongside provision of targeted curriculum resources</w:t>
      </w:r>
      <w:r w:rsidR="4C4BEA2D">
        <w:t>.</w:t>
      </w:r>
      <w:r w:rsidR="78A64AF8">
        <w:t xml:space="preserve"> </w:t>
      </w:r>
      <w:r w:rsidR="1AED5196">
        <w:t>Strong local leadership within CDU and VAESP is being leveraged effectively to progress this initiative</w:t>
      </w:r>
      <w:r w:rsidR="108F9031">
        <w:t>,</w:t>
      </w:r>
      <w:r w:rsidR="1AED5196">
        <w:t xml:space="preserve"> with well-targeted support of international TA. </w:t>
      </w:r>
    </w:p>
    <w:p w14:paraId="413FDBB9" w14:textId="14467A75" w:rsidR="12F42F5F" w:rsidRDefault="12F42F5F" w:rsidP="00010DEA">
      <w:r>
        <w:t xml:space="preserve">While it is early days with this initiative, it shows promise for addressing </w:t>
      </w:r>
      <w:r w:rsidR="3A15BA8C">
        <w:t>the need for greater</w:t>
      </w:r>
      <w:r w:rsidR="30700D85">
        <w:t xml:space="preserve"> engagement at a provincial level and the absence of sustained professional development support to teachers.</w:t>
      </w:r>
      <w:r w:rsidR="6242FCFD">
        <w:t xml:space="preserve"> It indicates the potential for strategically adaptive programming by VAESP and </w:t>
      </w:r>
      <w:r w:rsidR="1D65FF37">
        <w:t xml:space="preserve">support for reform-minded local leadership. However, as will be discussed in the issues section below, it is not clear how this support is situated within a broader </w:t>
      </w:r>
      <w:proofErr w:type="gramStart"/>
      <w:r w:rsidR="1D65FF37">
        <w:t>politically-</w:t>
      </w:r>
      <w:r w:rsidR="186065B0">
        <w:t>aware</w:t>
      </w:r>
      <w:proofErr w:type="gramEnd"/>
      <w:r w:rsidR="186065B0">
        <w:t xml:space="preserve"> </w:t>
      </w:r>
      <w:r w:rsidR="7BB866B3">
        <w:t xml:space="preserve">strategy for </w:t>
      </w:r>
      <w:r w:rsidR="063CC1B1">
        <w:t xml:space="preserve">engaging in the strengthening of sustainable models for ongoing teacher professional development. </w:t>
      </w:r>
    </w:p>
    <w:p w14:paraId="7A6AE940" w14:textId="6BAAC48D" w:rsidR="011CF66E" w:rsidRDefault="5C66B312" w:rsidP="00010DEA">
      <w:r>
        <w:t>T</w:t>
      </w:r>
      <w:r w:rsidR="5F5ED55D">
        <w:t xml:space="preserve">he </w:t>
      </w:r>
      <w:r w:rsidR="5F5ED55D" w:rsidRPr="6FCA30B7">
        <w:rPr>
          <w:b/>
          <w:bCs/>
        </w:rPr>
        <w:t>Parent Support Program</w:t>
      </w:r>
      <w:r w:rsidR="5F5ED55D">
        <w:t xml:space="preserve"> (PSP)</w:t>
      </w:r>
      <w:r w:rsidR="5DCDD804">
        <w:t xml:space="preserve"> </w:t>
      </w:r>
      <w:r w:rsidR="5F5ED55D">
        <w:t>focusses on educating parents of EC</w:t>
      </w:r>
      <w:r w:rsidR="696D96E9">
        <w:t>C</w:t>
      </w:r>
      <w:r w:rsidR="5F5ED55D">
        <w:t xml:space="preserve">E-aged </w:t>
      </w:r>
      <w:proofErr w:type="gramStart"/>
      <w:r w:rsidR="5F5ED55D">
        <w:t>children</w:t>
      </w:r>
      <w:r w:rsidR="32B1B9E6">
        <w:t>, and</w:t>
      </w:r>
      <w:proofErr w:type="gramEnd"/>
      <w:r w:rsidR="32B1B9E6">
        <w:t xml:space="preserve"> has </w:t>
      </w:r>
      <w:r w:rsidR="5376DBFA">
        <w:t xml:space="preserve">demonstrated </w:t>
      </w:r>
      <w:r w:rsidR="32B1B9E6">
        <w:t>promising results in reaching and benefitting parents across Vanuatu</w:t>
      </w:r>
      <w:r w:rsidR="5F5ED55D">
        <w:t xml:space="preserve">. Delivered in collaboration with Save the Children and UNICEF, each organisation focusses on different provinces. </w:t>
      </w:r>
      <w:r w:rsidR="696D96E9">
        <w:t xml:space="preserve">The </w:t>
      </w:r>
      <w:r w:rsidR="5F5ED55D">
        <w:t>2024 IMR indicates that 100% of surveyed parents who were engaged in the program reported better communication with their children. VAESP’s 202</w:t>
      </w:r>
      <w:r w:rsidR="50853297">
        <w:t>4</w:t>
      </w:r>
      <w:r w:rsidR="773141A7">
        <w:t xml:space="preserve"> </w:t>
      </w:r>
      <w:r w:rsidR="5F5ED55D">
        <w:t xml:space="preserve">annual </w:t>
      </w:r>
      <w:r w:rsidR="32DE44D0">
        <w:t xml:space="preserve">plan </w:t>
      </w:r>
      <w:r w:rsidR="5F5ED55D">
        <w:t xml:space="preserve">reports that </w:t>
      </w:r>
      <w:r w:rsidR="74AC79E3">
        <w:t xml:space="preserve">by </w:t>
      </w:r>
      <w:r w:rsidR="5F5ED55D">
        <w:t xml:space="preserve">2023, the PSP </w:t>
      </w:r>
      <w:r w:rsidR="47B4D543">
        <w:t xml:space="preserve">had </w:t>
      </w:r>
      <w:r w:rsidR="5F5ED55D">
        <w:t>reached all school communities in Vanuatu. Key informants reported that the PSP is an example of an education initiative which was successfully delivered in all provinces.</w:t>
      </w:r>
      <w:r w:rsidR="3C5B500D">
        <w:t xml:space="preserve"> </w:t>
      </w:r>
      <w:r w:rsidR="2467F078">
        <w:t>While</w:t>
      </w:r>
      <w:r w:rsidR="3C5B500D">
        <w:t xml:space="preserve"> PSP is focused </w:t>
      </w:r>
      <w:r w:rsidR="25328A5E">
        <w:t xml:space="preserve">on </w:t>
      </w:r>
      <w:r w:rsidR="3C5B500D">
        <w:t xml:space="preserve">continuing education for </w:t>
      </w:r>
      <w:r w:rsidR="0DE96AF4">
        <w:t xml:space="preserve">children </w:t>
      </w:r>
      <w:r w:rsidR="3C5B500D">
        <w:t>during and afte</w:t>
      </w:r>
      <w:r w:rsidR="1CEFEFDA">
        <w:t xml:space="preserve">r disasters and </w:t>
      </w:r>
      <w:r w:rsidR="34479E18">
        <w:t xml:space="preserve">is </w:t>
      </w:r>
      <w:r w:rsidR="36C1C836">
        <w:t xml:space="preserve">not </w:t>
      </w:r>
      <w:r w:rsidR="34479E18">
        <w:t xml:space="preserve">a </w:t>
      </w:r>
      <w:r w:rsidR="36C1C836">
        <w:t>long</w:t>
      </w:r>
      <w:r w:rsidR="34479E18">
        <w:t>er-</w:t>
      </w:r>
      <w:r w:rsidR="1CEFEFDA">
        <w:t>term</w:t>
      </w:r>
      <w:r w:rsidR="34479E18">
        <w:t xml:space="preserve"> program</w:t>
      </w:r>
      <w:r w:rsidR="157348F7">
        <w:t>, l</w:t>
      </w:r>
      <w:r w:rsidR="5F5ED55D">
        <w:t xml:space="preserve">essons from this could inform future decentralisation efforts.   </w:t>
      </w:r>
    </w:p>
    <w:p w14:paraId="694A5749" w14:textId="45825B4A" w:rsidR="5BD344AE" w:rsidRDefault="08CEF835" w:rsidP="00010DEA">
      <w:r>
        <w:t xml:space="preserve">The 2022 </w:t>
      </w:r>
      <w:r w:rsidR="1BC2EF52">
        <w:t>MTR</w:t>
      </w:r>
      <w:r>
        <w:t xml:space="preserve"> indicate</w:t>
      </w:r>
      <w:r w:rsidR="6B43D488">
        <w:t>s</w:t>
      </w:r>
      <w:r>
        <w:t xml:space="preserve"> </w:t>
      </w:r>
      <w:r w:rsidR="39CE1B7F">
        <w:t xml:space="preserve">gains in delivery of </w:t>
      </w:r>
      <w:r w:rsidR="39CE1B7F" w:rsidRPr="005B3573">
        <w:rPr>
          <w:b/>
          <w:bCs/>
        </w:rPr>
        <w:t>inclusive education</w:t>
      </w:r>
      <w:r w:rsidR="39CE1B7F">
        <w:t>. Progress include</w:t>
      </w:r>
      <w:r w:rsidR="7FF3BBFE">
        <w:t>s</w:t>
      </w:r>
      <w:r w:rsidR="39CE1B7F">
        <w:t xml:space="preserve"> increased a</w:t>
      </w:r>
      <w:r>
        <w:t xml:space="preserve">wareness of educational options for children with disabilities </w:t>
      </w:r>
      <w:proofErr w:type="gramStart"/>
      <w:r w:rsidR="473D0053">
        <w:t>as a result of</w:t>
      </w:r>
      <w:proofErr w:type="gramEnd"/>
      <w:r w:rsidR="473D0053">
        <w:t xml:space="preserve"> communications </w:t>
      </w:r>
      <w:r w:rsidR="2DA11CE1">
        <w:t>campaigns</w:t>
      </w:r>
      <w:r w:rsidR="473D0053">
        <w:t xml:space="preserve">, </w:t>
      </w:r>
      <w:r w:rsidR="74B04FBB">
        <w:t xml:space="preserve">technical input to the development of </w:t>
      </w:r>
      <w:proofErr w:type="spellStart"/>
      <w:r w:rsidR="74B04FBB">
        <w:t>MoET’s</w:t>
      </w:r>
      <w:proofErr w:type="spellEnd"/>
      <w:r w:rsidR="74B04FBB">
        <w:t xml:space="preserve"> new </w:t>
      </w:r>
      <w:r w:rsidR="74B04FBB" w:rsidRPr="00222007">
        <w:rPr>
          <w:i/>
          <w:iCs/>
        </w:rPr>
        <w:t>Inclusive Education and Training Policy 2024 – 2030</w:t>
      </w:r>
      <w:r w:rsidR="74B04FBB">
        <w:t xml:space="preserve">, </w:t>
      </w:r>
      <w:r w:rsidR="473D0053">
        <w:t>and the provision of resources</w:t>
      </w:r>
      <w:r w:rsidR="0291DA04">
        <w:t xml:space="preserve"> in English, French and Bislama</w:t>
      </w:r>
      <w:r w:rsidR="473D0053">
        <w:t xml:space="preserve"> </w:t>
      </w:r>
      <w:r w:rsidR="21F70898">
        <w:t xml:space="preserve">which have </w:t>
      </w:r>
      <w:r w:rsidR="456F8B55">
        <w:t>help</w:t>
      </w:r>
      <w:r w:rsidR="0F3830A6">
        <w:t>ed</w:t>
      </w:r>
      <w:r w:rsidR="456F8B55">
        <w:t xml:space="preserve"> teachers in 45 “model” </w:t>
      </w:r>
      <w:r w:rsidR="5FF6535C">
        <w:t xml:space="preserve">inclusion </w:t>
      </w:r>
      <w:r w:rsidR="456F8B55">
        <w:t xml:space="preserve">schools in Shefa and </w:t>
      </w:r>
      <w:proofErr w:type="spellStart"/>
      <w:r w:rsidR="456F8B55">
        <w:t>Penama</w:t>
      </w:r>
      <w:proofErr w:type="spellEnd"/>
      <w:r w:rsidR="456F8B55">
        <w:t xml:space="preserve"> provinces to identify and support students with disabilities</w:t>
      </w:r>
      <w:r w:rsidR="5BD344AE" w:rsidRPr="3326E6A4">
        <w:rPr>
          <w:rStyle w:val="FootnoteReference"/>
        </w:rPr>
        <w:footnoteReference w:id="21"/>
      </w:r>
      <w:r w:rsidR="456F8B55">
        <w:t xml:space="preserve">. </w:t>
      </w:r>
      <w:r w:rsidR="66D4E0C0">
        <w:t>This occurred as part of a lengthy pilot that ended in 2024</w:t>
      </w:r>
      <w:r w:rsidR="00DB53A0">
        <w:rPr>
          <w:rStyle w:val="FootnoteReference"/>
        </w:rPr>
        <w:footnoteReference w:id="22"/>
      </w:r>
      <w:r w:rsidR="66D4E0C0">
        <w:t xml:space="preserve">. </w:t>
      </w:r>
      <w:r w:rsidR="61EB8EA3">
        <w:t>The 2024 IMR report</w:t>
      </w:r>
      <w:r w:rsidR="64A9EB44">
        <w:t>s</w:t>
      </w:r>
      <w:r w:rsidR="61EB8EA3">
        <w:t xml:space="preserve"> that 100% of model </w:t>
      </w:r>
      <w:proofErr w:type="gramStart"/>
      <w:r w:rsidR="61EB8EA3">
        <w:t>school teachers</w:t>
      </w:r>
      <w:proofErr w:type="gramEnd"/>
      <w:r w:rsidR="61EB8EA3">
        <w:t xml:space="preserve"> surveyed had increased their understanding of how to support students with diverse learning needs in the classroom. </w:t>
      </w:r>
    </w:p>
    <w:p w14:paraId="285EB582" w14:textId="7421ECCC" w:rsidR="009803A7" w:rsidRPr="009803A7" w:rsidRDefault="009803A7" w:rsidP="3B0D9F72">
      <w:pPr>
        <w:pStyle w:val="ListParagraph"/>
        <w:numPr>
          <w:ilvl w:val="0"/>
          <w:numId w:val="26"/>
        </w:numPr>
        <w:rPr>
          <w:b/>
          <w:bCs/>
        </w:rPr>
      </w:pPr>
      <w:r w:rsidRPr="3B0D9F72">
        <w:rPr>
          <w:b/>
          <w:bCs/>
        </w:rPr>
        <w:t>Australia Awards program is valued and has potential to grow and innovate</w:t>
      </w:r>
    </w:p>
    <w:p w14:paraId="6CB6080E" w14:textId="7D9C9252" w:rsidR="36C6B495" w:rsidRDefault="36C6B495" w:rsidP="00F761A4">
      <w:r>
        <w:t>In</w:t>
      </w:r>
      <w:r w:rsidR="25E8E0A7">
        <w:t xml:space="preserve"> 2019, the management of t</w:t>
      </w:r>
      <w:r w:rsidR="061860C1">
        <w:t>he Australian Awards Vanuatu (AAV) program</w:t>
      </w:r>
      <w:r w:rsidR="3E18AC9B">
        <w:t xml:space="preserve"> </w:t>
      </w:r>
      <w:r w:rsidR="7BB3E38B">
        <w:t>w</w:t>
      </w:r>
      <w:r w:rsidR="3E18AC9B">
        <w:t xml:space="preserve">as </w:t>
      </w:r>
      <w:r w:rsidR="1912F310">
        <w:t xml:space="preserve">transitioned from the Australian High Commission to come under the VAESP contract with </w:t>
      </w:r>
      <w:r w:rsidR="00BE6DF5">
        <w:t>the VAESP MC</w:t>
      </w:r>
      <w:r w:rsidR="1912F310">
        <w:t xml:space="preserve">. </w:t>
      </w:r>
      <w:r w:rsidR="00BE6DF5">
        <w:t>The MC</w:t>
      </w:r>
      <w:r w:rsidR="1912F310">
        <w:t xml:space="preserve"> is responsible for the </w:t>
      </w:r>
      <w:r w:rsidR="29E8DFEC">
        <w:t xml:space="preserve">operational management </w:t>
      </w:r>
      <w:r w:rsidR="1912F310">
        <w:t xml:space="preserve">of AAV with </w:t>
      </w:r>
      <w:r w:rsidR="589A6B1A">
        <w:t>DFAT continuing to play a</w:t>
      </w:r>
      <w:r w:rsidR="002B36B9">
        <w:t xml:space="preserve"> strategic</w:t>
      </w:r>
      <w:r w:rsidR="63E00DF5">
        <w:t xml:space="preserve"> role in</w:t>
      </w:r>
      <w:r w:rsidR="002B36B9" w:rsidRPr="002B36B9">
        <w:t xml:space="preserve"> </w:t>
      </w:r>
      <w:r w:rsidR="002B36B9">
        <w:t xml:space="preserve">engagement with </w:t>
      </w:r>
      <w:proofErr w:type="spellStart"/>
      <w:r w:rsidR="002B36B9">
        <w:t>MoET</w:t>
      </w:r>
      <w:proofErr w:type="spellEnd"/>
      <w:r w:rsidR="002B36B9">
        <w:t xml:space="preserve"> and the Public Service Commission,</w:t>
      </w:r>
      <w:r w:rsidR="63E00DF5">
        <w:t xml:space="preserve"> key stages of the selection/awarding process</w:t>
      </w:r>
      <w:r w:rsidR="002B36B9">
        <w:t>, alumni activities,</w:t>
      </w:r>
      <w:r w:rsidR="63E00DF5">
        <w:t xml:space="preserve"> and in</w:t>
      </w:r>
      <w:r w:rsidR="5DFAC2CA">
        <w:t xml:space="preserve"> oversight and priority-setting</w:t>
      </w:r>
      <w:r w:rsidR="6E3F12E1">
        <w:t xml:space="preserve">. </w:t>
      </w:r>
    </w:p>
    <w:p w14:paraId="4C3D0B60" w14:textId="529480ED" w:rsidR="01C915A5" w:rsidRDefault="01C915A5" w:rsidP="00F761A4">
      <w:r>
        <w:t>Consultations affirmed that AAV</w:t>
      </w:r>
      <w:r w:rsidR="061860C1">
        <w:t xml:space="preserve"> is </w:t>
      </w:r>
      <w:r w:rsidR="176632C7">
        <w:t xml:space="preserve">a </w:t>
      </w:r>
      <w:r w:rsidR="061860C1">
        <w:t xml:space="preserve">highly valued </w:t>
      </w:r>
      <w:r w:rsidR="0F933530">
        <w:t>component of DFAT</w:t>
      </w:r>
      <w:r w:rsidR="005B3573">
        <w:t>’</w:t>
      </w:r>
      <w:r w:rsidR="0F933530">
        <w:t>s investment in education and skills development in Vanuatu. Following the disruptions of the COVID-19 pandemic numbers of new awardees have increased</w:t>
      </w:r>
      <w:r w:rsidR="24CA2ED0">
        <w:t xml:space="preserve">. </w:t>
      </w:r>
      <w:r w:rsidR="1F4ED353">
        <w:t xml:space="preserve">As </w:t>
      </w:r>
      <w:r w:rsidR="005B3573">
        <w:t>of</w:t>
      </w:r>
      <w:r w:rsidR="1F4ED353">
        <w:t xml:space="preserve"> 15 February 2024, a total of 55 AA</w:t>
      </w:r>
      <w:r w:rsidR="002E6D20">
        <w:t>V</w:t>
      </w:r>
      <w:r w:rsidR="2D51637D">
        <w:t xml:space="preserve"> </w:t>
      </w:r>
      <w:r w:rsidR="3B97FBF1">
        <w:t>s</w:t>
      </w:r>
      <w:r w:rsidR="2B86F6AD">
        <w:t>cholarship</w:t>
      </w:r>
      <w:r w:rsidR="1F4ED353">
        <w:t xml:space="preserve"> awardees are studying in Australia and 23 </w:t>
      </w:r>
      <w:r w:rsidR="00BE33CA">
        <w:t>Australia Awards Pacific Scholarships (</w:t>
      </w:r>
      <w:r w:rsidR="1F4ED353">
        <w:t>AA</w:t>
      </w:r>
      <w:r w:rsidR="00BE33CA">
        <w:t>PS)</w:t>
      </w:r>
      <w:r w:rsidR="1F4ED353">
        <w:t xml:space="preserve"> awardees in Fiji</w:t>
      </w:r>
      <w:r w:rsidR="7814F363">
        <w:t>. Over</w:t>
      </w:r>
      <w:r w:rsidR="1F4ED353">
        <w:t xml:space="preserve"> 520 alumni are registered in the AAV alumni database</w:t>
      </w:r>
      <w:r w:rsidR="50916EF0">
        <w:t xml:space="preserve">, which is double the number </w:t>
      </w:r>
      <w:r w:rsidR="5FA7A001">
        <w:t xml:space="preserve">since 2019. </w:t>
      </w:r>
      <w:r w:rsidR="005B3573">
        <w:t xml:space="preserve">The AAV MEL system appears to function somewhat separately from the rest of VAESP, and includes </w:t>
      </w:r>
      <w:r w:rsidR="00A0124A">
        <w:t xml:space="preserve">an </w:t>
      </w:r>
      <w:r w:rsidR="005B3573">
        <w:t>annual reflection and learning process, which provide a platform for ongoing program improvement, in collaboration with Post</w:t>
      </w:r>
      <w:r w:rsidR="1F4ED353">
        <w:t xml:space="preserve">. </w:t>
      </w:r>
    </w:p>
    <w:p w14:paraId="7E439FF1" w14:textId="22034FFE" w:rsidR="2412C41C" w:rsidRDefault="2412C41C" w:rsidP="3B0D9F72">
      <w:r>
        <w:t>There have been some positive developments and innovations undertaken by AAV in the last two years that demonstrate the potential to further grow and strengthen the program.</w:t>
      </w:r>
      <w:r w:rsidR="3C848679">
        <w:t xml:space="preserve"> For example, </w:t>
      </w:r>
    </w:p>
    <w:p w14:paraId="2912A01B" w14:textId="41F29CA1" w:rsidR="3C848679" w:rsidRDefault="3C848679" w:rsidP="3B0D9F72">
      <w:pPr>
        <w:pStyle w:val="ListParagraph"/>
        <w:numPr>
          <w:ilvl w:val="0"/>
          <w:numId w:val="4"/>
        </w:numPr>
      </w:pPr>
      <w:r w:rsidRPr="3B0D9F72">
        <w:t>An increased focus on offering awards for study at TVET institutions in Australia; f</w:t>
      </w:r>
      <w:r w:rsidR="402AA4ED" w:rsidRPr="3B0D9F72">
        <w:t xml:space="preserve">ive </w:t>
      </w:r>
      <w:r w:rsidR="178E2288" w:rsidRPr="3B0D9F72">
        <w:t xml:space="preserve">2024 </w:t>
      </w:r>
      <w:r w:rsidR="402AA4ED" w:rsidRPr="3B0D9F72">
        <w:t>awardees a</w:t>
      </w:r>
      <w:r w:rsidR="42E9764F" w:rsidRPr="3B0D9F72">
        <w:t>re undertaking a TVET</w:t>
      </w:r>
      <w:r w:rsidR="402AA4ED" w:rsidRPr="3B0D9F72">
        <w:t xml:space="preserve"> course. </w:t>
      </w:r>
    </w:p>
    <w:p w14:paraId="27A1F547" w14:textId="3C552AFF" w:rsidR="49C69499" w:rsidRDefault="14BDA545">
      <w:pPr>
        <w:pStyle w:val="ListParagraph"/>
        <w:numPr>
          <w:ilvl w:val="0"/>
          <w:numId w:val="4"/>
        </w:numPr>
      </w:pPr>
      <w:r>
        <w:t xml:space="preserve">Discussions with VSP to explore opportunities for pathways for AAV TVET graduates and </w:t>
      </w:r>
      <w:r w:rsidR="34E2DA09">
        <w:t xml:space="preserve">engagement with Skills Centres to promote AAV to people in provincial locations. </w:t>
      </w:r>
    </w:p>
    <w:p w14:paraId="780DB13D" w14:textId="2041C44A" w:rsidR="402AA4ED" w:rsidRDefault="0D077172" w:rsidP="3B0D9F72">
      <w:pPr>
        <w:pStyle w:val="ListParagraph"/>
        <w:numPr>
          <w:ilvl w:val="0"/>
          <w:numId w:val="4"/>
        </w:numPr>
      </w:pPr>
      <w:r>
        <w:t xml:space="preserve">Three </w:t>
      </w:r>
      <w:r w:rsidR="0081322C">
        <w:t xml:space="preserve">individuals </w:t>
      </w:r>
      <w:r>
        <w:t>with disabilit</w:t>
      </w:r>
      <w:r w:rsidR="59485B2B">
        <w:t>ies</w:t>
      </w:r>
      <w:r>
        <w:t xml:space="preserve"> </w:t>
      </w:r>
      <w:r w:rsidR="5A6F8B08">
        <w:t xml:space="preserve">were </w:t>
      </w:r>
      <w:r>
        <w:t>awarded an Australia Award in 2023</w:t>
      </w:r>
      <w:r w:rsidR="534A6F4A">
        <w:t xml:space="preserve">, and there was </w:t>
      </w:r>
      <w:r>
        <w:t>close li</w:t>
      </w:r>
      <w:r w:rsidR="783F17EE">
        <w:t xml:space="preserve">aison </w:t>
      </w:r>
      <w:r>
        <w:t>with DFAT</w:t>
      </w:r>
      <w:r w:rsidR="1E598468">
        <w:t>’s</w:t>
      </w:r>
      <w:r>
        <w:t xml:space="preserve"> </w:t>
      </w:r>
      <w:r w:rsidR="4DD31820">
        <w:t>A</w:t>
      </w:r>
      <w:r w:rsidR="002E6D20">
        <w:t xml:space="preserve">ustralia </w:t>
      </w:r>
      <w:r w:rsidR="4DD31820">
        <w:t>A</w:t>
      </w:r>
      <w:r w:rsidR="002E6D20">
        <w:t>wards</w:t>
      </w:r>
      <w:r w:rsidR="4DD31820">
        <w:t xml:space="preserve"> </w:t>
      </w:r>
      <w:r>
        <w:t xml:space="preserve">Disability Support Consultant to assess </w:t>
      </w:r>
      <w:r w:rsidR="23570EA7">
        <w:t xml:space="preserve">(and provide) </w:t>
      </w:r>
      <w:r w:rsidR="06FA4B7C">
        <w:t xml:space="preserve">necessary </w:t>
      </w:r>
      <w:r>
        <w:t>support</w:t>
      </w:r>
      <w:r w:rsidR="5BF43A1D">
        <w:t>.</w:t>
      </w:r>
    </w:p>
    <w:p w14:paraId="63F37CC6" w14:textId="32CDAE4A" w:rsidR="402AA4ED" w:rsidRDefault="0D077172" w:rsidP="3B0D9F72">
      <w:pPr>
        <w:pStyle w:val="ListParagraph"/>
        <w:numPr>
          <w:ilvl w:val="0"/>
          <w:numId w:val="4"/>
        </w:numPr>
      </w:pPr>
      <w:r>
        <w:t xml:space="preserve">A </w:t>
      </w:r>
      <w:r w:rsidR="0340F70E">
        <w:t>w</w:t>
      </w:r>
      <w:r>
        <w:t xml:space="preserve">orkplan for improving access to AAV for </w:t>
      </w:r>
      <w:r w:rsidR="52AC25AB">
        <w:t>p</w:t>
      </w:r>
      <w:r>
        <w:t xml:space="preserve">eople with </w:t>
      </w:r>
      <w:r w:rsidR="52AC25AB">
        <w:t>d</w:t>
      </w:r>
      <w:r>
        <w:t>isabilit</w:t>
      </w:r>
      <w:r w:rsidR="515C1199">
        <w:t>ies</w:t>
      </w:r>
      <w:r>
        <w:t xml:space="preserve"> was developed in 2023</w:t>
      </w:r>
      <w:r w:rsidR="07A10F67">
        <w:t>.</w:t>
      </w:r>
    </w:p>
    <w:p w14:paraId="78A3C038" w14:textId="6287853E" w:rsidR="3B0D9F72" w:rsidRPr="00B158C6" w:rsidRDefault="402AA4ED" w:rsidP="3B0D9F72">
      <w:pPr>
        <w:pStyle w:val="ListParagraph"/>
        <w:numPr>
          <w:ilvl w:val="0"/>
          <w:numId w:val="4"/>
        </w:numPr>
      </w:pPr>
      <w:r>
        <w:t xml:space="preserve">Localisation of staffing with AAV now run by two ni-Vanuatu staff members. </w:t>
      </w:r>
      <w:r w:rsidR="00B158C6">
        <w:br/>
      </w:r>
    </w:p>
    <w:p w14:paraId="6EA7CEA7" w14:textId="5799FBEA" w:rsidR="00C47B7E" w:rsidRPr="009803A7" w:rsidRDefault="00010DEA" w:rsidP="3B0D9F72">
      <w:pPr>
        <w:pStyle w:val="ListParagraph"/>
        <w:numPr>
          <w:ilvl w:val="0"/>
          <w:numId w:val="26"/>
        </w:numPr>
        <w:rPr>
          <w:b/>
          <w:bCs/>
        </w:rPr>
      </w:pPr>
      <w:r>
        <w:rPr>
          <w:b/>
          <w:bCs/>
        </w:rPr>
        <w:t xml:space="preserve">The </w:t>
      </w:r>
      <w:r w:rsidR="00C47B7E" w:rsidRPr="3B0D9F72">
        <w:rPr>
          <w:b/>
          <w:bCs/>
        </w:rPr>
        <w:t xml:space="preserve">DFA is flexible, valued by </w:t>
      </w:r>
      <w:proofErr w:type="spellStart"/>
      <w:r w:rsidR="00C47B7E" w:rsidRPr="3B0D9F72">
        <w:rPr>
          <w:b/>
          <w:bCs/>
        </w:rPr>
        <w:t>GoV</w:t>
      </w:r>
      <w:proofErr w:type="spellEnd"/>
      <w:r w:rsidR="00C47B7E" w:rsidRPr="3B0D9F72">
        <w:rPr>
          <w:b/>
          <w:bCs/>
        </w:rPr>
        <w:t>, and can accommodate additional funding to respond to disasters</w:t>
      </w:r>
      <w:r w:rsidR="780824BC" w:rsidRPr="3B0D9F72">
        <w:rPr>
          <w:b/>
          <w:bCs/>
        </w:rPr>
        <w:t xml:space="preserve"> and other emerging needs</w:t>
      </w:r>
    </w:p>
    <w:p w14:paraId="1838A578" w14:textId="2622EA4D" w:rsidR="0EF2DECE" w:rsidRDefault="00184F9C" w:rsidP="00F761A4">
      <w:r>
        <w:t>The</w:t>
      </w:r>
      <w:r w:rsidR="0EF2DECE">
        <w:t xml:space="preserve"> DFA mechanism has </w:t>
      </w:r>
      <w:r w:rsidR="2647DD88">
        <w:t xml:space="preserve">proven itself a useful channel for rapid and efficient distribution of funds and has </w:t>
      </w:r>
      <w:r w:rsidR="0EF2DECE">
        <w:t xml:space="preserve">provided the flexibility to respond to emerging priorities such as post-cyclone and COVID-19 responses.  </w:t>
      </w:r>
      <w:r w:rsidR="4F84B760">
        <w:t xml:space="preserve">The DFA has functioned as an effective conduit for the timely delivery of funds down to the community level. This is a significant achievement given the </w:t>
      </w:r>
      <w:r w:rsidR="008B687D">
        <w:t>extent</w:t>
      </w:r>
      <w:r w:rsidR="4F84B760">
        <w:t xml:space="preserve"> of overlapping disruption of tropical cyclones and </w:t>
      </w:r>
      <w:r w:rsidR="17E91FBB">
        <w:t>COVID</w:t>
      </w:r>
      <w:r w:rsidR="4F84B760">
        <w:t>-19 inflict</w:t>
      </w:r>
      <w:r w:rsidR="008B687D">
        <w:t>ed</w:t>
      </w:r>
      <w:r w:rsidR="4F84B760">
        <w:t xml:space="preserve"> on the education system and Vanuatu as a whole. Notably, this was only possible because of the school grant financing system developed by </w:t>
      </w:r>
      <w:proofErr w:type="spellStart"/>
      <w:r w:rsidR="4F84B760">
        <w:t>MoET</w:t>
      </w:r>
      <w:proofErr w:type="spellEnd"/>
      <w:r w:rsidR="4F84B760">
        <w:t xml:space="preserve">, </w:t>
      </w:r>
      <w:r w:rsidR="192786FA">
        <w:t xml:space="preserve">which has been </w:t>
      </w:r>
      <w:r w:rsidR="4F84B760">
        <w:t>strengthened over time through technical assistance from VAESP</w:t>
      </w:r>
      <w:r w:rsidR="6DF7886A">
        <w:t xml:space="preserve"> and DFAT’s continued investment in the school grants system. This is a good example of the pay-off </w:t>
      </w:r>
      <w:r w:rsidR="008B687D">
        <w:t>from</w:t>
      </w:r>
      <w:r w:rsidR="6DF7886A">
        <w:t xml:space="preserve"> long-term, </w:t>
      </w:r>
      <w:r w:rsidR="008B687D">
        <w:t xml:space="preserve">sustained, </w:t>
      </w:r>
      <w:r w:rsidR="6DF7886A">
        <w:t xml:space="preserve">strategically focused investment.  </w:t>
      </w:r>
    </w:p>
    <w:p w14:paraId="5D2C7749" w14:textId="3462A5DE" w:rsidR="7E8482EE" w:rsidRDefault="3480454A" w:rsidP="00F761A4">
      <w:r>
        <w:t xml:space="preserve">The quantum of funding disbursed through the DFA has increased significantly over the last </w:t>
      </w:r>
      <w:proofErr w:type="gramStart"/>
      <w:r w:rsidR="00A46419">
        <w:t xml:space="preserve">seven </w:t>
      </w:r>
      <w:r w:rsidR="7E8482EE">
        <w:t xml:space="preserve"> </w:t>
      </w:r>
      <w:r w:rsidR="43A13BEC">
        <w:t>years</w:t>
      </w:r>
      <w:proofErr w:type="gramEnd"/>
      <w:r w:rsidR="43A13BEC">
        <w:t xml:space="preserve"> of VAESP.</w:t>
      </w:r>
      <w:r w:rsidR="4319D6FD">
        <w:t xml:space="preserve"> While this </w:t>
      </w:r>
      <w:r w:rsidR="43A13BEC">
        <w:t xml:space="preserve">created challenges for </w:t>
      </w:r>
      <w:proofErr w:type="spellStart"/>
      <w:r w:rsidR="43A13BEC">
        <w:t>MoET</w:t>
      </w:r>
      <w:proofErr w:type="spellEnd"/>
      <w:r w:rsidR="43A13BEC">
        <w:t xml:space="preserve"> in terms of meeting required reporting</w:t>
      </w:r>
      <w:r w:rsidR="5865451F">
        <w:t xml:space="preserve">, the provision of TA support through the MC to assist </w:t>
      </w:r>
      <w:proofErr w:type="spellStart"/>
      <w:r w:rsidR="5865451F">
        <w:t>MoET</w:t>
      </w:r>
      <w:proofErr w:type="spellEnd"/>
      <w:r w:rsidR="5865451F">
        <w:t xml:space="preserve"> in this area demonstrates the potential for complementarity through the two modalities. </w:t>
      </w:r>
      <w:r w:rsidR="06A857F2">
        <w:t xml:space="preserve"> DFAT commissioned a</w:t>
      </w:r>
      <w:r w:rsidR="00184F9C">
        <w:t>n in-house</w:t>
      </w:r>
      <w:r w:rsidR="06A857F2">
        <w:t xml:space="preserve"> review of all DFAs </w:t>
      </w:r>
      <w:r w:rsidR="7A9FB53A">
        <w:t xml:space="preserve">in 2024 to provide </w:t>
      </w:r>
      <w:r w:rsidR="542C5952">
        <w:t xml:space="preserve">guidance on improving </w:t>
      </w:r>
      <w:r w:rsidR="60565702">
        <w:t>their utilisation</w:t>
      </w:r>
      <w:r w:rsidR="542C5952">
        <w:t xml:space="preserve"> in </w:t>
      </w:r>
      <w:r w:rsidR="7FB91F0D">
        <w:t xml:space="preserve">the </w:t>
      </w:r>
      <w:r w:rsidR="542C5952">
        <w:t>future</w:t>
      </w:r>
      <w:r w:rsidR="7A9FB53A">
        <w:t xml:space="preserve">. While not specific to the education </w:t>
      </w:r>
      <w:r w:rsidR="32F2D971">
        <w:t xml:space="preserve">sector </w:t>
      </w:r>
      <w:r w:rsidR="7A9FB53A">
        <w:t xml:space="preserve">DFAs, </w:t>
      </w:r>
      <w:r w:rsidR="3908045B">
        <w:t xml:space="preserve">the review highlights relevant </w:t>
      </w:r>
      <w:r w:rsidR="074C3B16">
        <w:t xml:space="preserve">lessons learned such as </w:t>
      </w:r>
      <w:r w:rsidR="4C2382B8">
        <w:t xml:space="preserve">the importance of </w:t>
      </w:r>
      <w:r w:rsidR="074C3B16">
        <w:t xml:space="preserve">ensuring greater specification of activities </w:t>
      </w:r>
      <w:r w:rsidR="35865603">
        <w:t xml:space="preserve">to be implemented under DFAs and their link to strategic outcomes, and </w:t>
      </w:r>
      <w:r w:rsidR="048EE0FE">
        <w:t xml:space="preserve">the need for </w:t>
      </w:r>
      <w:r w:rsidR="35865603">
        <w:t xml:space="preserve">more coordinated support </w:t>
      </w:r>
      <w:r w:rsidR="4C3008B2">
        <w:t xml:space="preserve">by DFAT </w:t>
      </w:r>
      <w:r w:rsidR="35865603">
        <w:t>for addressing PFM issues</w:t>
      </w:r>
      <w:r w:rsidR="3EDE23F0">
        <w:t xml:space="preserve"> that are common across all sectoral DFAs.</w:t>
      </w:r>
    </w:p>
    <w:p w14:paraId="70362FCE" w14:textId="55BE7E67" w:rsidR="009803A7" w:rsidRDefault="009803A7" w:rsidP="009803A7">
      <w:pPr>
        <w:pStyle w:val="Heading3"/>
      </w:pPr>
      <w:r>
        <w:t xml:space="preserve">Issues </w:t>
      </w:r>
    </w:p>
    <w:p w14:paraId="6BECCB2C" w14:textId="71C6E246" w:rsidR="009803A7" w:rsidRDefault="009803A7" w:rsidP="3B0D9F72">
      <w:pPr>
        <w:pStyle w:val="ListParagraph"/>
        <w:numPr>
          <w:ilvl w:val="0"/>
          <w:numId w:val="31"/>
        </w:numPr>
        <w:rPr>
          <w:b/>
          <w:bCs/>
        </w:rPr>
      </w:pPr>
      <w:r w:rsidRPr="3B0D9F72">
        <w:rPr>
          <w:b/>
          <w:bCs/>
        </w:rPr>
        <w:t xml:space="preserve">Centralised focus </w:t>
      </w:r>
      <w:r w:rsidR="305DC49B" w:rsidRPr="3B0D9F72">
        <w:rPr>
          <w:b/>
          <w:bCs/>
        </w:rPr>
        <w:t xml:space="preserve">on </w:t>
      </w:r>
      <w:proofErr w:type="spellStart"/>
      <w:r w:rsidR="305DC49B" w:rsidRPr="3B0D9F72">
        <w:rPr>
          <w:b/>
          <w:bCs/>
        </w:rPr>
        <w:t>MoET</w:t>
      </w:r>
      <w:proofErr w:type="spellEnd"/>
      <w:r w:rsidR="305DC49B" w:rsidRPr="3B0D9F72">
        <w:rPr>
          <w:b/>
          <w:bCs/>
        </w:rPr>
        <w:t xml:space="preserve"> planning, guidance, and documentation has limited provincial engagement and delivery, and overshadowed investment in practical implementation and change at </w:t>
      </w:r>
      <w:r w:rsidR="0FF3C458" w:rsidRPr="3B0D9F72">
        <w:rPr>
          <w:b/>
          <w:bCs/>
        </w:rPr>
        <w:t xml:space="preserve">the </w:t>
      </w:r>
      <w:r w:rsidR="305DC49B" w:rsidRPr="3B0D9F72">
        <w:rPr>
          <w:b/>
          <w:bCs/>
        </w:rPr>
        <w:t>classroom level</w:t>
      </w:r>
    </w:p>
    <w:p w14:paraId="7B3B3443" w14:textId="52166FAF" w:rsidR="009803A7" w:rsidRPr="009803A7" w:rsidRDefault="002F1C23" w:rsidP="00F761A4">
      <w:r>
        <w:t xml:space="preserve">The </w:t>
      </w:r>
      <w:r w:rsidR="11B7C6F9">
        <w:t>VAESP design stipulat</w:t>
      </w:r>
      <w:r w:rsidR="00222007">
        <w:t>es</w:t>
      </w:r>
      <w:r w:rsidR="11B7C6F9">
        <w:t xml:space="preserve"> a provincial focus, </w:t>
      </w:r>
      <w:r w:rsidR="00222007">
        <w:t xml:space="preserve">however documentation and </w:t>
      </w:r>
      <w:r w:rsidR="32142A94">
        <w:t>c</w:t>
      </w:r>
      <w:r w:rsidR="7598E3E5">
        <w:t xml:space="preserve">onsultation with key informants indicated that </w:t>
      </w:r>
      <w:r w:rsidR="37A2C260">
        <w:t xml:space="preserve">VAESP’s </w:t>
      </w:r>
      <w:r w:rsidR="7598E3E5">
        <w:t xml:space="preserve">implementation has been strongly centralised, with limited engagement or delivery at the provincial level. While there are inherent contextual challenges in reaching, implementing and coordinating </w:t>
      </w:r>
      <w:r w:rsidR="7BF6CC02">
        <w:t>delivery</w:t>
      </w:r>
      <w:r w:rsidR="7598E3E5">
        <w:t xml:space="preserve"> in schools in remote locations across </w:t>
      </w:r>
      <w:r w:rsidR="553A7206">
        <w:t>Vanuatu’s six</w:t>
      </w:r>
      <w:r w:rsidR="7598E3E5">
        <w:t xml:space="preserve"> provinces, </w:t>
      </w:r>
      <w:r w:rsidR="781B22AC">
        <w:t>V</w:t>
      </w:r>
      <w:r w:rsidR="48D14DD5">
        <w:t>A</w:t>
      </w:r>
      <w:r w:rsidR="781B22AC">
        <w:t xml:space="preserve">ESP has tended to focus more on policy </w:t>
      </w:r>
      <w:r w:rsidR="1726CFEF">
        <w:t xml:space="preserve">development </w:t>
      </w:r>
      <w:r w:rsidR="781B22AC">
        <w:t xml:space="preserve">than </w:t>
      </w:r>
      <w:r w:rsidR="6C3057AA">
        <w:t xml:space="preserve">support for practical </w:t>
      </w:r>
      <w:r w:rsidR="781B22AC">
        <w:t>implementation</w:t>
      </w:r>
      <w:r w:rsidR="4BDB48FB">
        <w:t xml:space="preserve"> at a school level</w:t>
      </w:r>
      <w:r w:rsidR="24F24710">
        <w:t>,</w:t>
      </w:r>
      <w:r w:rsidR="00257801">
        <w:t xml:space="preserve"> </w:t>
      </w:r>
      <w:r w:rsidR="0DF1AF5A">
        <w:t>w</w:t>
      </w:r>
      <w:r w:rsidR="38312FB2">
        <w:t>ith an emphasis on</w:t>
      </w:r>
      <w:r w:rsidR="0FE9C29A" w:rsidRPr="2D65516E">
        <w:rPr>
          <w:rFonts w:eastAsia="Calibri" w:cs="Calibri"/>
        </w:rPr>
        <w:t xml:space="preserve"> </w:t>
      </w:r>
      <w:r w:rsidR="02238CDE" w:rsidRPr="2D65516E">
        <w:rPr>
          <w:rFonts w:eastAsia="Calibri" w:cs="Calibri"/>
        </w:rPr>
        <w:t xml:space="preserve">supporting national-level </w:t>
      </w:r>
      <w:r w:rsidR="0FE9C29A" w:rsidRPr="2D65516E">
        <w:rPr>
          <w:rFonts w:eastAsia="Calibri" w:cs="Calibri"/>
        </w:rPr>
        <w:t xml:space="preserve">planning and reporting, </w:t>
      </w:r>
      <w:r w:rsidR="77A0E2D0" w:rsidRPr="2D65516E">
        <w:rPr>
          <w:rFonts w:eastAsia="Calibri" w:cs="Calibri"/>
        </w:rPr>
        <w:t xml:space="preserve">and </w:t>
      </w:r>
      <w:r w:rsidR="0FE9C29A" w:rsidRPr="2D65516E">
        <w:rPr>
          <w:rFonts w:eastAsia="Calibri" w:cs="Calibri"/>
        </w:rPr>
        <w:t>the development of guidance documents.</w:t>
      </w:r>
      <w:r w:rsidR="00222007">
        <w:rPr>
          <w:rFonts w:eastAsia="Calibri" w:cs="Calibri"/>
        </w:rPr>
        <w:t xml:space="preserve"> </w:t>
      </w:r>
      <w:r w:rsidR="5FF2D057">
        <w:t xml:space="preserve">Over-reliance on </w:t>
      </w:r>
      <w:proofErr w:type="gramStart"/>
      <w:r w:rsidR="5FF2D057">
        <w:t>central</w:t>
      </w:r>
      <w:r w:rsidR="3125154B">
        <w:t>ly-led</w:t>
      </w:r>
      <w:proofErr w:type="gramEnd"/>
      <w:r w:rsidR="5FF2D057">
        <w:t xml:space="preserve"> activities </w:t>
      </w:r>
      <w:proofErr w:type="gramStart"/>
      <w:r w:rsidR="5FF2D057">
        <w:t>limits</w:t>
      </w:r>
      <w:proofErr w:type="gramEnd"/>
      <w:r w:rsidR="5FF2D057">
        <w:t xml:space="preserve"> </w:t>
      </w:r>
      <w:r w:rsidR="00FA55AE">
        <w:t>engagement with, and leadership development amongst, Provincial Education Officers, school heads and teachers</w:t>
      </w:r>
      <w:r w:rsidR="4B23345B">
        <w:t>.</w:t>
      </w:r>
      <w:r w:rsidR="00222007">
        <w:t xml:space="preserve"> </w:t>
      </w:r>
      <w:r w:rsidR="5FF2D057">
        <w:t xml:space="preserve">It also amplifies </w:t>
      </w:r>
      <w:r w:rsidR="00222007">
        <w:t xml:space="preserve">any </w:t>
      </w:r>
      <w:r w:rsidR="5FF2D057">
        <w:t xml:space="preserve">risk that national government instability presents to the whole program. </w:t>
      </w:r>
    </w:p>
    <w:p w14:paraId="4FD05EFF" w14:textId="7A0E940C" w:rsidR="009803A7" w:rsidRPr="009803A7" w:rsidRDefault="02543A2F" w:rsidP="3F3458A6">
      <w:pPr>
        <w:rPr>
          <w:rFonts w:eastAsia="Calibri" w:cs="Calibri"/>
        </w:rPr>
      </w:pPr>
      <w:r w:rsidRPr="2D65516E">
        <w:rPr>
          <w:rFonts w:eastAsia="Calibri" w:cs="Calibri"/>
        </w:rPr>
        <w:t xml:space="preserve">With the exception of the ECCE </w:t>
      </w:r>
      <w:r w:rsidR="558D7CA6" w:rsidRPr="2D65516E">
        <w:rPr>
          <w:rFonts w:eastAsia="Calibri" w:cs="Calibri"/>
        </w:rPr>
        <w:t>PSP</w:t>
      </w:r>
      <w:r w:rsidRPr="2D65516E">
        <w:rPr>
          <w:rFonts w:eastAsia="Calibri" w:cs="Calibri"/>
        </w:rPr>
        <w:t>, provincial and school-level delivery</w:t>
      </w:r>
      <w:r w:rsidR="790FE373" w:rsidRPr="2D65516E">
        <w:rPr>
          <w:rFonts w:eastAsia="Calibri" w:cs="Calibri"/>
        </w:rPr>
        <w:t xml:space="preserve"> through VAESP</w:t>
      </w:r>
      <w:r w:rsidRPr="2D65516E">
        <w:rPr>
          <w:rFonts w:eastAsia="Calibri" w:cs="Calibri"/>
        </w:rPr>
        <w:t xml:space="preserve"> has tended to rely on cascade or ‘train the trainer’ models, whereby one-off trainings are provided to provincial level staff, principals or individual teachers with the </w:t>
      </w:r>
      <w:r w:rsidR="273E666D" w:rsidRPr="2D65516E">
        <w:rPr>
          <w:rFonts w:eastAsia="Calibri" w:cs="Calibri"/>
        </w:rPr>
        <w:t>assumption</w:t>
      </w:r>
      <w:r w:rsidRPr="2D65516E">
        <w:rPr>
          <w:rFonts w:eastAsia="Calibri" w:cs="Calibri"/>
        </w:rPr>
        <w:t xml:space="preserve"> that they will share learnings and implement changes, in the absence of ongoing support and follow up (as evidenced in the 2022 MTR and VAESP Annual Report</w:t>
      </w:r>
      <w:r w:rsidR="790FE373" w:rsidRPr="2D65516E">
        <w:rPr>
          <w:rFonts w:eastAsia="Calibri" w:cs="Calibri"/>
        </w:rPr>
        <w:t>s</w:t>
      </w:r>
      <w:r w:rsidRPr="2D65516E">
        <w:rPr>
          <w:rFonts w:eastAsia="Calibri" w:cs="Calibri"/>
        </w:rPr>
        <w:t xml:space="preserve">).  </w:t>
      </w:r>
      <w:r w:rsidR="65EA7693" w:rsidRPr="2D65516E">
        <w:rPr>
          <w:rFonts w:eastAsia="Calibri" w:cs="Calibri"/>
        </w:rPr>
        <w:t>VAESP reporting provides little evidence of t</w:t>
      </w:r>
      <w:r w:rsidRPr="2D65516E">
        <w:rPr>
          <w:rFonts w:eastAsia="Calibri" w:cs="Calibri"/>
        </w:rPr>
        <w:t>his top-down approach, combined with a focus on quantity rather than quality of activity delivery (see point c.</w:t>
      </w:r>
      <w:r w:rsidR="00D209F7" w:rsidRPr="2D65516E">
        <w:rPr>
          <w:rFonts w:eastAsia="Calibri" w:cs="Calibri"/>
        </w:rPr>
        <w:t xml:space="preserve"> below</w:t>
      </w:r>
      <w:r w:rsidRPr="2D65516E">
        <w:rPr>
          <w:rFonts w:eastAsia="Calibri" w:cs="Calibri"/>
        </w:rPr>
        <w:t>)</w:t>
      </w:r>
      <w:r w:rsidR="00212D86" w:rsidRPr="2D65516E">
        <w:rPr>
          <w:rFonts w:eastAsia="Calibri" w:cs="Calibri"/>
        </w:rPr>
        <w:t xml:space="preserve">, succeeding in bringing about </w:t>
      </w:r>
      <w:r w:rsidR="348CE550" w:rsidRPr="2D65516E">
        <w:rPr>
          <w:rFonts w:eastAsia="Calibri" w:cs="Calibri"/>
        </w:rPr>
        <w:t>sustained</w:t>
      </w:r>
      <w:r w:rsidRPr="2D65516E">
        <w:rPr>
          <w:rFonts w:eastAsia="Calibri" w:cs="Calibri"/>
        </w:rPr>
        <w:t xml:space="preserve"> practice-change at the</w:t>
      </w:r>
      <w:r w:rsidR="5FFF1A26" w:rsidRPr="2D65516E">
        <w:rPr>
          <w:rFonts w:eastAsia="Calibri" w:cs="Calibri"/>
        </w:rPr>
        <w:t xml:space="preserve"> school and</w:t>
      </w:r>
      <w:r w:rsidRPr="2D65516E">
        <w:rPr>
          <w:rFonts w:eastAsia="Calibri" w:cs="Calibri"/>
        </w:rPr>
        <w:t xml:space="preserve"> classroom level. For example, VAESP has supported the development of school strategic plans, but there is no evidence of ongoing support for schools to implement and use these resources and to monitor and learn from the classroom/student level impacts. In 2022, VAESP worked with </w:t>
      </w:r>
      <w:proofErr w:type="spellStart"/>
      <w:r w:rsidRPr="2D65516E">
        <w:rPr>
          <w:rFonts w:eastAsia="Calibri" w:cs="Calibri"/>
        </w:rPr>
        <w:t>MoET</w:t>
      </w:r>
      <w:proofErr w:type="spellEnd"/>
      <w:r w:rsidRPr="2D65516E">
        <w:rPr>
          <w:rFonts w:eastAsia="Calibri" w:cs="Calibri"/>
        </w:rPr>
        <w:t xml:space="preserve"> to deliver principals' induction training to 35 principals. Ongoing follow</w:t>
      </w:r>
      <w:r w:rsidR="790FE373" w:rsidRPr="2D65516E">
        <w:rPr>
          <w:rFonts w:eastAsia="Calibri" w:cs="Calibri"/>
        </w:rPr>
        <w:t>-up</w:t>
      </w:r>
      <w:r w:rsidRPr="2D65516E">
        <w:rPr>
          <w:rFonts w:eastAsia="Calibri" w:cs="Calibri"/>
        </w:rPr>
        <w:t xml:space="preserve"> to support these </w:t>
      </w:r>
      <w:r w:rsidR="007E73E6" w:rsidRPr="2D65516E">
        <w:rPr>
          <w:rFonts w:eastAsia="Calibri" w:cs="Calibri"/>
        </w:rPr>
        <w:t>p</w:t>
      </w:r>
      <w:r w:rsidRPr="2D65516E">
        <w:rPr>
          <w:rFonts w:eastAsia="Calibri" w:cs="Calibri"/>
        </w:rPr>
        <w:t>rincipals to implement their learning was planned</w:t>
      </w:r>
      <w:r w:rsidR="54F203DF" w:rsidRPr="2D65516E">
        <w:rPr>
          <w:rFonts w:eastAsia="Calibri" w:cs="Calibri"/>
        </w:rPr>
        <w:t>.</w:t>
      </w:r>
      <w:r w:rsidRPr="2D65516E">
        <w:rPr>
          <w:rFonts w:eastAsia="Calibri" w:cs="Calibri"/>
        </w:rPr>
        <w:t xml:space="preserve"> </w:t>
      </w:r>
      <w:r w:rsidR="56691CC9" w:rsidRPr="2D65516E">
        <w:rPr>
          <w:rFonts w:eastAsia="Calibri" w:cs="Calibri"/>
        </w:rPr>
        <w:t>Y</w:t>
      </w:r>
      <w:r w:rsidRPr="2D65516E">
        <w:rPr>
          <w:rFonts w:eastAsia="Calibri" w:cs="Calibri"/>
        </w:rPr>
        <w:t xml:space="preserve">et the 2023 </w:t>
      </w:r>
      <w:r w:rsidR="790FE373" w:rsidRPr="2D65516E">
        <w:rPr>
          <w:rFonts w:eastAsia="Calibri" w:cs="Calibri"/>
        </w:rPr>
        <w:t>A</w:t>
      </w:r>
      <w:r w:rsidRPr="2D65516E">
        <w:rPr>
          <w:rFonts w:eastAsia="Calibri" w:cs="Calibri"/>
        </w:rPr>
        <w:t xml:space="preserve">nnual </w:t>
      </w:r>
      <w:r w:rsidR="790FE373" w:rsidRPr="2D65516E">
        <w:rPr>
          <w:rFonts w:eastAsia="Calibri" w:cs="Calibri"/>
        </w:rPr>
        <w:t>R</w:t>
      </w:r>
      <w:r w:rsidRPr="2D65516E">
        <w:rPr>
          <w:rFonts w:eastAsia="Calibri" w:cs="Calibri"/>
        </w:rPr>
        <w:t>eport provides no evidence of this being implemented</w:t>
      </w:r>
      <w:r w:rsidR="38FD0192" w:rsidRPr="2D65516E">
        <w:rPr>
          <w:rFonts w:eastAsia="Calibri" w:cs="Calibri"/>
        </w:rPr>
        <w:t xml:space="preserve">, reporting only </w:t>
      </w:r>
      <w:r w:rsidR="00FA55AE" w:rsidRPr="2D65516E">
        <w:rPr>
          <w:rFonts w:eastAsia="Calibri" w:cs="Calibri"/>
        </w:rPr>
        <w:t xml:space="preserve">stand-alone </w:t>
      </w:r>
      <w:r w:rsidRPr="2D65516E">
        <w:rPr>
          <w:rFonts w:eastAsia="Calibri" w:cs="Calibri"/>
        </w:rPr>
        <w:t>training</w:t>
      </w:r>
      <w:r w:rsidR="62E2BAF1" w:rsidRPr="2D65516E">
        <w:rPr>
          <w:rFonts w:eastAsia="Calibri" w:cs="Calibri"/>
        </w:rPr>
        <w:t>s</w:t>
      </w:r>
      <w:r w:rsidRPr="2D65516E">
        <w:rPr>
          <w:rFonts w:eastAsia="Calibri" w:cs="Calibri"/>
        </w:rPr>
        <w:t xml:space="preserve"> for </w:t>
      </w:r>
      <w:r w:rsidR="007E73E6" w:rsidRPr="2D65516E">
        <w:rPr>
          <w:rFonts w:eastAsia="Calibri" w:cs="Calibri"/>
        </w:rPr>
        <w:t>p</w:t>
      </w:r>
      <w:r w:rsidRPr="2D65516E">
        <w:rPr>
          <w:rFonts w:eastAsia="Calibri" w:cs="Calibri"/>
        </w:rPr>
        <w:t xml:space="preserve">rincipals in the use of </w:t>
      </w:r>
      <w:r w:rsidR="5AA872D8" w:rsidRPr="2D65516E">
        <w:rPr>
          <w:rFonts w:eastAsia="Calibri" w:cs="Calibri"/>
        </w:rPr>
        <w:t>O</w:t>
      </w:r>
      <w:r w:rsidR="44312C9F" w:rsidRPr="2D65516E">
        <w:rPr>
          <w:rFonts w:eastAsia="Calibri" w:cs="Calibri"/>
        </w:rPr>
        <w:t>pen VEMIS</w:t>
      </w:r>
      <w:r w:rsidRPr="2D65516E">
        <w:rPr>
          <w:rFonts w:eastAsia="Calibri" w:cs="Calibri"/>
        </w:rPr>
        <w:t xml:space="preserve"> </w:t>
      </w:r>
      <w:r w:rsidR="00222007">
        <w:rPr>
          <w:rFonts w:eastAsia="Calibri" w:cs="Calibri"/>
        </w:rPr>
        <w:t xml:space="preserve">(OV) </w:t>
      </w:r>
      <w:r w:rsidRPr="2D65516E">
        <w:rPr>
          <w:rFonts w:eastAsia="Calibri" w:cs="Calibri"/>
        </w:rPr>
        <w:t xml:space="preserve">and financial management.  </w:t>
      </w:r>
    </w:p>
    <w:p w14:paraId="2E225E89" w14:textId="288B0231" w:rsidR="009803A7" w:rsidRPr="009803A7" w:rsidRDefault="02543A2F" w:rsidP="3B0D9F72">
      <w:r w:rsidRPr="3326E6A4">
        <w:rPr>
          <w:rFonts w:eastAsia="Calibri" w:cs="Calibri"/>
        </w:rPr>
        <w:t xml:space="preserve">The </w:t>
      </w:r>
      <w:r w:rsidR="790FE373" w:rsidRPr="3326E6A4">
        <w:rPr>
          <w:rFonts w:eastAsia="Calibri" w:cs="Calibri"/>
        </w:rPr>
        <w:t>MTR</w:t>
      </w:r>
      <w:r w:rsidRPr="3326E6A4">
        <w:rPr>
          <w:rFonts w:eastAsia="Calibri" w:cs="Calibri"/>
        </w:rPr>
        <w:t xml:space="preserve"> notes that while a small number of provincial-level efforts have been supported, further initiatives are required to amplify this, such as a planning process that identifies the diverse needs across provinces, and zone networking grants. </w:t>
      </w:r>
      <w:r w:rsidR="790FE373" w:rsidRPr="3326E6A4">
        <w:rPr>
          <w:rFonts w:eastAsia="Calibri" w:cs="Calibri"/>
        </w:rPr>
        <w:t>It</w:t>
      </w:r>
      <w:r w:rsidRPr="3326E6A4">
        <w:rPr>
          <w:rFonts w:eastAsia="Calibri" w:cs="Calibri"/>
        </w:rPr>
        <w:t xml:space="preserve"> recommend</w:t>
      </w:r>
      <w:r w:rsidR="166D37D5" w:rsidRPr="3326E6A4">
        <w:rPr>
          <w:rFonts w:eastAsia="Calibri" w:cs="Calibri"/>
        </w:rPr>
        <w:t>s</w:t>
      </w:r>
      <w:r w:rsidRPr="3326E6A4">
        <w:rPr>
          <w:rFonts w:eastAsia="Calibri" w:cs="Calibri"/>
        </w:rPr>
        <w:t xml:space="preserve"> that VAESP should support the </w:t>
      </w:r>
      <w:proofErr w:type="spellStart"/>
      <w:r w:rsidRPr="3326E6A4">
        <w:rPr>
          <w:rFonts w:eastAsia="Calibri" w:cs="Calibri"/>
        </w:rPr>
        <w:t>MoET</w:t>
      </w:r>
      <w:proofErr w:type="spellEnd"/>
      <w:r w:rsidRPr="3326E6A4">
        <w:rPr>
          <w:rFonts w:eastAsia="Calibri" w:cs="Calibri"/>
        </w:rPr>
        <w:t xml:space="preserve"> in realistic devolution / decentralisation efforts, including clarification of roles at provincial level, and adopt</w:t>
      </w:r>
      <w:r w:rsidR="4F1B182C" w:rsidRPr="3326E6A4">
        <w:rPr>
          <w:rFonts w:eastAsia="Calibri" w:cs="Calibri"/>
        </w:rPr>
        <w:t>ion of</w:t>
      </w:r>
      <w:r w:rsidRPr="3326E6A4">
        <w:rPr>
          <w:rFonts w:eastAsia="Calibri" w:cs="Calibri"/>
        </w:rPr>
        <w:t xml:space="preserve"> a more nuanced approach in the way it operates within provinces. </w:t>
      </w:r>
    </w:p>
    <w:p w14:paraId="44CAB1D1" w14:textId="31C8A18A" w:rsidR="009803A7" w:rsidRPr="009803A7" w:rsidRDefault="752C7EE2" w:rsidP="3B0D9F72">
      <w:pPr>
        <w:rPr>
          <w:rFonts w:eastAsia="Calibri" w:cs="Calibri"/>
        </w:rPr>
      </w:pPr>
      <w:r w:rsidRPr="3B0D9F72">
        <w:rPr>
          <w:rFonts w:eastAsia="Calibri" w:cs="Calibri"/>
        </w:rPr>
        <w:t>Notably, the design of V</w:t>
      </w:r>
      <w:r w:rsidR="5F56CC42" w:rsidRPr="3B0D9F72">
        <w:rPr>
          <w:rFonts w:eastAsia="Calibri" w:cs="Calibri"/>
        </w:rPr>
        <w:t>A</w:t>
      </w:r>
      <w:r w:rsidRPr="3B0D9F72">
        <w:rPr>
          <w:rFonts w:eastAsia="Calibri" w:cs="Calibri"/>
        </w:rPr>
        <w:t xml:space="preserve">ESP phase 2 incorporated a dedicated strategy for piloting provincial partnerships, as a mechanism for supporting </w:t>
      </w:r>
      <w:proofErr w:type="gramStart"/>
      <w:r w:rsidRPr="3B0D9F72">
        <w:rPr>
          <w:rFonts w:eastAsia="Calibri" w:cs="Calibri"/>
        </w:rPr>
        <w:t>locally-led</w:t>
      </w:r>
      <w:proofErr w:type="gramEnd"/>
      <w:r w:rsidRPr="3B0D9F72">
        <w:rPr>
          <w:rFonts w:eastAsia="Calibri" w:cs="Calibri"/>
        </w:rPr>
        <w:t xml:space="preserve"> innovation at provincial level, from which lessons could be </w:t>
      </w:r>
      <w:r w:rsidR="53077718" w:rsidRPr="3B0D9F72">
        <w:rPr>
          <w:rFonts w:eastAsia="Calibri" w:cs="Calibri"/>
        </w:rPr>
        <w:t>learned</w:t>
      </w:r>
      <w:r w:rsidRPr="3B0D9F72">
        <w:rPr>
          <w:rFonts w:eastAsia="Calibri" w:cs="Calibri"/>
        </w:rPr>
        <w:t xml:space="preserve"> for system-wide change. The </w:t>
      </w:r>
      <w:r w:rsidR="0D412D91" w:rsidRPr="3B0D9F72">
        <w:rPr>
          <w:rFonts w:eastAsia="Calibri" w:cs="Calibri"/>
        </w:rPr>
        <w:t>d</w:t>
      </w:r>
      <w:r w:rsidRPr="3B0D9F72">
        <w:rPr>
          <w:rFonts w:eastAsia="Calibri" w:cs="Calibri"/>
        </w:rPr>
        <w:t>esign stated that “</w:t>
      </w:r>
      <w:r w:rsidRPr="008B687D">
        <w:rPr>
          <w:rFonts w:eastAsia="Calibri" w:cs="Calibri"/>
          <w:i/>
          <w:iCs/>
        </w:rPr>
        <w:t>VESP Phase II will facilitate a competitive and demand-driven selection process to initially identify up to two provinces interested in overcoming current barriers to improved learning outcomes”.</w:t>
      </w:r>
      <w:r w:rsidRPr="3B0D9F72">
        <w:rPr>
          <w:rFonts w:eastAsia="Calibri" w:cs="Calibri"/>
        </w:rPr>
        <w:t xml:space="preserve"> While this appears to have informed VAESP’s </w:t>
      </w:r>
      <w:r w:rsidR="26FF297A" w:rsidRPr="3B0D9F72">
        <w:rPr>
          <w:rFonts w:eastAsia="Calibri" w:cs="Calibri"/>
        </w:rPr>
        <w:t xml:space="preserve">approach to ECCE and the </w:t>
      </w:r>
      <w:r w:rsidR="52CDE6FA" w:rsidRPr="3B0D9F72">
        <w:rPr>
          <w:rFonts w:eastAsia="Calibri" w:cs="Calibri"/>
        </w:rPr>
        <w:t>P</w:t>
      </w:r>
      <w:r w:rsidR="26FF297A" w:rsidRPr="3B0D9F72">
        <w:rPr>
          <w:rFonts w:eastAsia="Calibri" w:cs="Calibri"/>
        </w:rPr>
        <w:t xml:space="preserve">arent </w:t>
      </w:r>
      <w:r w:rsidR="67CC1BBF" w:rsidRPr="3B0D9F72">
        <w:rPr>
          <w:rFonts w:eastAsia="Calibri" w:cs="Calibri"/>
        </w:rPr>
        <w:t>S</w:t>
      </w:r>
      <w:r w:rsidR="26FF297A" w:rsidRPr="3B0D9F72">
        <w:rPr>
          <w:rFonts w:eastAsia="Calibri" w:cs="Calibri"/>
        </w:rPr>
        <w:t xml:space="preserve">upport </w:t>
      </w:r>
      <w:r w:rsidR="3F8127FA" w:rsidRPr="3B0D9F72">
        <w:rPr>
          <w:rFonts w:eastAsia="Calibri" w:cs="Calibri"/>
        </w:rPr>
        <w:t>P</w:t>
      </w:r>
      <w:r w:rsidR="26FF297A" w:rsidRPr="3B0D9F72">
        <w:rPr>
          <w:rFonts w:eastAsia="Calibri" w:cs="Calibri"/>
        </w:rPr>
        <w:t>rogram,</w:t>
      </w:r>
      <w:r w:rsidR="1565FEC4" w:rsidRPr="3B0D9F72">
        <w:rPr>
          <w:rFonts w:eastAsia="Calibri" w:cs="Calibri"/>
        </w:rPr>
        <w:t xml:space="preserve"> </w:t>
      </w:r>
      <w:r w:rsidR="26FF297A" w:rsidRPr="3B0D9F72">
        <w:rPr>
          <w:rFonts w:eastAsia="Calibri" w:cs="Calibri"/>
        </w:rPr>
        <w:t>the strateg</w:t>
      </w:r>
      <w:r w:rsidR="0CE29209" w:rsidRPr="3B0D9F72">
        <w:rPr>
          <w:rFonts w:eastAsia="Calibri" w:cs="Calibri"/>
        </w:rPr>
        <w:t xml:space="preserve">y for evaluating, learning and scaling up this pilot is not clear. There is no evidence of how the learning from this </w:t>
      </w:r>
      <w:r w:rsidR="7422F202" w:rsidRPr="3B0D9F72">
        <w:rPr>
          <w:rFonts w:eastAsia="Calibri" w:cs="Calibri"/>
        </w:rPr>
        <w:t>is being used to inform provincial engagement and approaches f</w:t>
      </w:r>
      <w:r w:rsidR="1D266781" w:rsidRPr="3B0D9F72">
        <w:rPr>
          <w:rFonts w:eastAsia="Calibri" w:cs="Calibri"/>
        </w:rPr>
        <w:t>or progressing decentralisation</w:t>
      </w:r>
      <w:r w:rsidR="7422F202" w:rsidRPr="3B0D9F72">
        <w:rPr>
          <w:rFonts w:eastAsia="Calibri" w:cs="Calibri"/>
        </w:rPr>
        <w:t xml:space="preserve"> in other outcome areas.</w:t>
      </w:r>
      <w:r w:rsidRPr="3B0D9F72">
        <w:rPr>
          <w:rFonts w:eastAsia="Calibri" w:cs="Calibri"/>
        </w:rPr>
        <w:t xml:space="preserve"> </w:t>
      </w:r>
    </w:p>
    <w:p w14:paraId="0514B52B" w14:textId="478215A2" w:rsidR="009803A7" w:rsidRPr="009803A7" w:rsidRDefault="5FF2D057" w:rsidP="00340446">
      <w:pPr>
        <w:pStyle w:val="ListParagraph"/>
        <w:numPr>
          <w:ilvl w:val="0"/>
          <w:numId w:val="31"/>
        </w:numPr>
        <w:rPr>
          <w:b/>
          <w:bCs/>
        </w:rPr>
      </w:pPr>
      <w:r w:rsidRPr="2D65516E">
        <w:rPr>
          <w:b/>
          <w:bCs/>
        </w:rPr>
        <w:t xml:space="preserve"> Focus on output delivery rather than adaptive, </w:t>
      </w:r>
      <w:proofErr w:type="gramStart"/>
      <w:r w:rsidRPr="2D65516E">
        <w:rPr>
          <w:b/>
          <w:bCs/>
        </w:rPr>
        <w:t>politically-informed</w:t>
      </w:r>
      <w:proofErr w:type="gramEnd"/>
      <w:r w:rsidRPr="2D65516E">
        <w:rPr>
          <w:b/>
          <w:bCs/>
        </w:rPr>
        <w:t xml:space="preserve"> approach</w:t>
      </w:r>
      <w:r w:rsidR="64944593" w:rsidRPr="2D65516E">
        <w:rPr>
          <w:b/>
          <w:bCs/>
        </w:rPr>
        <w:t xml:space="preserve"> guided by a robust theory of change and strategic risk management</w:t>
      </w:r>
    </w:p>
    <w:p w14:paraId="31C76189" w14:textId="1C2A0B18" w:rsidR="009803A7" w:rsidRPr="009803A7" w:rsidRDefault="5FF2D057" w:rsidP="00F761A4">
      <w:r>
        <w:t xml:space="preserve">There is minimal evidence of </w:t>
      </w:r>
      <w:r w:rsidR="001B36D8">
        <w:t>a strategic approach</w:t>
      </w:r>
      <w:r>
        <w:t xml:space="preserve"> to manage the challenges and</w:t>
      </w:r>
      <w:r w:rsidR="13A5A56A">
        <w:t xml:space="preserve"> </w:t>
      </w:r>
      <w:r>
        <w:t xml:space="preserve">risks of working within </w:t>
      </w:r>
      <w:proofErr w:type="spellStart"/>
      <w:r>
        <w:t>MoET</w:t>
      </w:r>
      <w:proofErr w:type="spellEnd"/>
      <w:r>
        <w:t xml:space="preserve"> systems at all levels. This is particularly surprising given the political</w:t>
      </w:r>
      <w:r w:rsidR="7A2EAE9D">
        <w:t xml:space="preserve"> </w:t>
      </w:r>
      <w:r>
        <w:t xml:space="preserve">changeability of Vanuatu’s government </w:t>
      </w:r>
      <w:r w:rsidR="00CC7545">
        <w:t>(</w:t>
      </w:r>
      <w:proofErr w:type="spellStart"/>
      <w:r>
        <w:t>MoET’s</w:t>
      </w:r>
      <w:proofErr w:type="spellEnd"/>
      <w:r>
        <w:t xml:space="preserve"> Director-General noted that there have been 14</w:t>
      </w:r>
      <w:r w:rsidR="14218469">
        <w:t xml:space="preserve"> </w:t>
      </w:r>
      <w:r>
        <w:t>Ministers of Education in four years</w:t>
      </w:r>
      <w:r w:rsidR="00CC7545">
        <w:t>),</w:t>
      </w:r>
      <w:r w:rsidR="00222007">
        <w:t xml:space="preserve"> </w:t>
      </w:r>
      <w:r w:rsidR="2074E993">
        <w:t xml:space="preserve">and the many sensitive policy issues which have been debated within </w:t>
      </w:r>
      <w:proofErr w:type="spellStart"/>
      <w:r w:rsidR="2074E993">
        <w:t>GoV</w:t>
      </w:r>
      <w:r>
        <w:t>.</w:t>
      </w:r>
      <w:proofErr w:type="spellEnd"/>
      <w:r w:rsidR="5F8D089A">
        <w:t xml:space="preserve"> </w:t>
      </w:r>
      <w:r>
        <w:t>Further, there is almost no evidence of the use of adaptive, politically informed approaches to enable</w:t>
      </w:r>
      <w:r w:rsidR="53A9C616">
        <w:t xml:space="preserve"> </w:t>
      </w:r>
      <w:r>
        <w:t>decentralisation, including indications of VAESP engagement with powerholders at the provincial level</w:t>
      </w:r>
      <w:r w:rsidR="1887BD54">
        <w:t xml:space="preserve"> </w:t>
      </w:r>
      <w:r>
        <w:t xml:space="preserve">to </w:t>
      </w:r>
      <w:proofErr w:type="spellStart"/>
      <w:r>
        <w:t>strategise</w:t>
      </w:r>
      <w:proofErr w:type="spellEnd"/>
      <w:r>
        <w:t>, plan or implement efforts.</w:t>
      </w:r>
    </w:p>
    <w:p w14:paraId="1FF86542" w14:textId="35E0B7DD" w:rsidR="009803A7" w:rsidRPr="009803A7" w:rsidRDefault="00CC7545">
      <w:pPr>
        <w:rPr>
          <w:rFonts w:eastAsia="Calibri" w:cs="Calibri"/>
        </w:rPr>
      </w:pPr>
      <w:r>
        <w:rPr>
          <w:rFonts w:eastAsia="Calibri" w:cs="Calibri"/>
        </w:rPr>
        <w:t>For example,</w:t>
      </w:r>
      <w:r w:rsidR="48A434C0" w:rsidRPr="3B0D9F72">
        <w:rPr>
          <w:rFonts w:eastAsia="Calibri" w:cs="Calibri"/>
        </w:rPr>
        <w:t xml:space="preserve"> VAESP invested heavily in supporting </w:t>
      </w:r>
      <w:proofErr w:type="spellStart"/>
      <w:r w:rsidR="48A434C0" w:rsidRPr="3B0D9F72">
        <w:rPr>
          <w:rFonts w:eastAsia="Calibri" w:cs="Calibri"/>
        </w:rPr>
        <w:t>MoET’s</w:t>
      </w:r>
      <w:proofErr w:type="spellEnd"/>
      <w:r w:rsidR="48A434C0" w:rsidRPr="3B0D9F72">
        <w:rPr>
          <w:rFonts w:eastAsia="Calibri" w:cs="Calibri"/>
        </w:rPr>
        <w:t xml:space="preserve"> promotion of the use of vernacular language in the early years of schooling. VAESP support appears to have worked effectively at building community and school level support for this approach</w:t>
      </w:r>
      <w:r w:rsidR="001B36D8">
        <w:rPr>
          <w:rStyle w:val="FootnoteReference"/>
          <w:rFonts w:eastAsia="Calibri" w:cs="Calibri"/>
        </w:rPr>
        <w:footnoteReference w:id="23"/>
      </w:r>
      <w:r w:rsidR="48A434C0" w:rsidRPr="3B0D9F72">
        <w:rPr>
          <w:rFonts w:eastAsia="Calibri" w:cs="Calibri"/>
        </w:rPr>
        <w:t xml:space="preserve">.  However, it is not evident in any of the VAESP reporting </w:t>
      </w:r>
      <w:r w:rsidR="2435B0A6">
        <w:rPr>
          <w:rFonts w:eastAsia="Calibri" w:cs="Calibri"/>
        </w:rPr>
        <w:t xml:space="preserve">if or </w:t>
      </w:r>
      <w:r w:rsidR="48A434C0" w:rsidRPr="3B0D9F72">
        <w:rPr>
          <w:rFonts w:eastAsia="Calibri" w:cs="Calibri"/>
        </w:rPr>
        <w:t xml:space="preserve">how the program engaged at a political level (either national or provincial) to build support for the use of vernacular. </w:t>
      </w:r>
      <w:r w:rsidR="7EDDC4F2">
        <w:rPr>
          <w:rFonts w:eastAsia="Calibri" w:cs="Calibri"/>
        </w:rPr>
        <w:t>Reports</w:t>
      </w:r>
      <w:r w:rsidR="48A434C0" w:rsidRPr="3B0D9F72">
        <w:rPr>
          <w:rFonts w:eastAsia="Calibri" w:cs="Calibri"/>
        </w:rPr>
        <w:t xml:space="preserve"> do not identify political support for language policy as a </w:t>
      </w:r>
      <w:r w:rsidR="4B86616A" w:rsidRPr="3B0D9F72">
        <w:rPr>
          <w:rFonts w:eastAsia="Calibri" w:cs="Calibri"/>
        </w:rPr>
        <w:t xml:space="preserve">potential enabling factor (or </w:t>
      </w:r>
      <w:r w:rsidR="48A434C0" w:rsidRPr="3B0D9F72">
        <w:rPr>
          <w:rFonts w:eastAsia="Calibri" w:cs="Calibri"/>
        </w:rPr>
        <w:t xml:space="preserve">risk </w:t>
      </w:r>
      <w:r w:rsidR="0539B40C" w:rsidRPr="3B0D9F72">
        <w:rPr>
          <w:rFonts w:eastAsia="Calibri" w:cs="Calibri"/>
        </w:rPr>
        <w:t xml:space="preserve">if not present) </w:t>
      </w:r>
      <w:r w:rsidR="48A434C0" w:rsidRPr="3B0D9F72">
        <w:rPr>
          <w:rFonts w:eastAsia="Calibri" w:cs="Calibri"/>
        </w:rPr>
        <w:t xml:space="preserve">and there is no mention of strategies for </w:t>
      </w:r>
      <w:r w:rsidR="4BD685EB" w:rsidRPr="3B0D9F72">
        <w:rPr>
          <w:rFonts w:eastAsia="Calibri" w:cs="Calibri"/>
        </w:rPr>
        <w:t xml:space="preserve">managing </w:t>
      </w:r>
      <w:r w:rsidR="1B8A5D53" w:rsidRPr="3B0D9F72">
        <w:rPr>
          <w:rFonts w:eastAsia="Calibri" w:cs="Calibri"/>
        </w:rPr>
        <w:t>the risks of VAESP engagement</w:t>
      </w:r>
      <w:r w:rsidR="48A434C0" w:rsidRPr="3B0D9F72">
        <w:rPr>
          <w:rFonts w:eastAsia="Calibri" w:cs="Calibri"/>
        </w:rPr>
        <w:t xml:space="preserve">, despite it being well-known as a contentious issue. In response to </w:t>
      </w:r>
      <w:proofErr w:type="spellStart"/>
      <w:r w:rsidR="48A434C0" w:rsidRPr="3B0D9F72">
        <w:rPr>
          <w:rFonts w:eastAsia="Calibri" w:cs="Calibri"/>
        </w:rPr>
        <w:t>GoV’s</w:t>
      </w:r>
      <w:proofErr w:type="spellEnd"/>
      <w:r w:rsidR="48A434C0" w:rsidRPr="3B0D9F72">
        <w:rPr>
          <w:rFonts w:eastAsia="Calibri" w:cs="Calibri"/>
        </w:rPr>
        <w:t xml:space="preserve"> announcement of a </w:t>
      </w:r>
      <w:r w:rsidR="00BB1851">
        <w:rPr>
          <w:rFonts w:eastAsia="Calibri" w:cs="Calibri"/>
        </w:rPr>
        <w:t xml:space="preserve">change in policy on the use of Bislama </w:t>
      </w:r>
      <w:r w:rsidR="48A434C0" w:rsidRPr="3B0D9F72">
        <w:rPr>
          <w:rFonts w:eastAsia="Calibri" w:cs="Calibri"/>
        </w:rPr>
        <w:t xml:space="preserve">in 2023, some actions were taken under VAESP to </w:t>
      </w:r>
      <w:r w:rsidR="56DE0ABC" w:rsidRPr="0C3CBE43">
        <w:rPr>
          <w:rFonts w:eastAsia="Calibri" w:cs="Calibri"/>
        </w:rPr>
        <w:t xml:space="preserve">enhance communications on the </w:t>
      </w:r>
      <w:r w:rsidR="174043F3" w:rsidRPr="3B0D9F72">
        <w:rPr>
          <w:rFonts w:eastAsia="Calibri" w:cs="Calibri"/>
        </w:rPr>
        <w:t xml:space="preserve">rationale for the use </w:t>
      </w:r>
      <w:r w:rsidR="48A434C0" w:rsidRPr="3B0D9F72">
        <w:rPr>
          <w:rFonts w:eastAsia="Calibri" w:cs="Calibri"/>
        </w:rPr>
        <w:t xml:space="preserve">of vernacular and assist </w:t>
      </w:r>
      <w:proofErr w:type="spellStart"/>
      <w:r w:rsidR="48A434C0" w:rsidRPr="3B0D9F72">
        <w:rPr>
          <w:rFonts w:eastAsia="Calibri" w:cs="Calibri"/>
        </w:rPr>
        <w:t>MoET</w:t>
      </w:r>
      <w:proofErr w:type="spellEnd"/>
      <w:r w:rsidR="48A434C0" w:rsidRPr="3B0D9F72">
        <w:rPr>
          <w:rFonts w:eastAsia="Calibri" w:cs="Calibri"/>
        </w:rPr>
        <w:t xml:space="preserve"> in advising teachers on appropriate strategies</w:t>
      </w:r>
      <w:r w:rsidR="001B36D8">
        <w:rPr>
          <w:rStyle w:val="FootnoteReference"/>
          <w:rFonts w:eastAsia="Calibri" w:cs="Calibri"/>
        </w:rPr>
        <w:footnoteReference w:id="24"/>
      </w:r>
      <w:r w:rsidR="7EDDC4F2">
        <w:rPr>
          <w:rFonts w:eastAsia="Calibri" w:cs="Calibri"/>
        </w:rPr>
        <w:t xml:space="preserve">. </w:t>
      </w:r>
      <w:r w:rsidR="48A434C0" w:rsidRPr="3B0D9F72">
        <w:rPr>
          <w:rFonts w:eastAsia="Calibri" w:cs="Calibri"/>
        </w:rPr>
        <w:t xml:space="preserve">However, </w:t>
      </w:r>
      <w:r w:rsidR="7EDDC4F2">
        <w:rPr>
          <w:rFonts w:eastAsia="Calibri" w:cs="Calibri"/>
        </w:rPr>
        <w:t>the</w:t>
      </w:r>
      <w:r w:rsidR="48A434C0" w:rsidRPr="3B0D9F72">
        <w:rPr>
          <w:rFonts w:eastAsia="Calibri" w:cs="Calibri"/>
        </w:rPr>
        <w:t xml:space="preserve"> review was unable to find evidence (either in reports or through consultations) of </w:t>
      </w:r>
      <w:r w:rsidR="1442516E" w:rsidRPr="3B0D9F72">
        <w:rPr>
          <w:rFonts w:eastAsia="Calibri" w:cs="Calibri"/>
        </w:rPr>
        <w:t>VAESP taking a more strat</w:t>
      </w:r>
      <w:r w:rsidR="5F6FB18D" w:rsidRPr="3B0D9F72">
        <w:rPr>
          <w:rFonts w:eastAsia="Calibri" w:cs="Calibri"/>
        </w:rPr>
        <w:t>egic approach or investing in any analysis or research into the effectiveness (or not) of the policy, despite support for evidence-</w:t>
      </w:r>
      <w:r w:rsidR="147EFEB6" w:rsidRPr="3B0D9F72">
        <w:rPr>
          <w:rFonts w:eastAsia="Calibri" w:cs="Calibri"/>
        </w:rPr>
        <w:t>based</w:t>
      </w:r>
      <w:r w:rsidR="5F6FB18D" w:rsidRPr="3B0D9F72">
        <w:rPr>
          <w:rFonts w:eastAsia="Calibri" w:cs="Calibri"/>
        </w:rPr>
        <w:t xml:space="preserve"> approaches being a key priority for Australian support to education. </w:t>
      </w:r>
      <w:r w:rsidR="48A434C0" w:rsidRPr="3B0D9F72">
        <w:rPr>
          <w:rFonts w:eastAsia="Calibri" w:cs="Calibri"/>
        </w:rPr>
        <w:t xml:space="preserve">  </w:t>
      </w:r>
    </w:p>
    <w:p w14:paraId="3EF7CDD4" w14:textId="56449C8F" w:rsidR="000E59CC" w:rsidRPr="009803A7" w:rsidRDefault="2435B0A6">
      <w:pPr>
        <w:rPr>
          <w:rFonts w:eastAsia="Calibri"/>
        </w:rPr>
      </w:pPr>
      <w:r w:rsidRPr="3326E6A4">
        <w:rPr>
          <w:rFonts w:eastAsia="Calibri"/>
        </w:rPr>
        <w:t xml:space="preserve">VAESP reporting repeatedly highlights its ‘embeddedness’ and alignment with </w:t>
      </w:r>
      <w:proofErr w:type="spellStart"/>
      <w:r w:rsidRPr="3326E6A4">
        <w:rPr>
          <w:rFonts w:eastAsia="Calibri"/>
        </w:rPr>
        <w:t>MoET</w:t>
      </w:r>
      <w:proofErr w:type="spellEnd"/>
      <w:r w:rsidRPr="3326E6A4">
        <w:rPr>
          <w:rFonts w:eastAsia="Calibri"/>
        </w:rPr>
        <w:t xml:space="preserve"> as an indicator of program success. While valued by </w:t>
      </w:r>
      <w:proofErr w:type="spellStart"/>
      <w:r w:rsidRPr="3326E6A4">
        <w:rPr>
          <w:rFonts w:eastAsia="Calibri"/>
        </w:rPr>
        <w:t>MoET</w:t>
      </w:r>
      <w:proofErr w:type="spellEnd"/>
      <w:r w:rsidRPr="3326E6A4">
        <w:rPr>
          <w:rFonts w:eastAsia="Calibri"/>
        </w:rPr>
        <w:t>, there is little evidence to show how the program manage</w:t>
      </w:r>
      <w:r w:rsidR="63D7B6FE" w:rsidRPr="3326E6A4">
        <w:rPr>
          <w:rFonts w:eastAsia="Calibri"/>
        </w:rPr>
        <w:t>s</w:t>
      </w:r>
      <w:r w:rsidRPr="3326E6A4">
        <w:rPr>
          <w:rFonts w:eastAsia="Calibri"/>
        </w:rPr>
        <w:t xml:space="preserve"> and mitigate</w:t>
      </w:r>
      <w:r w:rsidR="57FB65E1" w:rsidRPr="3326E6A4">
        <w:rPr>
          <w:rFonts w:eastAsia="Calibri"/>
        </w:rPr>
        <w:t>s</w:t>
      </w:r>
      <w:r w:rsidRPr="3326E6A4">
        <w:rPr>
          <w:rFonts w:eastAsia="Calibri"/>
        </w:rPr>
        <w:t xml:space="preserve"> the constraints </w:t>
      </w:r>
      <w:r w:rsidR="004A5BC7" w:rsidRPr="3326E6A4">
        <w:rPr>
          <w:rFonts w:eastAsia="Calibri"/>
        </w:rPr>
        <w:t xml:space="preserve">to achievement of education outcomes </w:t>
      </w:r>
      <w:r w:rsidRPr="3326E6A4">
        <w:rPr>
          <w:rFonts w:eastAsia="Calibri"/>
        </w:rPr>
        <w:t>that this embeddedness present</w:t>
      </w:r>
      <w:r w:rsidR="63C28FEB" w:rsidRPr="3326E6A4">
        <w:rPr>
          <w:rFonts w:eastAsia="Calibri"/>
        </w:rPr>
        <w:t>s</w:t>
      </w:r>
      <w:r w:rsidRPr="3326E6A4">
        <w:rPr>
          <w:rFonts w:eastAsia="Calibri"/>
        </w:rPr>
        <w:t xml:space="preserve">. Vacancies in </w:t>
      </w:r>
      <w:proofErr w:type="spellStart"/>
      <w:r w:rsidRPr="3326E6A4">
        <w:rPr>
          <w:rFonts w:eastAsia="Calibri"/>
        </w:rPr>
        <w:t>MoET</w:t>
      </w:r>
      <w:proofErr w:type="spellEnd"/>
      <w:r w:rsidRPr="3326E6A4">
        <w:rPr>
          <w:rFonts w:eastAsia="Calibri"/>
        </w:rPr>
        <w:t>, weak human resource management and outdated organisational structures are consistent features of VAESP’s operating environment</w:t>
      </w:r>
      <w:r w:rsidR="00FA55AE">
        <w:rPr>
          <w:rFonts w:eastAsia="Calibri"/>
        </w:rPr>
        <w:t>, partly linked to the functioning of the Public Service Commission</w:t>
      </w:r>
      <w:r w:rsidRPr="3326E6A4">
        <w:rPr>
          <w:rFonts w:eastAsia="Calibri"/>
        </w:rPr>
        <w:t xml:space="preserve">.  It is not clear how VAESP has mitigated the constraints of this operating environment, and strategies appear limited to the provision of more </w:t>
      </w:r>
      <w:r w:rsidR="082416DE" w:rsidRPr="3326E6A4">
        <w:rPr>
          <w:rFonts w:eastAsia="Calibri"/>
        </w:rPr>
        <w:t>technical advisor support</w:t>
      </w:r>
      <w:r w:rsidRPr="3326E6A4">
        <w:rPr>
          <w:rFonts w:eastAsia="Calibri"/>
        </w:rPr>
        <w:t>. While this may be improved by stronger risk management and adaptive programming from the MC, it also raises questions about the program design and how to best utilise different modalities to affect change within the operating environment.</w:t>
      </w:r>
    </w:p>
    <w:p w14:paraId="5BD5034B" w14:textId="66BB62C1" w:rsidR="009803A7" w:rsidRPr="009803A7" w:rsidRDefault="0E68B6AE" w:rsidP="00F761A4">
      <w:pPr>
        <w:rPr>
          <w:rFonts w:eastAsia="Calibri"/>
        </w:rPr>
      </w:pPr>
      <w:r w:rsidRPr="3F3458A6">
        <w:rPr>
          <w:rFonts w:eastAsia="Calibri"/>
        </w:rPr>
        <w:t xml:space="preserve">The MTR notes that </w:t>
      </w:r>
      <w:r w:rsidR="4E8C97D7" w:rsidRPr="3F3458A6">
        <w:rPr>
          <w:rFonts w:eastAsia="Calibri"/>
        </w:rPr>
        <w:t xml:space="preserve">a changing operating context for VAESP requires revisions to the program logic and logic pathways, but that this has not routinely been done within the program. </w:t>
      </w:r>
      <w:r w:rsidR="759C06C8" w:rsidRPr="3F3458A6">
        <w:rPr>
          <w:rFonts w:eastAsia="Calibri"/>
        </w:rPr>
        <w:t xml:space="preserve">Document review confirms that there continue to be issues with the overall theory of change for the program, and gaps in how it makes decisions about what to prioritise and how to respond to </w:t>
      </w:r>
      <w:proofErr w:type="spellStart"/>
      <w:r w:rsidR="759C06C8" w:rsidRPr="3F3458A6">
        <w:rPr>
          <w:rFonts w:eastAsia="Calibri"/>
        </w:rPr>
        <w:t>MoET</w:t>
      </w:r>
      <w:proofErr w:type="spellEnd"/>
      <w:r w:rsidR="759C06C8" w:rsidRPr="3F3458A6">
        <w:rPr>
          <w:rFonts w:eastAsia="Calibri"/>
        </w:rPr>
        <w:t xml:space="preserve"> requests. Without careful analysis of pro</w:t>
      </w:r>
      <w:r w:rsidR="6E5318A2" w:rsidRPr="3F3458A6">
        <w:rPr>
          <w:rFonts w:eastAsia="Calibri"/>
        </w:rPr>
        <w:t>blems and the political economy, and in the absence of sound MEL (see below)</w:t>
      </w:r>
      <w:r w:rsidR="7F5CF13A" w:rsidRPr="3F3458A6">
        <w:rPr>
          <w:rFonts w:eastAsia="Calibri"/>
        </w:rPr>
        <w:t xml:space="preserve"> or systematic consideration of intervention logics for program activities</w:t>
      </w:r>
      <w:r w:rsidR="6E5318A2" w:rsidRPr="3F3458A6">
        <w:rPr>
          <w:rFonts w:eastAsia="Calibri"/>
        </w:rPr>
        <w:t xml:space="preserve">, this appears to have created a somewhat incoherent program of work not well aligned with agreed intended outcomes. </w:t>
      </w:r>
    </w:p>
    <w:p w14:paraId="54714B1D" w14:textId="0DBC273C" w:rsidR="00BB1851" w:rsidRPr="00340446" w:rsidRDefault="00BB1851" w:rsidP="00340446">
      <w:pPr>
        <w:pStyle w:val="ListParagraph"/>
        <w:numPr>
          <w:ilvl w:val="0"/>
          <w:numId w:val="31"/>
        </w:numPr>
        <w:rPr>
          <w:b/>
          <w:bCs/>
        </w:rPr>
      </w:pPr>
      <w:r w:rsidRPr="3B0D9F72">
        <w:rPr>
          <w:b/>
          <w:bCs/>
        </w:rPr>
        <w:t>Prolonged lack of meaningful monitoring, evaluation and learning (MEL)</w:t>
      </w:r>
    </w:p>
    <w:p w14:paraId="195B6CF5" w14:textId="77777777" w:rsidR="00BB1851" w:rsidRDefault="00BB1851" w:rsidP="00BB1851">
      <w:r>
        <w:t xml:space="preserve">Well-informed implementation of a complex program pursuing change in a volatile environment requires a consistent flow of robust, relevant and useful data and analysis, so decisions can be based on sound evidence. Not helped by the issues with the overall theory of change and logic pathways discussed above, there appear to have been prolonged difficulties achieving meaningful MEL within VAESP. This has had implications for effective management and implementation and meant little accountability for progress towards outcomes. Effective use of evidence/data to inform management, as well as accountability, and reflection and learning, has been </w:t>
      </w:r>
      <w:r w:rsidRPr="00257801">
        <w:t>patchy</w:t>
      </w:r>
      <w:r>
        <w:t xml:space="preserve">, although there have been recent efforts to add more rigour to regular reflection and learning. </w:t>
      </w:r>
    </w:p>
    <w:p w14:paraId="636FA92D" w14:textId="77777777" w:rsidR="00BB1851" w:rsidRDefault="00BB1851" w:rsidP="00BB1851">
      <w:r>
        <w:t>The 2022 MTR made some stark findings on the quality of the MEL system and its implementation</w:t>
      </w:r>
      <w:r>
        <w:rPr>
          <w:rStyle w:val="FootnoteReference"/>
        </w:rPr>
        <w:footnoteReference w:id="25"/>
      </w:r>
      <w:r>
        <w:t xml:space="preserve">. Noting that MEL had been challenging since the start of the program, it also reported that weak MEL had been an issue in the contractor’s formal performance assessments at least twice. There have been multiple reviews and revisions to the MEL Plan, but as of 2022 the MEL system did not adequately meet DFAT Standards. It is not clear if this has been addressed, as the 2024 IMR indicates that a further review of the MERL Framework would occur in </w:t>
      </w:r>
      <w:proofErr w:type="spellStart"/>
      <w:r>
        <w:t>mid 2024</w:t>
      </w:r>
      <w:proofErr w:type="spellEnd"/>
      <w:r>
        <w:t xml:space="preserve"> but there is no evidence that this has happened (the current MERL Framework is dated September 2022, before the date of the MTR). Gaps in MEL practice have been exacerbated by frequent changes in MEL personnel, particularly at the senior level, and the most recent recruitment round for a MEL Specialist did not deliver a suitably qualified candidate. Further, there appears to have been no formal learning and reflection system in place until recently. </w:t>
      </w:r>
    </w:p>
    <w:p w14:paraId="4BA9B6C2" w14:textId="5A3F996B" w:rsidR="009803A7" w:rsidRPr="009803A7" w:rsidRDefault="00FA55AE" w:rsidP="00800AE9">
      <w:pPr>
        <w:pStyle w:val="ListParagraph"/>
        <w:numPr>
          <w:ilvl w:val="0"/>
          <w:numId w:val="31"/>
        </w:numPr>
        <w:rPr>
          <w:b/>
          <w:bCs/>
        </w:rPr>
      </w:pPr>
      <w:r w:rsidRPr="00FA55AE">
        <w:rPr>
          <w:b/>
          <w:bCs/>
        </w:rPr>
        <w:t>Fragmented and weakly coordinated approach to system improvement</w:t>
      </w:r>
    </w:p>
    <w:p w14:paraId="71A9D7A8" w14:textId="5232EA0D" w:rsidR="009803A7" w:rsidRPr="009803A7" w:rsidRDefault="5E8704AB" w:rsidP="3F3458A6">
      <w:pPr>
        <w:rPr>
          <w:rFonts w:eastAsia="Calibri" w:cs="Calibri"/>
        </w:rPr>
      </w:pPr>
      <w:r w:rsidRPr="2D65516E">
        <w:rPr>
          <w:rFonts w:eastAsia="Calibri" w:cs="Calibri"/>
        </w:rPr>
        <w:t>VAESP</w:t>
      </w:r>
      <w:r w:rsidR="6E77A2EE" w:rsidRPr="2D65516E">
        <w:rPr>
          <w:rFonts w:eastAsia="Calibri" w:cs="Calibri"/>
        </w:rPr>
        <w:t xml:space="preserve"> has delivered a high </w:t>
      </w:r>
      <w:r w:rsidR="002F1C23">
        <w:rPr>
          <w:rFonts w:eastAsia="Calibri" w:cs="Calibri"/>
        </w:rPr>
        <w:t>volume</w:t>
      </w:r>
      <w:r w:rsidR="6E77A2EE" w:rsidRPr="2D65516E">
        <w:rPr>
          <w:rFonts w:eastAsia="Calibri" w:cs="Calibri"/>
        </w:rPr>
        <w:t xml:space="preserve"> of activities and outputs, </w:t>
      </w:r>
      <w:r w:rsidR="27D07E82" w:rsidRPr="2D65516E">
        <w:rPr>
          <w:rFonts w:eastAsia="Calibri" w:cs="Calibri"/>
        </w:rPr>
        <w:t xml:space="preserve">increasingly </w:t>
      </w:r>
      <w:r w:rsidRPr="2D65516E">
        <w:rPr>
          <w:rFonts w:eastAsia="Calibri" w:cs="Calibri"/>
        </w:rPr>
        <w:t xml:space="preserve">using </w:t>
      </w:r>
      <w:proofErr w:type="spellStart"/>
      <w:r w:rsidRPr="2D65516E">
        <w:rPr>
          <w:rFonts w:eastAsia="Calibri" w:cs="Calibri"/>
        </w:rPr>
        <w:t>MoET’s</w:t>
      </w:r>
      <w:proofErr w:type="spellEnd"/>
      <w:r w:rsidRPr="2D65516E">
        <w:rPr>
          <w:rFonts w:eastAsia="Calibri" w:cs="Calibri"/>
        </w:rPr>
        <w:t xml:space="preserve"> annual operational plan to guide its activities. </w:t>
      </w:r>
      <w:r w:rsidR="3BD61AA3" w:rsidRPr="2D65516E">
        <w:rPr>
          <w:rFonts w:eastAsia="Calibri" w:cs="Calibri"/>
        </w:rPr>
        <w:t>However,</w:t>
      </w:r>
      <w:r w:rsidRPr="2D65516E">
        <w:rPr>
          <w:rFonts w:eastAsia="Calibri" w:cs="Calibri"/>
        </w:rPr>
        <w:t xml:space="preserve"> there is limited evidence of a strategic approach to ensuring the many different activities ‘add up’ </w:t>
      </w:r>
      <w:r w:rsidR="000E59CC" w:rsidRPr="2D65516E">
        <w:rPr>
          <w:rFonts w:eastAsia="Calibri" w:cs="Calibri"/>
        </w:rPr>
        <w:t>and</w:t>
      </w:r>
      <w:r w:rsidRPr="2D65516E">
        <w:rPr>
          <w:rFonts w:eastAsia="Calibri" w:cs="Calibri"/>
        </w:rPr>
        <w:t xml:space="preserve"> contribute to achievement of longer-term strategic outcomes.  </w:t>
      </w:r>
    </w:p>
    <w:p w14:paraId="6334BC2E" w14:textId="5788F914" w:rsidR="009803A7" w:rsidRPr="009803A7" w:rsidRDefault="33003329" w:rsidP="3B0D9F72">
      <w:r w:rsidRPr="3B0D9F72">
        <w:rPr>
          <w:rFonts w:eastAsia="Calibri" w:cs="Calibri"/>
        </w:rPr>
        <w:t>The 2022 MTR found that; “</w:t>
      </w:r>
      <w:r w:rsidRPr="3326E6A4">
        <w:rPr>
          <w:rFonts w:eastAsia="Calibri" w:cs="Calibri"/>
          <w:i/>
          <w:iCs/>
        </w:rPr>
        <w:t>the current VESP II TA are spread too thinly and working across too broad a range of areas...  and is prioritising quantity over quality”</w:t>
      </w:r>
      <w:r w:rsidR="000E59CC" w:rsidRPr="3326E6A4">
        <w:rPr>
          <w:rStyle w:val="FootnoteReference"/>
          <w:rFonts w:eastAsia="Calibri" w:cs="Calibri"/>
          <w:i/>
          <w:iCs/>
        </w:rPr>
        <w:footnoteReference w:id="26"/>
      </w:r>
      <w:r w:rsidRPr="3B0D9F72">
        <w:rPr>
          <w:rFonts w:eastAsia="Calibri" w:cs="Calibri"/>
        </w:rPr>
        <w:t xml:space="preserve">.  This review has found little </w:t>
      </w:r>
      <w:r w:rsidR="4B03FC39">
        <w:rPr>
          <w:rFonts w:eastAsia="Calibri" w:cs="Calibri"/>
        </w:rPr>
        <w:t>indication</w:t>
      </w:r>
      <w:r w:rsidRPr="3B0D9F72">
        <w:rPr>
          <w:rFonts w:eastAsia="Calibri" w:cs="Calibri"/>
        </w:rPr>
        <w:t xml:space="preserve"> that VAESP has addressed this issue since the MTR.  </w:t>
      </w:r>
      <w:r w:rsidR="4B03FC39">
        <w:rPr>
          <w:rFonts w:eastAsia="Calibri" w:cs="Calibri"/>
        </w:rPr>
        <w:t>R</w:t>
      </w:r>
      <w:r w:rsidRPr="3B0D9F72">
        <w:rPr>
          <w:rFonts w:eastAsia="Calibri" w:cs="Calibri"/>
        </w:rPr>
        <w:t xml:space="preserve">ecent reporting and </w:t>
      </w:r>
      <w:r w:rsidR="4B03FC39">
        <w:rPr>
          <w:rFonts w:eastAsia="Calibri" w:cs="Calibri"/>
        </w:rPr>
        <w:t>review</w:t>
      </w:r>
      <w:r w:rsidRPr="3B0D9F72">
        <w:rPr>
          <w:rFonts w:eastAsia="Calibri" w:cs="Calibri"/>
        </w:rPr>
        <w:t xml:space="preserve"> consultations </w:t>
      </w:r>
      <w:r w:rsidR="4B03FC39">
        <w:rPr>
          <w:rFonts w:eastAsia="Calibri" w:cs="Calibri"/>
        </w:rPr>
        <w:t>show</w:t>
      </w:r>
      <w:r w:rsidRPr="3B0D9F72">
        <w:rPr>
          <w:rFonts w:eastAsia="Calibri" w:cs="Calibri"/>
        </w:rPr>
        <w:t xml:space="preserve"> a continued focus on a broad range of activities and an emphasis on responsiveness and alignment with current (often short-term) </w:t>
      </w:r>
      <w:proofErr w:type="spellStart"/>
      <w:r w:rsidRPr="3B0D9F72">
        <w:rPr>
          <w:rFonts w:eastAsia="Calibri" w:cs="Calibri"/>
        </w:rPr>
        <w:t>MoET</w:t>
      </w:r>
      <w:proofErr w:type="spellEnd"/>
      <w:r w:rsidRPr="3B0D9F72">
        <w:rPr>
          <w:rFonts w:eastAsia="Calibri" w:cs="Calibri"/>
        </w:rPr>
        <w:t xml:space="preserve"> priorities, to the detriment of a more strategic focus on navigat</w:t>
      </w:r>
      <w:r w:rsidR="4B03FC39">
        <w:rPr>
          <w:rFonts w:eastAsia="Calibri" w:cs="Calibri"/>
        </w:rPr>
        <w:t>ing</w:t>
      </w:r>
      <w:r w:rsidRPr="3B0D9F72">
        <w:rPr>
          <w:rFonts w:eastAsia="Calibri" w:cs="Calibri"/>
        </w:rPr>
        <w:t xml:space="preserve"> the current political economy to achieve long-term outcomes.  This weakness is further exacerbated by the absence of a strong theory of change for VAESP, as discussed </w:t>
      </w:r>
      <w:r w:rsidR="509F19D2">
        <w:rPr>
          <w:rFonts w:eastAsia="Calibri" w:cs="Calibri"/>
        </w:rPr>
        <w:t>above</w:t>
      </w:r>
      <w:r w:rsidRPr="3B0D9F72">
        <w:rPr>
          <w:rFonts w:eastAsia="Calibri" w:cs="Calibri"/>
        </w:rPr>
        <w:t>.</w:t>
      </w:r>
      <w:r>
        <w:t xml:space="preserve"> </w:t>
      </w:r>
    </w:p>
    <w:p w14:paraId="0276D61D" w14:textId="1FB779FF" w:rsidR="009803A7" w:rsidRPr="009803A7" w:rsidRDefault="6355A51A" w:rsidP="00F761A4">
      <w:r>
        <w:t xml:space="preserve">Further, </w:t>
      </w:r>
      <w:r w:rsidR="4B03FC39">
        <w:t xml:space="preserve">effective </w:t>
      </w:r>
      <w:r>
        <w:t xml:space="preserve">connections between the different VAESP modalities (MC, DFA and </w:t>
      </w:r>
      <w:r w:rsidR="57AAEA03">
        <w:t>IES</w:t>
      </w:r>
      <w:r>
        <w:t xml:space="preserve">) </w:t>
      </w:r>
      <w:r w:rsidR="5330C41E">
        <w:t>are</w:t>
      </w:r>
      <w:r>
        <w:t xml:space="preserve"> limited. While</w:t>
      </w:r>
      <w:r w:rsidR="1B80B6E7">
        <w:t xml:space="preserve"> </w:t>
      </w:r>
      <w:r>
        <w:t>there are examples of complementary support through the MC and DFA, these appear to be most often</w:t>
      </w:r>
      <w:r w:rsidR="7A621D48">
        <w:t xml:space="preserve"> </w:t>
      </w:r>
      <w:r>
        <w:t>reactive measures to identified challenges, rather than part of a more strategic approach to leveraging</w:t>
      </w:r>
      <w:r w:rsidR="0C5E3466">
        <w:t xml:space="preserve"> </w:t>
      </w:r>
      <w:r>
        <w:t>complementarity of the two mechanisms.</w:t>
      </w:r>
      <w:r w:rsidR="04D3E5C9">
        <w:t xml:space="preserve"> </w:t>
      </w:r>
    </w:p>
    <w:p w14:paraId="5D1F1959" w14:textId="206E5B68" w:rsidR="009803A7" w:rsidRPr="009803A7" w:rsidRDefault="6355A51A" w:rsidP="00F761A4">
      <w:r>
        <w:t>VAESP is largely implemented in isolation from other education programs. Noting this, the 2022 mid-term evaluation recommended reinvigoration of the Local Education Group (LEG), which brings together</w:t>
      </w:r>
      <w:r w:rsidR="55A5A60D">
        <w:t xml:space="preserve"> </w:t>
      </w:r>
      <w:r>
        <w:t>education stakeholders. This has been reinstated; however, meetings are only held bi-</w:t>
      </w:r>
      <w:proofErr w:type="gramStart"/>
      <w:r>
        <w:t>annually, and</w:t>
      </w:r>
      <w:proofErr w:type="gramEnd"/>
      <w:r w:rsidR="44B355CE">
        <w:t xml:space="preserve"> </w:t>
      </w:r>
      <w:r w:rsidR="14E9F345">
        <w:t>mainly involve</w:t>
      </w:r>
      <w:r>
        <w:t xml:space="preserve"> information sharing and reviewing G</w:t>
      </w:r>
      <w:r w:rsidR="060755A3">
        <w:t xml:space="preserve">lobal Partnership for Education (GPE) </w:t>
      </w:r>
      <w:r>
        <w:t>proposals and reports, which does not</w:t>
      </w:r>
      <w:r w:rsidR="0763CAF0">
        <w:t xml:space="preserve"> </w:t>
      </w:r>
      <w:r>
        <w:t>sufficiently enable coordination amongst stakeholders. While the VAESP Steering Committee meets</w:t>
      </w:r>
      <w:r w:rsidR="491D10C8">
        <w:t xml:space="preserve"> </w:t>
      </w:r>
      <w:r>
        <w:t>regularly, reporting indicates that it is largely focused on information sharing and monitoring of VAESP</w:t>
      </w:r>
      <w:r w:rsidR="20C35AB3">
        <w:t xml:space="preserve"> </w:t>
      </w:r>
      <w:r>
        <w:t xml:space="preserve">progress, rather than an opportunity for </w:t>
      </w:r>
      <w:r w:rsidR="00D41CBB">
        <w:t xml:space="preserve">strategic direction or </w:t>
      </w:r>
      <w:r>
        <w:t>more substantive policy dialogue. While the Steering</w:t>
      </w:r>
      <w:r w:rsidR="7882A0BE">
        <w:t xml:space="preserve"> </w:t>
      </w:r>
      <w:r>
        <w:t>Committee is nominally the governance structure for all modalities under VAESP, key decision-making</w:t>
      </w:r>
      <w:r w:rsidR="74B87CEE">
        <w:t xml:space="preserve"> </w:t>
      </w:r>
      <w:r>
        <w:t>on the DFA appears to take place separately through DFAT-MOET discussion</w:t>
      </w:r>
      <w:r w:rsidR="4DC492FD">
        <w:t>.</w:t>
      </w:r>
      <w:r w:rsidR="1D066AB1">
        <w:t xml:space="preserve"> </w:t>
      </w:r>
      <w:r>
        <w:t xml:space="preserve">Few </w:t>
      </w:r>
      <w:r w:rsidR="14E9F345">
        <w:t>mechanisms</w:t>
      </w:r>
      <w:r>
        <w:t xml:space="preserve"> exist to leverage more effectively to maximise education investments and joint policy</w:t>
      </w:r>
      <w:r w:rsidR="3A95DB1E">
        <w:t xml:space="preserve"> </w:t>
      </w:r>
      <w:r>
        <w:t>dialogue.</w:t>
      </w:r>
    </w:p>
    <w:p w14:paraId="62D8C846" w14:textId="62E3B3D4" w:rsidR="009803A7" w:rsidRDefault="6355A51A" w:rsidP="00F761A4">
      <w:r>
        <w:t xml:space="preserve">Stakeholder roles are unclear, and </w:t>
      </w:r>
      <w:proofErr w:type="spellStart"/>
      <w:r w:rsidR="77B18CE0">
        <w:t>MoET’s</w:t>
      </w:r>
      <w:proofErr w:type="spellEnd"/>
      <w:r w:rsidR="77B18CE0">
        <w:t xml:space="preserve"> </w:t>
      </w:r>
      <w:r>
        <w:t>2023 Disability Inclusive Education Resource Mid-Point</w:t>
      </w:r>
      <w:r w:rsidR="78E291D2">
        <w:t xml:space="preserve"> </w:t>
      </w:r>
      <w:r>
        <w:t>Review Report highlighted frustrations experienced by school principals linked to contrary inclusive</w:t>
      </w:r>
      <w:r w:rsidR="5B238E65">
        <w:t xml:space="preserve"> </w:t>
      </w:r>
      <w:r>
        <w:t>education advice provided by different programs – in particular VAESP and the GPE. The report includes a quote from a principal who expressed there are “too many</w:t>
      </w:r>
      <w:r w:rsidR="2B66B80D">
        <w:t xml:space="preserve"> </w:t>
      </w:r>
      <w:r>
        <w:t>people doing different things in inclusive education”. The report notes the need for VAESP and GPE to</w:t>
      </w:r>
      <w:r w:rsidR="2A9C6051">
        <w:t xml:space="preserve"> </w:t>
      </w:r>
      <w:r>
        <w:t>collaborate and coordinate more closely</w:t>
      </w:r>
      <w:r w:rsidR="73CABB75">
        <w:t xml:space="preserve">. </w:t>
      </w:r>
    </w:p>
    <w:p w14:paraId="70178504" w14:textId="77777777" w:rsidR="007C259F" w:rsidRPr="009803A7" w:rsidRDefault="007C259F" w:rsidP="00F761A4"/>
    <w:p w14:paraId="1AE537DF" w14:textId="63B2D6FB" w:rsidR="009803A7" w:rsidRDefault="3FEC5C40" w:rsidP="00340446">
      <w:pPr>
        <w:pStyle w:val="ListParagraph"/>
        <w:numPr>
          <w:ilvl w:val="0"/>
          <w:numId w:val="31"/>
        </w:numPr>
        <w:rPr>
          <w:b/>
          <w:bCs/>
        </w:rPr>
      </w:pPr>
      <w:r w:rsidRPr="3B0D9F72">
        <w:rPr>
          <w:b/>
          <w:bCs/>
        </w:rPr>
        <w:t xml:space="preserve">Limitations in </w:t>
      </w:r>
      <w:r w:rsidR="4E62F1DE" w:rsidRPr="3B0D9F72">
        <w:rPr>
          <w:b/>
          <w:bCs/>
        </w:rPr>
        <w:t xml:space="preserve">the management of the </w:t>
      </w:r>
      <w:r w:rsidR="009803A7" w:rsidRPr="3B0D9F72">
        <w:rPr>
          <w:b/>
          <w:bCs/>
        </w:rPr>
        <w:t>DFA – monitoring, auditing, reporting, expending + gaps between VAESP and DFA delivery</w:t>
      </w:r>
    </w:p>
    <w:p w14:paraId="79AC93CC" w14:textId="6833A775" w:rsidR="009803A7" w:rsidRDefault="3DCD2AC8" w:rsidP="00F761A4">
      <w:r>
        <w:t xml:space="preserve">While the </w:t>
      </w:r>
      <w:r w:rsidR="797EFF74">
        <w:t xml:space="preserve">use of the </w:t>
      </w:r>
      <w:r>
        <w:t xml:space="preserve">DFA has enabled efficiencies, </w:t>
      </w:r>
      <w:r w:rsidR="005B1628">
        <w:t>there exist</w:t>
      </w:r>
      <w:r w:rsidR="6F37C33B">
        <w:t xml:space="preserve"> </w:t>
      </w:r>
      <w:r w:rsidR="62534D2A">
        <w:t xml:space="preserve">a range of challenges and </w:t>
      </w:r>
      <w:r w:rsidR="218658DF">
        <w:t>limitations</w:t>
      </w:r>
      <w:r w:rsidR="47A70A3E">
        <w:t xml:space="preserve"> in </w:t>
      </w:r>
      <w:r w:rsidR="4EB96846">
        <w:t>making most effective use of the DFA.</w:t>
      </w:r>
      <w:r w:rsidR="5819E9FC">
        <w:t xml:space="preserve"> Of most relevance to this high-level modality review is </w:t>
      </w:r>
      <w:r w:rsidR="4D821034">
        <w:t xml:space="preserve">the </w:t>
      </w:r>
      <w:r w:rsidR="27B8D18B">
        <w:t xml:space="preserve">lack of clarity in </w:t>
      </w:r>
      <w:r w:rsidR="6839B63B">
        <w:t xml:space="preserve">how the DFA fits within the overall program logic of VAESP and </w:t>
      </w:r>
      <w:r w:rsidR="7923DBF0">
        <w:t>weaknesses in the strategic management</w:t>
      </w:r>
      <w:r w:rsidR="48C70692">
        <w:t xml:space="preserve"> and MEL of</w:t>
      </w:r>
      <w:r w:rsidR="7923DBF0">
        <w:t xml:space="preserve"> the</w:t>
      </w:r>
      <w:r w:rsidR="06A982EC">
        <w:t xml:space="preserve"> DFA </w:t>
      </w:r>
      <w:r w:rsidR="00F9856C">
        <w:t>and i</w:t>
      </w:r>
      <w:r w:rsidR="6CEED54F">
        <w:t>ts effectiveness as a modality for</w:t>
      </w:r>
      <w:r w:rsidR="00F9856C">
        <w:t xml:space="preserve"> contributi</w:t>
      </w:r>
      <w:r w:rsidR="44324C25">
        <w:t>ng</w:t>
      </w:r>
      <w:r w:rsidR="00F9856C">
        <w:t xml:space="preserve"> to </w:t>
      </w:r>
      <w:r w:rsidR="48C99971">
        <w:t xml:space="preserve">achievement of </w:t>
      </w:r>
      <w:r w:rsidR="00F9856C">
        <w:t xml:space="preserve">program outcomes. </w:t>
      </w:r>
    </w:p>
    <w:p w14:paraId="70D8B422" w14:textId="41017B61" w:rsidR="009803A7" w:rsidRDefault="0141F595" w:rsidP="00F761A4">
      <w:r>
        <w:t>As noted earlier under Strengths,</w:t>
      </w:r>
      <w:r w:rsidR="7DBC9D93">
        <w:t xml:space="preserve"> there is evidence of the MC playing a </w:t>
      </w:r>
      <w:r w:rsidR="22256E0E">
        <w:t>valuable</w:t>
      </w:r>
      <w:r w:rsidR="7DBC9D93">
        <w:t xml:space="preserve"> role in support</w:t>
      </w:r>
      <w:r w:rsidR="71A17801">
        <w:t>ing</w:t>
      </w:r>
      <w:r w:rsidR="7DBC9D93">
        <w:t xml:space="preserve"> </w:t>
      </w:r>
      <w:proofErr w:type="spellStart"/>
      <w:r w:rsidR="7DBC9D93">
        <w:t>MoET</w:t>
      </w:r>
      <w:proofErr w:type="spellEnd"/>
      <w:r w:rsidR="7DBC9D93">
        <w:t xml:space="preserve"> </w:t>
      </w:r>
      <w:r w:rsidR="4A99DABA">
        <w:t>to strengthen</w:t>
      </w:r>
      <w:r w:rsidR="7DBC9D93">
        <w:t xml:space="preserve"> PFM systems and capabilities</w:t>
      </w:r>
      <w:r w:rsidR="005B1628">
        <w:t>,</w:t>
      </w:r>
      <w:r w:rsidR="7DBC9D93">
        <w:t xml:space="preserve"> </w:t>
      </w:r>
      <w:r w:rsidR="21D2C462">
        <w:t>in response to the findings of the 2020 PFM assessment</w:t>
      </w:r>
      <w:r w:rsidR="588AFF14">
        <w:t xml:space="preserve">. </w:t>
      </w:r>
      <w:r w:rsidR="17457472">
        <w:t xml:space="preserve">Progress has been made on addressing weaknesses in auditing and delays in expenditure, as evidenced in the 2023 report from VAESP on strengthening PFM in the education sector (further updated in June 2024). </w:t>
      </w:r>
      <w:r w:rsidR="588AFF14">
        <w:t>However,</w:t>
      </w:r>
      <w:r w:rsidR="7ECA5391">
        <w:t xml:space="preserve"> the VAESP MEL framework and reporting structures </w:t>
      </w:r>
      <w:r w:rsidR="04C7C3AA">
        <w:t xml:space="preserve">produced by the MC </w:t>
      </w:r>
      <w:r w:rsidR="5F1C3D70">
        <w:t>do no</w:t>
      </w:r>
      <w:r w:rsidR="1896F6A5">
        <w:t xml:space="preserve">t cover activities delivered through the DFA. As such, the mechanisms for evaluating the effectiveness of the DFA and </w:t>
      </w:r>
      <w:r w:rsidR="6D814CE3">
        <w:t xml:space="preserve">determining lessons learned to inform future DFAT investments is not clear. </w:t>
      </w:r>
    </w:p>
    <w:p w14:paraId="0F9F78C7" w14:textId="1FE6143D" w:rsidR="009803A7" w:rsidRDefault="430AE1DC" w:rsidP="00F761A4">
      <w:r>
        <w:t>Furthermore, it is not clear where responsibility sits for monitoring</w:t>
      </w:r>
      <w:r w:rsidR="002F4CCC">
        <w:t xml:space="preserve">, </w:t>
      </w:r>
      <w:r>
        <w:t>reporting</w:t>
      </w:r>
      <w:r w:rsidR="002F4CCC">
        <w:t xml:space="preserve"> and managing</w:t>
      </w:r>
      <w:r>
        <w:t xml:space="preserve"> risks </w:t>
      </w:r>
      <w:r w:rsidR="01C8145E">
        <w:t xml:space="preserve">in the use of the DFA </w:t>
      </w:r>
      <w:r>
        <w:t xml:space="preserve">and progress in strengthening </w:t>
      </w:r>
      <w:proofErr w:type="spellStart"/>
      <w:r w:rsidR="51F4A086">
        <w:t>MoET</w:t>
      </w:r>
      <w:proofErr w:type="spellEnd"/>
      <w:r w:rsidR="51F4A086">
        <w:t xml:space="preserve"> capabilities for effective use of DFA funding. </w:t>
      </w:r>
      <w:r w:rsidR="7FAFD5FF">
        <w:t>Based on the 2023 (ad hoc) report from VAESP on PFM strengthening,</w:t>
      </w:r>
      <w:r w:rsidR="543B327E">
        <w:t xml:space="preserve"> several issues remain unresolved</w:t>
      </w:r>
      <w:r w:rsidR="009019B5">
        <w:rPr>
          <w:rStyle w:val="FootnoteReference"/>
        </w:rPr>
        <w:footnoteReference w:id="27"/>
      </w:r>
      <w:r w:rsidR="36CF61BA">
        <w:t>.</w:t>
      </w:r>
      <w:r w:rsidR="543B327E">
        <w:t xml:space="preserve"> </w:t>
      </w:r>
      <w:r w:rsidR="30FD116E">
        <w:t xml:space="preserve">Consultations </w:t>
      </w:r>
      <w:r w:rsidR="65522034">
        <w:t xml:space="preserve">revealed mixed views as to whether </w:t>
      </w:r>
      <w:proofErr w:type="spellStart"/>
      <w:r w:rsidR="65522034">
        <w:t>MoET</w:t>
      </w:r>
      <w:proofErr w:type="spellEnd"/>
      <w:r w:rsidR="65522034">
        <w:t xml:space="preserve"> and </w:t>
      </w:r>
      <w:proofErr w:type="spellStart"/>
      <w:r w:rsidR="65522034">
        <w:t>GoV</w:t>
      </w:r>
      <w:proofErr w:type="spellEnd"/>
      <w:r w:rsidR="65522034">
        <w:t xml:space="preserve"> systems and capabilities are sufficient for managing </w:t>
      </w:r>
      <w:r w:rsidR="3962EA81">
        <w:t xml:space="preserve">further </w:t>
      </w:r>
      <w:r w:rsidR="5CE02518">
        <w:t xml:space="preserve">DFA </w:t>
      </w:r>
      <w:r w:rsidR="3962EA81">
        <w:t xml:space="preserve">funding </w:t>
      </w:r>
      <w:r w:rsidR="65522034">
        <w:t xml:space="preserve">increases </w:t>
      </w:r>
      <w:r w:rsidR="69400AEE">
        <w:t>or expansion in the range of activities funded through</w:t>
      </w:r>
      <w:r w:rsidR="27A19B3E">
        <w:t xml:space="preserve"> the DFA</w:t>
      </w:r>
      <w:r w:rsidR="7924A1E0">
        <w:t xml:space="preserve"> mechanism</w:t>
      </w:r>
      <w:r w:rsidR="796DDAFE">
        <w:t xml:space="preserve"> (beyond school grants and infrastructure)</w:t>
      </w:r>
      <w:r w:rsidR="27A19B3E">
        <w:t xml:space="preserve">. This is reinforced by the findings of the 2022 MTR, which </w:t>
      </w:r>
      <w:r w:rsidR="7B92FE5C">
        <w:t xml:space="preserve">reported </w:t>
      </w:r>
      <w:proofErr w:type="spellStart"/>
      <w:r w:rsidR="7B92FE5C">
        <w:t>MoET</w:t>
      </w:r>
      <w:proofErr w:type="spellEnd"/>
      <w:r w:rsidR="7B92FE5C">
        <w:t xml:space="preserve"> concerns with </w:t>
      </w:r>
      <w:r w:rsidR="37B7A6F4">
        <w:t>the burden o</w:t>
      </w:r>
      <w:r w:rsidR="21A832BA">
        <w:t>f DFA management and reporting</w:t>
      </w:r>
      <w:r w:rsidR="58666A19">
        <w:t xml:space="preserve"> and recommended more dedicated support from the MC to </w:t>
      </w:r>
      <w:proofErr w:type="spellStart"/>
      <w:r w:rsidR="58666A19">
        <w:t>MoET</w:t>
      </w:r>
      <w:proofErr w:type="spellEnd"/>
      <w:r w:rsidR="58666A19">
        <w:t xml:space="preserve"> for DFA management.</w:t>
      </w:r>
    </w:p>
    <w:p w14:paraId="46A4A826" w14:textId="0649E1AC" w:rsidR="007C259F" w:rsidRDefault="44FFFD54">
      <w:r>
        <w:t>The A</w:t>
      </w:r>
      <w:r w:rsidR="00257801">
        <w:t xml:space="preserve">ssessment of </w:t>
      </w:r>
      <w:r>
        <w:t>N</w:t>
      </w:r>
      <w:r w:rsidR="00257801">
        <w:t xml:space="preserve">ational </w:t>
      </w:r>
      <w:r>
        <w:t>S</w:t>
      </w:r>
      <w:r w:rsidR="00257801">
        <w:t>ystems</w:t>
      </w:r>
      <w:r>
        <w:t xml:space="preserve"> 2023 Update </w:t>
      </w:r>
      <w:r w:rsidR="002E6D20">
        <w:t xml:space="preserve">(ANS) </w:t>
      </w:r>
      <w:r>
        <w:t>examined fiduciary and other risks presented by utilising partner government systems. Overall, the 2023 Update found an increase in inherent risk compared to the situation in 2018. This is attributable mainly to the move to general budget support. It found that Australian actors by seeking to improve development outcomes and reduce fiduciary risk, have the effect of exercising de facto control over funds</w:t>
      </w:r>
      <w:r w:rsidR="00CC7832">
        <w:rPr>
          <w:rStyle w:val="FootnoteReference"/>
        </w:rPr>
        <w:footnoteReference w:id="28"/>
      </w:r>
      <w:r>
        <w:t xml:space="preserve">. In short, taking the approach of using compensatory controls at the expense of digging in for the long haul with partners to use </w:t>
      </w:r>
      <w:r w:rsidR="5018F537">
        <w:t>p</w:t>
      </w:r>
      <w:r>
        <w:t xml:space="preserve">artner </w:t>
      </w:r>
      <w:r w:rsidR="2FCD5001">
        <w:t>g</w:t>
      </w:r>
      <w:r>
        <w:t xml:space="preserve">overnment </w:t>
      </w:r>
      <w:r w:rsidR="56D2EB2C">
        <w:t>s</w:t>
      </w:r>
      <w:r>
        <w:t>ystems.</w:t>
      </w:r>
      <w:r w:rsidR="05A23682">
        <w:t xml:space="preserve"> The ANS 2023 Update findings reinforce </w:t>
      </w:r>
      <w:r w:rsidR="2E292C2A">
        <w:t>the findings of this Review, that there are opportunities to utilise the DFA mechanism in education more strategically and effective</w:t>
      </w:r>
      <w:r w:rsidR="6DDE4BBF">
        <w:t>ly to achieve both development outcomes and strengthen</w:t>
      </w:r>
      <w:r w:rsidR="280138CF">
        <w:t>ed</w:t>
      </w:r>
      <w:r w:rsidR="6DDE4BBF">
        <w:t xml:space="preserve"> </w:t>
      </w:r>
      <w:r w:rsidR="7BA97813">
        <w:t>partner government systems</w:t>
      </w:r>
      <w:r w:rsidR="6DDE4BBF">
        <w:t xml:space="preserve">. </w:t>
      </w:r>
    </w:p>
    <w:p w14:paraId="26236795" w14:textId="76704F3E" w:rsidR="6F17AD08" w:rsidRDefault="0DF6A6A6" w:rsidP="00E66AE9">
      <w:pPr>
        <w:pStyle w:val="ListParagraph"/>
        <w:numPr>
          <w:ilvl w:val="0"/>
          <w:numId w:val="31"/>
        </w:numPr>
        <w:rPr>
          <w:rFonts w:eastAsia="Calibri" w:cs="Calibri"/>
          <w:b/>
          <w:bCs/>
        </w:rPr>
      </w:pPr>
      <w:r w:rsidRPr="0C3CBE43">
        <w:rPr>
          <w:rFonts w:eastAsia="Calibri" w:cs="Calibri"/>
          <w:b/>
          <w:bCs/>
        </w:rPr>
        <w:t xml:space="preserve">Underutilisation and </w:t>
      </w:r>
      <w:r w:rsidRPr="00340446">
        <w:rPr>
          <w:b/>
          <w:bCs/>
        </w:rPr>
        <w:t>undervaluing</w:t>
      </w:r>
      <w:r w:rsidRPr="0C3CBE43">
        <w:rPr>
          <w:rFonts w:eastAsia="Calibri" w:cs="Calibri"/>
          <w:b/>
          <w:bCs/>
        </w:rPr>
        <w:t xml:space="preserve"> of local expertise </w:t>
      </w:r>
    </w:p>
    <w:p w14:paraId="1BE58250" w14:textId="21E70CC2" w:rsidR="6F17AD08" w:rsidRDefault="6F17AD08" w:rsidP="3B0D9F72">
      <w:pPr>
        <w:rPr>
          <w:rFonts w:eastAsia="Calibri" w:cs="Calibri"/>
        </w:rPr>
      </w:pPr>
      <w:r w:rsidRPr="3B0D9F72">
        <w:rPr>
          <w:rFonts w:eastAsia="Calibri" w:cs="Calibri"/>
        </w:rPr>
        <w:t>To date, VAESP’s Team Leader and Deputy roles have been filled by international / expatriate personnel, with several ex-</w:t>
      </w:r>
      <w:proofErr w:type="spellStart"/>
      <w:r w:rsidRPr="3B0D9F72">
        <w:rPr>
          <w:rFonts w:eastAsia="Calibri" w:cs="Calibri"/>
        </w:rPr>
        <w:t>MoET</w:t>
      </w:r>
      <w:proofErr w:type="spellEnd"/>
      <w:r w:rsidRPr="3B0D9F72">
        <w:rPr>
          <w:rFonts w:eastAsia="Calibri" w:cs="Calibri"/>
        </w:rPr>
        <w:t xml:space="preserve">, experienced ni-Vanuatu individuals hired in senior program positions. However, consultations indicate that decision-making responsibility </w:t>
      </w:r>
      <w:r w:rsidR="575063F4" w:rsidRPr="3B0D9F72">
        <w:rPr>
          <w:rFonts w:eastAsia="Calibri" w:cs="Calibri"/>
        </w:rPr>
        <w:t>as well as positional authority</w:t>
      </w:r>
      <w:r w:rsidR="208B3D2C" w:rsidRPr="3B0D9F72">
        <w:rPr>
          <w:rFonts w:eastAsia="Calibri" w:cs="Calibri"/>
        </w:rPr>
        <w:t>,</w:t>
      </w:r>
      <w:r w:rsidR="575063F4" w:rsidRPr="3B0D9F72">
        <w:rPr>
          <w:rFonts w:eastAsia="Calibri" w:cs="Calibri"/>
        </w:rPr>
        <w:t xml:space="preserve"> </w:t>
      </w:r>
      <w:r w:rsidRPr="3B0D9F72">
        <w:rPr>
          <w:rFonts w:eastAsia="Calibri" w:cs="Calibri"/>
        </w:rPr>
        <w:t xml:space="preserve">has been held primarily by the Team Leader and Deputy Team Leader. </w:t>
      </w:r>
    </w:p>
    <w:p w14:paraId="05303314" w14:textId="66FD3FDB" w:rsidR="6F17AD08" w:rsidRDefault="6F17AD08" w:rsidP="3B0D9F72">
      <w:r w:rsidRPr="3B0D9F72">
        <w:rPr>
          <w:rFonts w:eastAsia="Calibri" w:cs="Calibri"/>
        </w:rPr>
        <w:t>Validating this, the 2024 IMR notes that more use could be made by VAESP of its senior local staff, to ensure the program is more politically informed. This finding was also shared by key informants during consultations, who reported that inadequate utilisation of local expertise has led to missed opportunities to leverage experienced, locally engaged staff, reform-minded local leaders and provincial partnerships.</w:t>
      </w:r>
    </w:p>
    <w:p w14:paraId="3ED59E97" w14:textId="28E8695B" w:rsidR="6F17AD08" w:rsidRPr="00B158C6" w:rsidRDefault="6F17AD08" w:rsidP="00B158C6">
      <w:pPr>
        <w:rPr>
          <w:rFonts w:eastAsia="Calibri" w:cs="Calibri"/>
        </w:rPr>
      </w:pPr>
      <w:r w:rsidRPr="3B0D9F72">
        <w:rPr>
          <w:rFonts w:eastAsia="Calibri" w:cs="Calibri"/>
        </w:rPr>
        <w:t xml:space="preserve">VAESP’s </w:t>
      </w:r>
      <w:proofErr w:type="gramStart"/>
      <w:r w:rsidR="00A46419">
        <w:rPr>
          <w:rFonts w:eastAsia="Calibri" w:cs="Calibri"/>
        </w:rPr>
        <w:t xml:space="preserve">MC </w:t>
      </w:r>
      <w:r w:rsidRPr="3B0D9F72">
        <w:rPr>
          <w:rFonts w:eastAsia="Calibri" w:cs="Calibri"/>
        </w:rPr>
        <w:t xml:space="preserve"> is</w:t>
      </w:r>
      <w:proofErr w:type="gramEnd"/>
      <w:r w:rsidRPr="3B0D9F72">
        <w:rPr>
          <w:rFonts w:eastAsia="Calibri" w:cs="Calibri"/>
        </w:rPr>
        <w:t xml:space="preserve"> heavily involved in key VAESP functions</w:t>
      </w:r>
      <w:r w:rsidR="00120E16">
        <w:rPr>
          <w:rFonts w:eastAsia="Calibri" w:cs="Calibri"/>
        </w:rPr>
        <w:t xml:space="preserve"> and provision of staff</w:t>
      </w:r>
      <w:r w:rsidRPr="3B0D9F72">
        <w:rPr>
          <w:rFonts w:eastAsia="Calibri" w:cs="Calibri"/>
        </w:rPr>
        <w:t xml:space="preserve">: at the time of writing, the Acting Team Leader has been seconded from </w:t>
      </w:r>
      <w:r w:rsidR="00AF585A">
        <w:rPr>
          <w:rFonts w:eastAsia="Calibri" w:cs="Calibri"/>
        </w:rPr>
        <w:t>the MC’s</w:t>
      </w:r>
      <w:r w:rsidRPr="3B0D9F72">
        <w:rPr>
          <w:rFonts w:eastAsia="Calibri" w:cs="Calibri"/>
        </w:rPr>
        <w:t xml:space="preserve"> senior management, and MEL advisory support is provided by </w:t>
      </w:r>
      <w:r w:rsidR="00AF585A">
        <w:rPr>
          <w:rFonts w:eastAsia="Calibri" w:cs="Calibri"/>
        </w:rPr>
        <w:t>MC</w:t>
      </w:r>
      <w:r w:rsidRPr="3B0D9F72">
        <w:rPr>
          <w:rFonts w:eastAsia="Calibri" w:cs="Calibri"/>
        </w:rPr>
        <w:t xml:space="preserve"> corporate staff</w:t>
      </w:r>
      <w:r w:rsidR="73ED52CD" w:rsidRPr="3B0D9F72">
        <w:rPr>
          <w:rFonts w:eastAsia="Calibri" w:cs="Calibri"/>
        </w:rPr>
        <w:t xml:space="preserve"> rather than specialists recruited specifically to meet the needs of the program</w:t>
      </w:r>
      <w:r w:rsidRPr="3B0D9F72">
        <w:rPr>
          <w:rFonts w:eastAsia="Calibri" w:cs="Calibri"/>
        </w:rPr>
        <w:t xml:space="preserve">. A risk of this arrangement is that decision-making power is in the hands of outsiders who are unlikely to have granular knowledge </w:t>
      </w:r>
      <w:r w:rsidR="00120E16">
        <w:rPr>
          <w:rFonts w:eastAsia="Calibri" w:cs="Calibri"/>
        </w:rPr>
        <w:t>or</w:t>
      </w:r>
      <w:r w:rsidRPr="3B0D9F72">
        <w:rPr>
          <w:rFonts w:eastAsia="Calibri" w:cs="Calibri"/>
        </w:rPr>
        <w:t xml:space="preserve"> understanding of Vanuatu’s political context and economy</w:t>
      </w:r>
      <w:r w:rsidR="361B6AF5" w:rsidRPr="3B0D9F72">
        <w:rPr>
          <w:rFonts w:eastAsia="Calibri" w:cs="Calibri"/>
        </w:rPr>
        <w:t xml:space="preserve">, and who do not necessarily have a long-term </w:t>
      </w:r>
      <w:r w:rsidR="2D8E5762" w:rsidRPr="3B0D9F72">
        <w:rPr>
          <w:rFonts w:eastAsia="Calibri" w:cs="Calibri"/>
        </w:rPr>
        <w:t>commitment</w:t>
      </w:r>
      <w:r w:rsidR="361B6AF5" w:rsidRPr="3B0D9F72">
        <w:rPr>
          <w:rFonts w:eastAsia="Calibri" w:cs="Calibri"/>
        </w:rPr>
        <w:t xml:space="preserve"> to the program</w:t>
      </w:r>
      <w:r w:rsidRPr="3B0D9F72">
        <w:rPr>
          <w:rFonts w:eastAsia="Calibri" w:cs="Calibri"/>
        </w:rPr>
        <w:t>. This could be offset by greater engagement of VAESP’s experienced senior ni-Vanuatu advisers in context analysis and decision-making</w:t>
      </w:r>
      <w:r w:rsidR="742B6F10" w:rsidRPr="3B0D9F72">
        <w:rPr>
          <w:rFonts w:eastAsia="Calibri" w:cs="Calibri"/>
        </w:rPr>
        <w:t xml:space="preserve"> but there is no evidence that this has been the approach within the contractor or program leadership</w:t>
      </w:r>
      <w:r w:rsidRPr="3B0D9F72">
        <w:rPr>
          <w:rFonts w:eastAsia="Calibri" w:cs="Calibri"/>
        </w:rPr>
        <w:t xml:space="preserve">.  </w:t>
      </w:r>
    </w:p>
    <w:p w14:paraId="48F3CE89" w14:textId="30B1BA35" w:rsidR="6F17AD08" w:rsidRDefault="6F17AD08" w:rsidP="00340446">
      <w:pPr>
        <w:pStyle w:val="ListParagraph"/>
        <w:numPr>
          <w:ilvl w:val="0"/>
          <w:numId w:val="31"/>
        </w:numPr>
        <w:rPr>
          <w:rFonts w:eastAsia="Calibri" w:cs="Calibri"/>
          <w:b/>
          <w:bCs/>
        </w:rPr>
      </w:pPr>
      <w:r w:rsidRPr="3B0D9F72">
        <w:rPr>
          <w:rFonts w:eastAsia="Calibri" w:cs="Calibri"/>
          <w:b/>
          <w:bCs/>
        </w:rPr>
        <w:t>Uncertainty about Open VEMIS (</w:t>
      </w:r>
      <w:r w:rsidRPr="00340446">
        <w:rPr>
          <w:b/>
          <w:bCs/>
        </w:rPr>
        <w:t>supported</w:t>
      </w:r>
      <w:r w:rsidRPr="3B0D9F72">
        <w:rPr>
          <w:rFonts w:eastAsia="Calibri" w:cs="Calibri"/>
          <w:b/>
          <w:bCs/>
        </w:rPr>
        <w:t xml:space="preserve"> by VAESP) / new EMIS (to be supported through GPE)</w:t>
      </w:r>
    </w:p>
    <w:p w14:paraId="704A5497" w14:textId="771E9575" w:rsidR="2404E575" w:rsidRDefault="139616AF" w:rsidP="3B0D9F72">
      <w:pPr>
        <w:rPr>
          <w:rFonts w:eastAsia="Calibri" w:cs="Calibri"/>
        </w:rPr>
      </w:pPr>
      <w:r w:rsidRPr="3B0D9F72">
        <w:t xml:space="preserve">There is lack of clarity within VAESP and the </w:t>
      </w:r>
      <w:proofErr w:type="spellStart"/>
      <w:r w:rsidRPr="3B0D9F72">
        <w:t>MoET</w:t>
      </w:r>
      <w:proofErr w:type="spellEnd"/>
      <w:r w:rsidRPr="3B0D9F72">
        <w:t xml:space="preserve"> regarding the future of OV, </w:t>
      </w:r>
      <w:r w:rsidR="00AF585A">
        <w:t xml:space="preserve">which has faced </w:t>
      </w:r>
      <w:proofErr w:type="gramStart"/>
      <w:r w:rsidR="00AF585A">
        <w:t>a number of</w:t>
      </w:r>
      <w:proofErr w:type="gramEnd"/>
      <w:r w:rsidR="00AF585A">
        <w:t xml:space="preserve"> issues with its functioning. </w:t>
      </w:r>
      <w:r w:rsidR="5D8B051A">
        <w:t xml:space="preserve">UNESCO has also supported </w:t>
      </w:r>
      <w:proofErr w:type="spellStart"/>
      <w:r w:rsidR="5D8B051A">
        <w:t>MoET</w:t>
      </w:r>
      <w:proofErr w:type="spellEnd"/>
      <w:r w:rsidR="5D8B051A">
        <w:t xml:space="preserve"> with </w:t>
      </w:r>
      <w:proofErr w:type="gramStart"/>
      <w:r w:rsidR="5D8B051A">
        <w:t>OV</w:t>
      </w:r>
      <w:proofErr w:type="gramEnd"/>
      <w:r w:rsidR="5D8B051A">
        <w:t xml:space="preserve"> and a review was undertaken in 2023, but it has not been shared with VAESP. Also, m</w:t>
      </w:r>
      <w:r w:rsidR="00AF585A">
        <w:t>any stakeholders seem to be</w:t>
      </w:r>
      <w:r w:rsidRPr="3B0D9F72">
        <w:t xml:space="preserve"> unaware of upcoming changes to be implemented with </w:t>
      </w:r>
      <w:r w:rsidR="0F6FB05A" w:rsidRPr="3B0D9F72">
        <w:t xml:space="preserve">funding </w:t>
      </w:r>
      <w:r w:rsidRPr="3B0D9F72">
        <w:t>from GPE</w:t>
      </w:r>
      <w:r w:rsidR="2404E575" w:rsidRPr="00B158C6">
        <w:rPr>
          <w:vertAlign w:val="superscript"/>
        </w:rPr>
        <w:footnoteReference w:id="29"/>
      </w:r>
      <w:r w:rsidRPr="3B0D9F72">
        <w:t xml:space="preserve">. This is a risk to future MEL which </w:t>
      </w:r>
      <w:r w:rsidR="40BF15BD" w:rsidRPr="3B0D9F72">
        <w:t>is likely to</w:t>
      </w:r>
      <w:r w:rsidRPr="3B0D9F72">
        <w:t xml:space="preserve"> rely on EMIS data</w:t>
      </w:r>
      <w:r w:rsidR="60559713" w:rsidRPr="3B0D9F72">
        <w:t xml:space="preserve"> and potentially risks the loss of significant progress achieved in establishing OV under previous VAE</w:t>
      </w:r>
      <w:r w:rsidR="070FF5C5" w:rsidRPr="3B0D9F72">
        <w:t xml:space="preserve">SP support. </w:t>
      </w:r>
      <w:r w:rsidRPr="3B0D9F72">
        <w:t xml:space="preserve">As such, it is an immediate issue that needs to be addressed under the current program. </w:t>
      </w:r>
    </w:p>
    <w:p w14:paraId="341E9EB7" w14:textId="14441EA4" w:rsidR="3B5D8928" w:rsidRDefault="21C84451" w:rsidP="3B0D9F72">
      <w:r>
        <w:t xml:space="preserve">VAESP annual reporting provides minimal evidence of problems with OV of the scale that would justify changing the platform. </w:t>
      </w:r>
      <w:r w:rsidR="3CFC8BAE">
        <w:t xml:space="preserve">The VAESP </w:t>
      </w:r>
      <w:r w:rsidR="5E8CD493">
        <w:t>'Pausing and Reflecting</w:t>
      </w:r>
      <w:r w:rsidR="2CFF95DB">
        <w:t>’</w:t>
      </w:r>
      <w:r w:rsidR="5E8CD493">
        <w:t xml:space="preserve"> </w:t>
      </w:r>
      <w:r w:rsidR="3CFC8BAE">
        <w:t>presentation</w:t>
      </w:r>
      <w:r w:rsidR="71707A23">
        <w:t xml:space="preserve"> from July 2024</w:t>
      </w:r>
      <w:r w:rsidR="3CFC8BAE">
        <w:t xml:space="preserve"> references an </w:t>
      </w:r>
      <w:r w:rsidR="70878125">
        <w:t>‘</w:t>
      </w:r>
      <w:r w:rsidR="3CFC8BAE">
        <w:t>OV options paper</w:t>
      </w:r>
      <w:r w:rsidR="5BC0CFED">
        <w:t>’</w:t>
      </w:r>
      <w:r w:rsidR="267222A4">
        <w:t xml:space="preserve"> delivered in October 2023</w:t>
      </w:r>
      <w:r w:rsidR="5BC0CFED">
        <w:t>, which may provide further detail</w:t>
      </w:r>
      <w:r w:rsidR="00AF585A">
        <w:t xml:space="preserve">, but the review team did not have access to this document. </w:t>
      </w:r>
      <w:r w:rsidR="2EC46CCF">
        <w:t xml:space="preserve">However, the lack of awareness amongst key </w:t>
      </w:r>
      <w:proofErr w:type="spellStart"/>
      <w:r w:rsidR="2EC46CCF">
        <w:t>MoET</w:t>
      </w:r>
      <w:proofErr w:type="spellEnd"/>
      <w:r w:rsidR="2EC46CCF">
        <w:t xml:space="preserve"> and DFAT stakeholders about the impending changes revealed through our consultations is highly concerning</w:t>
      </w:r>
      <w:r w:rsidR="0750AC7E">
        <w:t xml:space="preserve">. It </w:t>
      </w:r>
      <w:r w:rsidR="2EC46CCF">
        <w:t>suggests weaknesses</w:t>
      </w:r>
      <w:r w:rsidR="3C5C1CDE">
        <w:t xml:space="preserve"> in the current coordination and governance mechanisms for VAESP, which </w:t>
      </w:r>
      <w:r w:rsidR="7BCEB306">
        <w:t xml:space="preserve">need to be considered in the new design. </w:t>
      </w:r>
    </w:p>
    <w:p w14:paraId="0198661F" w14:textId="77777777" w:rsidR="007C259F" w:rsidRDefault="007C259F" w:rsidP="3B0D9F72">
      <w:pPr>
        <w:rPr>
          <w:rFonts w:eastAsia="Calibri" w:cs="Calibri"/>
        </w:rPr>
      </w:pPr>
    </w:p>
    <w:p w14:paraId="5FDF46A2" w14:textId="46A66DDE" w:rsidR="6F17AD08" w:rsidRDefault="6F17AD08" w:rsidP="00340446">
      <w:pPr>
        <w:pStyle w:val="ListParagraph"/>
        <w:numPr>
          <w:ilvl w:val="0"/>
          <w:numId w:val="31"/>
        </w:numPr>
        <w:rPr>
          <w:rFonts w:eastAsia="Calibri" w:cs="Calibri"/>
          <w:b/>
          <w:bCs/>
        </w:rPr>
      </w:pPr>
      <w:r w:rsidRPr="3B0D9F72">
        <w:rPr>
          <w:rFonts w:eastAsia="Calibri" w:cs="Calibri"/>
          <w:b/>
          <w:bCs/>
        </w:rPr>
        <w:t>Innovation in Austr</w:t>
      </w:r>
      <w:r w:rsidR="0C977B9B" w:rsidRPr="3B0D9F72">
        <w:rPr>
          <w:rFonts w:eastAsia="Calibri" w:cs="Calibri"/>
          <w:b/>
          <w:bCs/>
        </w:rPr>
        <w:t>a</w:t>
      </w:r>
      <w:r w:rsidRPr="3B0D9F72">
        <w:rPr>
          <w:rFonts w:eastAsia="Calibri" w:cs="Calibri"/>
          <w:b/>
          <w:bCs/>
        </w:rPr>
        <w:t xml:space="preserve">lia </w:t>
      </w:r>
      <w:r w:rsidRPr="00340446">
        <w:rPr>
          <w:b/>
          <w:bCs/>
        </w:rPr>
        <w:t>Awards</w:t>
      </w:r>
      <w:r w:rsidRPr="3B0D9F72">
        <w:rPr>
          <w:rFonts w:eastAsia="Calibri" w:cs="Calibri"/>
          <w:b/>
          <w:bCs/>
        </w:rPr>
        <w:t xml:space="preserve"> offerings and expanding outreach are relatively recent and nascent developments</w:t>
      </w:r>
    </w:p>
    <w:p w14:paraId="7ADE624C" w14:textId="5E75A8AF" w:rsidR="00120E16" w:rsidRDefault="468BE4A4" w:rsidP="00F761A4">
      <w:pPr>
        <w:rPr>
          <w:rFonts w:eastAsia="Calibri"/>
        </w:rPr>
      </w:pPr>
      <w:r w:rsidRPr="3326E6A4">
        <w:rPr>
          <w:rFonts w:eastAsia="Calibri"/>
        </w:rPr>
        <w:t xml:space="preserve">Over the life of the VAESP investment, </w:t>
      </w:r>
      <w:r w:rsidR="208C42E5" w:rsidRPr="3326E6A4">
        <w:rPr>
          <w:rFonts w:eastAsia="Calibri"/>
        </w:rPr>
        <w:t xml:space="preserve">AAV has been managed in a </w:t>
      </w:r>
      <w:proofErr w:type="gramStart"/>
      <w:r w:rsidR="208C42E5" w:rsidRPr="3326E6A4">
        <w:rPr>
          <w:rFonts w:eastAsia="Calibri"/>
        </w:rPr>
        <w:t>fairly conservative</w:t>
      </w:r>
      <w:proofErr w:type="gramEnd"/>
      <w:r w:rsidR="208C42E5" w:rsidRPr="3326E6A4">
        <w:rPr>
          <w:rFonts w:eastAsia="Calibri"/>
        </w:rPr>
        <w:t xml:space="preserve"> fashion</w:t>
      </w:r>
      <w:r w:rsidR="0D289891" w:rsidRPr="3326E6A4">
        <w:rPr>
          <w:rFonts w:eastAsia="Calibri"/>
        </w:rPr>
        <w:t xml:space="preserve">, both when managed directly by the Australian High Commission and once transitioned to </w:t>
      </w:r>
      <w:r w:rsidR="00BE6DF5">
        <w:rPr>
          <w:rFonts w:eastAsia="Calibri"/>
        </w:rPr>
        <w:t>the MC</w:t>
      </w:r>
      <w:r w:rsidR="0D289891" w:rsidRPr="3326E6A4">
        <w:rPr>
          <w:rFonts w:eastAsia="Calibri"/>
        </w:rPr>
        <w:t xml:space="preserve"> under their VAESP contract</w:t>
      </w:r>
      <w:r w:rsidR="208C42E5" w:rsidRPr="3326E6A4">
        <w:rPr>
          <w:rFonts w:eastAsia="Calibri"/>
        </w:rPr>
        <w:t xml:space="preserve">. Initiatives to enhance </w:t>
      </w:r>
      <w:r w:rsidR="7D6A545C" w:rsidRPr="3326E6A4">
        <w:rPr>
          <w:rFonts w:eastAsia="Calibri"/>
        </w:rPr>
        <w:t>equity and inclusiveness of award process</w:t>
      </w:r>
      <w:r w:rsidR="495A329E" w:rsidRPr="3326E6A4">
        <w:rPr>
          <w:rFonts w:eastAsia="Calibri"/>
        </w:rPr>
        <w:t>es</w:t>
      </w:r>
      <w:r w:rsidR="7D6A545C" w:rsidRPr="3326E6A4">
        <w:rPr>
          <w:rFonts w:eastAsia="Calibri"/>
        </w:rPr>
        <w:t xml:space="preserve"> and</w:t>
      </w:r>
      <w:r w:rsidR="208C42E5" w:rsidRPr="3326E6A4">
        <w:rPr>
          <w:rFonts w:eastAsia="Calibri"/>
        </w:rPr>
        <w:t xml:space="preserve"> explore </w:t>
      </w:r>
      <w:r w:rsidR="330C414B" w:rsidRPr="3326E6A4">
        <w:rPr>
          <w:rFonts w:eastAsia="Calibri"/>
        </w:rPr>
        <w:t xml:space="preserve">a wider range of award types are relatively recent and still in early days of development. </w:t>
      </w:r>
      <w:r w:rsidR="149129E1" w:rsidRPr="3326E6A4">
        <w:rPr>
          <w:rFonts w:eastAsia="Calibri"/>
        </w:rPr>
        <w:t xml:space="preserve">Consultations </w:t>
      </w:r>
      <w:r w:rsidR="13FB0E5C" w:rsidRPr="3326E6A4">
        <w:rPr>
          <w:rFonts w:eastAsia="Calibri"/>
        </w:rPr>
        <w:t>highlighted the opportunity to further strengthen collaboration between</w:t>
      </w:r>
      <w:r w:rsidR="149129E1" w:rsidRPr="3326E6A4">
        <w:rPr>
          <w:rFonts w:eastAsia="Calibri"/>
        </w:rPr>
        <w:t xml:space="preserve"> AAV</w:t>
      </w:r>
      <w:r w:rsidR="0CC4C5D5" w:rsidRPr="3326E6A4">
        <w:rPr>
          <w:rFonts w:eastAsia="Calibri"/>
        </w:rPr>
        <w:t>, VAESP and VSP, and</w:t>
      </w:r>
      <w:r w:rsidR="149129E1" w:rsidRPr="3326E6A4">
        <w:rPr>
          <w:rFonts w:eastAsia="Calibri"/>
        </w:rPr>
        <w:t xml:space="preserve"> </w:t>
      </w:r>
      <w:r w:rsidR="30998C26" w:rsidRPr="3326E6A4">
        <w:rPr>
          <w:rFonts w:eastAsia="Calibri"/>
        </w:rPr>
        <w:t>expand</w:t>
      </w:r>
      <w:r w:rsidR="3A915B05" w:rsidRPr="3326E6A4">
        <w:rPr>
          <w:rFonts w:eastAsia="Calibri"/>
        </w:rPr>
        <w:t xml:space="preserve"> more innovative approaches such as short course awards. </w:t>
      </w:r>
    </w:p>
    <w:p w14:paraId="0BAD85C1" w14:textId="2BEFDDFC" w:rsidR="6A23F641" w:rsidRDefault="76471ACB" w:rsidP="00F761A4">
      <w:pPr>
        <w:rPr>
          <w:rFonts w:eastAsia="Calibri"/>
        </w:rPr>
      </w:pPr>
      <w:r w:rsidRPr="3326E6A4">
        <w:rPr>
          <w:rFonts w:eastAsia="Calibri"/>
        </w:rPr>
        <w:t xml:space="preserve">Another notable issue raised in the AAV 2023 annual report is that of low achievement rates of Vanuatu AA applicants in the IELTS. Similar challenges </w:t>
      </w:r>
      <w:r w:rsidR="5B0C73B4" w:rsidRPr="3326E6A4">
        <w:rPr>
          <w:rFonts w:eastAsia="Calibri"/>
        </w:rPr>
        <w:t>in the</w:t>
      </w:r>
      <w:r w:rsidRPr="3326E6A4">
        <w:rPr>
          <w:rFonts w:eastAsia="Calibri"/>
        </w:rPr>
        <w:t xml:space="preserve"> literacy </w:t>
      </w:r>
      <w:r w:rsidR="26156617" w:rsidRPr="3326E6A4">
        <w:rPr>
          <w:rFonts w:eastAsia="Calibri"/>
        </w:rPr>
        <w:t>capabilities of young people accessing sk</w:t>
      </w:r>
      <w:r w:rsidR="0411DD7D" w:rsidRPr="3326E6A4">
        <w:rPr>
          <w:rFonts w:eastAsia="Calibri"/>
        </w:rPr>
        <w:t xml:space="preserve">ills programs </w:t>
      </w:r>
      <w:r w:rsidR="1A2C3714" w:rsidRPr="3326E6A4">
        <w:rPr>
          <w:rFonts w:eastAsia="Calibri"/>
        </w:rPr>
        <w:t>have</w:t>
      </w:r>
      <w:r w:rsidR="0411DD7D" w:rsidRPr="3326E6A4">
        <w:rPr>
          <w:rFonts w:eastAsia="Calibri"/>
        </w:rPr>
        <w:t xml:space="preserve"> been</w:t>
      </w:r>
      <w:r w:rsidR="26156617" w:rsidRPr="3326E6A4">
        <w:rPr>
          <w:rFonts w:eastAsia="Calibri"/>
        </w:rPr>
        <w:t xml:space="preserve"> identified by VSP and is a potential area for collaboration acros</w:t>
      </w:r>
      <w:r w:rsidRPr="3326E6A4">
        <w:rPr>
          <w:rFonts w:eastAsia="Calibri"/>
        </w:rPr>
        <w:t>s DFAT</w:t>
      </w:r>
      <w:r w:rsidR="004C715D">
        <w:rPr>
          <w:rFonts w:eastAsia="Calibri"/>
        </w:rPr>
        <w:t>’</w:t>
      </w:r>
      <w:r w:rsidRPr="3326E6A4">
        <w:rPr>
          <w:rFonts w:eastAsia="Calibri"/>
        </w:rPr>
        <w:t>s education investments.</w:t>
      </w:r>
    </w:p>
    <w:p w14:paraId="12DA6CEB" w14:textId="0E7EA884" w:rsidR="3C86E9E6" w:rsidRDefault="3C86E9E6" w:rsidP="00F761A4">
      <w:pPr>
        <w:rPr>
          <w:rFonts w:eastAsia="Calibri"/>
        </w:rPr>
      </w:pPr>
      <w:r w:rsidRPr="0C3CBE43">
        <w:rPr>
          <w:rFonts w:eastAsia="Calibri"/>
        </w:rPr>
        <w:t>As noted earlier, t</w:t>
      </w:r>
      <w:r w:rsidR="53F23C1D" w:rsidRPr="0C3CBE43">
        <w:rPr>
          <w:rFonts w:eastAsia="Calibri"/>
        </w:rPr>
        <w:t xml:space="preserve">he decision to shift management of AAV from </w:t>
      </w:r>
      <w:r w:rsidR="00120E16" w:rsidRPr="0C3CBE43">
        <w:rPr>
          <w:rFonts w:eastAsia="Calibri"/>
        </w:rPr>
        <w:t>Post</w:t>
      </w:r>
      <w:r w:rsidR="53F23C1D" w:rsidRPr="0C3CBE43">
        <w:rPr>
          <w:rFonts w:eastAsia="Calibri"/>
        </w:rPr>
        <w:t xml:space="preserve"> to the VAESP MC appears to have brought efficiencies and </w:t>
      </w:r>
      <w:r w:rsidR="10D36CF9" w:rsidRPr="0C3CBE43">
        <w:rPr>
          <w:rFonts w:eastAsia="Calibri"/>
        </w:rPr>
        <w:t xml:space="preserve">provided </w:t>
      </w:r>
      <w:r w:rsidR="53F23C1D" w:rsidRPr="0C3CBE43">
        <w:rPr>
          <w:rFonts w:eastAsia="Calibri"/>
        </w:rPr>
        <w:t>more dedicated m</w:t>
      </w:r>
      <w:r w:rsidR="0E8B24E6" w:rsidRPr="0C3CBE43">
        <w:rPr>
          <w:rFonts w:eastAsia="Calibri"/>
        </w:rPr>
        <w:t>anagement resource</w:t>
      </w:r>
      <w:r w:rsidR="56D7D7A2" w:rsidRPr="0C3CBE43">
        <w:rPr>
          <w:rFonts w:eastAsia="Calibri"/>
        </w:rPr>
        <w:t>. However</w:t>
      </w:r>
      <w:r w:rsidR="0E8B24E6" w:rsidRPr="0C3CBE43">
        <w:rPr>
          <w:rFonts w:eastAsia="Calibri"/>
        </w:rPr>
        <w:t xml:space="preserve">, </w:t>
      </w:r>
      <w:r w:rsidR="2EE01E9F" w:rsidRPr="0C3CBE43">
        <w:rPr>
          <w:rFonts w:eastAsia="Calibri"/>
        </w:rPr>
        <w:t xml:space="preserve">part of </w:t>
      </w:r>
      <w:r w:rsidR="378C5A30" w:rsidRPr="0C3CBE43">
        <w:rPr>
          <w:rFonts w:eastAsia="Calibri"/>
        </w:rPr>
        <w:t>the</w:t>
      </w:r>
      <w:r w:rsidR="2AB7ABA8" w:rsidRPr="0C3CBE43">
        <w:rPr>
          <w:rFonts w:eastAsia="Calibri"/>
        </w:rPr>
        <w:t xml:space="preserve"> rationale for a MC modality for A</w:t>
      </w:r>
      <w:r w:rsidR="406E03A8" w:rsidRPr="0C3CBE43">
        <w:rPr>
          <w:rFonts w:eastAsia="Calibri"/>
        </w:rPr>
        <w:t xml:space="preserve">ustralian Awards is the ability of MCs to draw on lessons learned from other </w:t>
      </w:r>
      <w:r w:rsidR="6AAEB80D" w:rsidRPr="0C3CBE43">
        <w:rPr>
          <w:rFonts w:eastAsia="Calibri"/>
        </w:rPr>
        <w:t xml:space="preserve">Australia Awards </w:t>
      </w:r>
      <w:r w:rsidR="406E03A8" w:rsidRPr="0C3CBE43">
        <w:rPr>
          <w:rFonts w:eastAsia="Calibri"/>
        </w:rPr>
        <w:t>programs</w:t>
      </w:r>
      <w:r w:rsidR="51F096A0" w:rsidRPr="0C3CBE43">
        <w:rPr>
          <w:rFonts w:eastAsia="Calibri"/>
        </w:rPr>
        <w:t xml:space="preserve"> and invest in innovative approaches for enhancing inclusiveness and maximising impacts of AA</w:t>
      </w:r>
      <w:r w:rsidR="5AA9C558" w:rsidRPr="0C3CBE43">
        <w:rPr>
          <w:rFonts w:eastAsia="Calibri"/>
        </w:rPr>
        <w:t>V</w:t>
      </w:r>
      <w:r w:rsidR="51F096A0" w:rsidRPr="0C3CBE43">
        <w:rPr>
          <w:rFonts w:eastAsia="Calibri"/>
        </w:rPr>
        <w:t xml:space="preserve">. While some promising initiatives have been started under </w:t>
      </w:r>
      <w:r w:rsidR="49272F84" w:rsidRPr="0C3CBE43">
        <w:rPr>
          <w:rFonts w:eastAsia="Calibri"/>
        </w:rPr>
        <w:t xml:space="preserve">AAV in the last two years, much more can be done to </w:t>
      </w:r>
      <w:r w:rsidR="330F3469" w:rsidRPr="0C3CBE43">
        <w:rPr>
          <w:rFonts w:eastAsia="Calibri"/>
        </w:rPr>
        <w:t xml:space="preserve">bring AAV </w:t>
      </w:r>
      <w:r w:rsidR="6F3C3D04" w:rsidRPr="0C3CBE43">
        <w:rPr>
          <w:rFonts w:eastAsia="Calibri"/>
        </w:rPr>
        <w:t xml:space="preserve">closer to the quality </w:t>
      </w:r>
      <w:r w:rsidR="330F3469" w:rsidRPr="0C3CBE43">
        <w:rPr>
          <w:rFonts w:eastAsia="Calibri"/>
        </w:rPr>
        <w:t>offered by Australian Awards programs</w:t>
      </w:r>
      <w:r w:rsidR="4D1D781F" w:rsidRPr="0C3CBE43">
        <w:rPr>
          <w:rFonts w:eastAsia="Calibri"/>
        </w:rPr>
        <w:t xml:space="preserve"> elsewhere</w:t>
      </w:r>
      <w:r w:rsidR="330F3469" w:rsidRPr="0C3CBE43">
        <w:rPr>
          <w:rFonts w:eastAsia="Calibri"/>
        </w:rPr>
        <w:t xml:space="preserve">. </w:t>
      </w:r>
    </w:p>
    <w:p w14:paraId="47A0E3B1" w14:textId="482DACF0" w:rsidR="3B0D9F72" w:rsidRPr="00F761A4" w:rsidRDefault="630AC583" w:rsidP="00F761A4">
      <w:pPr>
        <w:rPr>
          <w:rFonts w:eastAsia="Calibri"/>
        </w:rPr>
      </w:pPr>
      <w:r w:rsidRPr="3326E6A4">
        <w:rPr>
          <w:rFonts w:eastAsia="Calibri"/>
        </w:rPr>
        <w:t>While efforts to promote AAV in the provinces and amongst people with disabilit</w:t>
      </w:r>
      <w:r w:rsidR="40B534C3" w:rsidRPr="3326E6A4">
        <w:rPr>
          <w:rFonts w:eastAsia="Calibri"/>
        </w:rPr>
        <w:t>ies</w:t>
      </w:r>
      <w:r w:rsidRPr="3326E6A4">
        <w:rPr>
          <w:rFonts w:eastAsia="Calibri"/>
        </w:rPr>
        <w:t xml:space="preserve"> have begun, the opportunity exists to do more, </w:t>
      </w:r>
      <w:r w:rsidR="3C38F285" w:rsidRPr="3326E6A4">
        <w:rPr>
          <w:rFonts w:eastAsia="Calibri"/>
        </w:rPr>
        <w:t xml:space="preserve">learning lessons from other Australia Awards programs in the region which utilise strong GEDSI approaches. </w:t>
      </w:r>
    </w:p>
    <w:p w14:paraId="028778DC" w14:textId="2C139B42" w:rsidR="475C678C" w:rsidRDefault="635D55D7" w:rsidP="00340446">
      <w:pPr>
        <w:pStyle w:val="ListParagraph"/>
        <w:numPr>
          <w:ilvl w:val="0"/>
          <w:numId w:val="31"/>
        </w:numPr>
        <w:rPr>
          <w:rFonts w:eastAsia="Calibri" w:cs="Calibri"/>
          <w:b/>
          <w:bCs/>
        </w:rPr>
      </w:pPr>
      <w:r w:rsidRPr="0C3CBE43">
        <w:rPr>
          <w:rFonts w:eastAsia="Calibri" w:cs="Calibri"/>
          <w:b/>
          <w:bCs/>
        </w:rPr>
        <w:t xml:space="preserve">Progress towards and </w:t>
      </w:r>
      <w:r w:rsidR="1485992B" w:rsidRPr="0C3CBE43">
        <w:rPr>
          <w:rFonts w:eastAsia="Calibri" w:cs="Calibri"/>
          <w:b/>
          <w:bCs/>
        </w:rPr>
        <w:t>e</w:t>
      </w:r>
      <w:r w:rsidR="475C678C" w:rsidRPr="0C3CBE43">
        <w:rPr>
          <w:rFonts w:eastAsia="Calibri" w:cs="Calibri"/>
          <w:b/>
          <w:bCs/>
        </w:rPr>
        <w:t>vidence of g</w:t>
      </w:r>
      <w:r w:rsidR="6F17AD08" w:rsidRPr="0C3CBE43">
        <w:rPr>
          <w:rFonts w:eastAsia="Calibri" w:cs="Calibri"/>
          <w:b/>
          <w:bCs/>
        </w:rPr>
        <w:t xml:space="preserve">ender equality and disability inclusion </w:t>
      </w:r>
      <w:r w:rsidR="170CE39D" w:rsidRPr="0C3CBE43">
        <w:rPr>
          <w:rFonts w:eastAsia="Calibri" w:cs="Calibri"/>
          <w:b/>
          <w:bCs/>
        </w:rPr>
        <w:t>outcome</w:t>
      </w:r>
      <w:r w:rsidR="6F17AD08" w:rsidRPr="0C3CBE43">
        <w:rPr>
          <w:rFonts w:eastAsia="Calibri" w:cs="Calibri"/>
          <w:b/>
          <w:bCs/>
        </w:rPr>
        <w:t xml:space="preserve">s </w:t>
      </w:r>
      <w:r w:rsidR="170CE39D" w:rsidRPr="0C3CBE43">
        <w:rPr>
          <w:rFonts w:eastAsia="Calibri" w:cs="Calibri"/>
          <w:b/>
          <w:bCs/>
        </w:rPr>
        <w:t xml:space="preserve">is </w:t>
      </w:r>
      <w:r w:rsidR="6F17AD08" w:rsidRPr="0C3CBE43">
        <w:rPr>
          <w:rFonts w:eastAsia="Calibri" w:cs="Calibri"/>
          <w:b/>
          <w:bCs/>
        </w:rPr>
        <w:t>limited</w:t>
      </w:r>
    </w:p>
    <w:p w14:paraId="49768A5A" w14:textId="707D75BC" w:rsidR="6947EC33" w:rsidRDefault="6947EC33" w:rsidP="00665C7D">
      <w:pPr>
        <w:rPr>
          <w:rFonts w:eastAsia="Calibri"/>
        </w:rPr>
      </w:pPr>
      <w:proofErr w:type="spellStart"/>
      <w:r w:rsidRPr="0C3CBE43">
        <w:rPr>
          <w:rFonts w:eastAsia="Calibri"/>
        </w:rPr>
        <w:t>MoET</w:t>
      </w:r>
      <w:proofErr w:type="spellEnd"/>
      <w:r w:rsidRPr="0C3CBE43">
        <w:rPr>
          <w:rFonts w:eastAsia="Calibri"/>
        </w:rPr>
        <w:t xml:space="preserve"> data from 2021 and 2022 indicates that the net enrolment rates (NER) for girls in both years </w:t>
      </w:r>
      <w:proofErr w:type="gramStart"/>
      <w:r w:rsidR="2F0CAEFB" w:rsidRPr="0C3CBE43">
        <w:rPr>
          <w:rFonts w:eastAsia="Calibri"/>
        </w:rPr>
        <w:t>w</w:t>
      </w:r>
      <w:r w:rsidR="004C715D" w:rsidRPr="0C3CBE43">
        <w:rPr>
          <w:rFonts w:eastAsia="Calibri"/>
        </w:rPr>
        <w:t>as</w:t>
      </w:r>
      <w:proofErr w:type="gramEnd"/>
      <w:r w:rsidRPr="0C3CBE43">
        <w:rPr>
          <w:rFonts w:eastAsia="Calibri"/>
        </w:rPr>
        <w:t xml:space="preserve"> 92%, while for boys it was 89% and 90% respectively, indicating that girls are progressing through primary schools at a higher rate than </w:t>
      </w:r>
      <w:r w:rsidR="006E308B">
        <w:rPr>
          <w:rFonts w:eastAsia="Calibri"/>
        </w:rPr>
        <w:t>boys</w:t>
      </w:r>
      <w:r w:rsidRPr="0C3CBE43">
        <w:rPr>
          <w:rFonts w:eastAsia="Calibri"/>
        </w:rPr>
        <w:t xml:space="preserve"> (IMR, 2024). 2021 VANSTA and PILNA results indicate that a greater proportion of girls are meeting or exceeding minimum standards, compared to boys. The 2022 mid-term evaluation of VAESP </w:t>
      </w:r>
      <w:r>
        <w:t>noted that further</w:t>
      </w:r>
      <w:r w:rsidRPr="0C3CBE43">
        <w:rPr>
          <w:rFonts w:eastAsia="Calibri"/>
        </w:rPr>
        <w:t xml:space="preserve"> information is needed on how global trends indicating that girls outperform boys in school is manifesting in Vanuatu</w:t>
      </w:r>
      <w:r w:rsidR="186BA970" w:rsidRPr="0C3CBE43">
        <w:rPr>
          <w:rFonts w:eastAsia="Calibri"/>
        </w:rPr>
        <w:t xml:space="preserve">, however further program documentation relating to this could not be located. </w:t>
      </w:r>
    </w:p>
    <w:p w14:paraId="437854F9" w14:textId="77777777" w:rsidR="002E796A" w:rsidRDefault="6947EC33" w:rsidP="0C3CBE43">
      <w:pPr>
        <w:rPr>
          <w:rFonts w:eastAsia="Calibri"/>
        </w:rPr>
      </w:pPr>
      <w:r w:rsidRPr="0C3CBE43">
        <w:rPr>
          <w:rFonts w:eastAsia="Calibri"/>
        </w:rPr>
        <w:t xml:space="preserve">VAESP’s gender equality efforts have </w:t>
      </w:r>
      <w:r w:rsidR="5CB913D2" w:rsidRPr="0C3CBE43">
        <w:rPr>
          <w:rFonts w:eastAsia="Calibri"/>
        </w:rPr>
        <w:t xml:space="preserve">been </w:t>
      </w:r>
      <w:r w:rsidR="03AEF0E2" w:rsidRPr="0C3CBE43">
        <w:rPr>
          <w:rFonts w:eastAsia="Calibri"/>
        </w:rPr>
        <w:t xml:space="preserve">fragmented </w:t>
      </w:r>
      <w:r w:rsidR="5CB913D2" w:rsidRPr="0C3CBE43">
        <w:rPr>
          <w:rFonts w:eastAsia="Calibri"/>
        </w:rPr>
        <w:t xml:space="preserve">and </w:t>
      </w:r>
      <w:r w:rsidRPr="0C3CBE43">
        <w:rPr>
          <w:rFonts w:eastAsia="Calibri"/>
        </w:rPr>
        <w:t>had limited and mixed results. The 2024 IMR reported that PSP training in Torba strengthened the confidence of 13 women in Torba, however reporting on PSP indicated that it was difficult to engage men in positive parenting training. New literacy teaching flashcards align with gender equality principles and are respectful of gender roles</w:t>
      </w:r>
      <w:r w:rsidR="558474C8" w:rsidRPr="0C3CBE43">
        <w:rPr>
          <w:rFonts w:eastAsia="Calibri"/>
        </w:rPr>
        <w:t xml:space="preserve"> - f</w:t>
      </w:r>
      <w:r w:rsidRPr="0C3CBE43">
        <w:rPr>
          <w:rFonts w:eastAsia="Calibri"/>
        </w:rPr>
        <w:t>or example, flashcards depict both women and men as doctors, pilots, carers, nurses, police officers and firefighters (VAESP, 2024). While efforts have been made to mainstream GEDSI approaches across</w:t>
      </w:r>
      <w:r w:rsidR="6775EDC4" w:rsidRPr="0C3CBE43">
        <w:rPr>
          <w:rFonts w:eastAsia="Calibri"/>
        </w:rPr>
        <w:t xml:space="preserve"> some</w:t>
      </w:r>
      <w:r w:rsidRPr="0C3CBE43">
        <w:rPr>
          <w:rFonts w:eastAsia="Calibri"/>
        </w:rPr>
        <w:t xml:space="preserve"> VAESP activities, specific efforts to promote gender equality amongst students, and across the education sector, are limited.</w:t>
      </w:r>
      <w:r w:rsidR="765D03AD" w:rsidRPr="0C3CBE43">
        <w:rPr>
          <w:rFonts w:eastAsia="Calibri"/>
        </w:rPr>
        <w:t xml:space="preserve"> </w:t>
      </w:r>
    </w:p>
    <w:p w14:paraId="20BA9ADA" w14:textId="6B589BB1" w:rsidR="6947EC33" w:rsidRDefault="7F2A0A55" w:rsidP="0C3CBE43">
      <w:pPr>
        <w:rPr>
          <w:rFonts w:eastAsia="Calibri"/>
        </w:rPr>
      </w:pPr>
      <w:r w:rsidRPr="6FCA30B7">
        <w:rPr>
          <w:rFonts w:eastAsia="Calibri"/>
        </w:rPr>
        <w:t>There is</w:t>
      </w:r>
      <w:r w:rsidR="4438A303" w:rsidRPr="6FCA30B7">
        <w:rPr>
          <w:rFonts w:eastAsia="Calibri"/>
        </w:rPr>
        <w:t xml:space="preserve"> minimal and only recent </w:t>
      </w:r>
      <w:r w:rsidR="765D03AD" w:rsidRPr="6FCA30B7">
        <w:rPr>
          <w:rFonts w:eastAsia="Calibri"/>
        </w:rPr>
        <w:t xml:space="preserve">evidence of efforts </w:t>
      </w:r>
      <w:r w:rsidR="0C640650" w:rsidRPr="6FCA30B7">
        <w:rPr>
          <w:rFonts w:eastAsia="Calibri"/>
        </w:rPr>
        <w:t xml:space="preserve">that </w:t>
      </w:r>
      <w:r w:rsidR="124F517C" w:rsidRPr="6FCA30B7">
        <w:rPr>
          <w:rFonts w:eastAsia="Calibri"/>
        </w:rPr>
        <w:t>are</w:t>
      </w:r>
      <w:r w:rsidR="0C640650" w:rsidRPr="6FCA30B7">
        <w:rPr>
          <w:rFonts w:eastAsia="Calibri"/>
        </w:rPr>
        <w:t xml:space="preserve"> informed by</w:t>
      </w:r>
      <w:r w:rsidR="002E796A" w:rsidRPr="6FCA30B7">
        <w:rPr>
          <w:rFonts w:eastAsia="Calibri"/>
        </w:rPr>
        <w:t>,</w:t>
      </w:r>
      <w:r w:rsidR="0C640650" w:rsidRPr="6FCA30B7">
        <w:rPr>
          <w:rFonts w:eastAsia="Calibri"/>
        </w:rPr>
        <w:t xml:space="preserve"> or seek </w:t>
      </w:r>
      <w:r w:rsidR="765D03AD" w:rsidRPr="6FCA30B7">
        <w:rPr>
          <w:rFonts w:eastAsia="Calibri"/>
        </w:rPr>
        <w:t xml:space="preserve">to </w:t>
      </w:r>
      <w:r w:rsidR="4BCDEEBD" w:rsidRPr="6FCA30B7">
        <w:rPr>
          <w:rFonts w:eastAsia="Calibri"/>
        </w:rPr>
        <w:t>address</w:t>
      </w:r>
      <w:r w:rsidR="002E796A" w:rsidRPr="6FCA30B7">
        <w:rPr>
          <w:rFonts w:eastAsia="Calibri"/>
        </w:rPr>
        <w:t>,</w:t>
      </w:r>
      <w:r w:rsidR="4BCDEEBD" w:rsidRPr="6FCA30B7">
        <w:rPr>
          <w:rFonts w:eastAsia="Calibri"/>
        </w:rPr>
        <w:t xml:space="preserve"> social norms relating to gender equality, or </w:t>
      </w:r>
      <w:r w:rsidR="002E796A" w:rsidRPr="6FCA30B7">
        <w:rPr>
          <w:rFonts w:eastAsia="Calibri"/>
        </w:rPr>
        <w:t xml:space="preserve">which </w:t>
      </w:r>
      <w:r w:rsidR="4BCDEEBD" w:rsidRPr="6FCA30B7">
        <w:rPr>
          <w:rFonts w:eastAsia="Calibri"/>
        </w:rPr>
        <w:t xml:space="preserve">support the </w:t>
      </w:r>
      <w:r w:rsidR="765D03AD" w:rsidRPr="6FCA30B7">
        <w:rPr>
          <w:rFonts w:eastAsia="Calibri"/>
        </w:rPr>
        <w:t>eliminat</w:t>
      </w:r>
      <w:r w:rsidR="4A901D8E" w:rsidRPr="6FCA30B7">
        <w:rPr>
          <w:rFonts w:eastAsia="Calibri"/>
        </w:rPr>
        <w:t>ion of</w:t>
      </w:r>
      <w:r w:rsidR="765D03AD" w:rsidRPr="6FCA30B7">
        <w:rPr>
          <w:rFonts w:eastAsia="Calibri"/>
        </w:rPr>
        <w:t xml:space="preserve"> </w:t>
      </w:r>
      <w:r w:rsidR="06FA14D0" w:rsidRPr="6FCA30B7">
        <w:rPr>
          <w:rFonts w:eastAsia="Calibri"/>
        </w:rPr>
        <w:t xml:space="preserve">violence against women and girls. </w:t>
      </w:r>
      <w:r w:rsidR="0EF24C61" w:rsidRPr="6FCA30B7">
        <w:rPr>
          <w:rFonts w:eastAsia="Calibri"/>
        </w:rPr>
        <w:t xml:space="preserve">For example, in 2023 VAESP undertook a study on gendered expectations, roles and results in Vanuatu primary schools and with </w:t>
      </w:r>
      <w:proofErr w:type="spellStart"/>
      <w:r w:rsidR="0EF24C61" w:rsidRPr="6FCA30B7">
        <w:rPr>
          <w:rFonts w:eastAsia="Calibri"/>
        </w:rPr>
        <w:t>MoET</w:t>
      </w:r>
      <w:proofErr w:type="spellEnd"/>
      <w:r w:rsidR="0EF24C61" w:rsidRPr="6FCA30B7">
        <w:rPr>
          <w:rFonts w:eastAsia="Calibri"/>
        </w:rPr>
        <w:t xml:space="preserve"> has produced a </w:t>
      </w:r>
      <w:r w:rsidR="04E30468" w:rsidRPr="6FCA30B7">
        <w:rPr>
          <w:rFonts w:eastAsia="Calibri"/>
        </w:rPr>
        <w:t xml:space="preserve">summary </w:t>
      </w:r>
      <w:r w:rsidR="0EF24C61" w:rsidRPr="6FCA30B7">
        <w:rPr>
          <w:rFonts w:eastAsia="Calibri"/>
        </w:rPr>
        <w:t xml:space="preserve">booklet </w:t>
      </w:r>
      <w:r w:rsidR="7C55C84F" w:rsidRPr="6FCA30B7">
        <w:rPr>
          <w:rFonts w:eastAsia="Calibri"/>
        </w:rPr>
        <w:t>to be disseminated as a mechanism to “highlight traditional norms and gender differences within Vanuatu’s education context and guide the direction of IE”</w:t>
      </w:r>
      <w:r w:rsidR="002E796A">
        <w:rPr>
          <w:rStyle w:val="FootnoteReference"/>
          <w:rFonts w:eastAsia="Calibri"/>
        </w:rPr>
        <w:footnoteReference w:id="30"/>
      </w:r>
      <w:r w:rsidR="002E796A" w:rsidRPr="6FCA30B7">
        <w:rPr>
          <w:rFonts w:eastAsia="Calibri"/>
        </w:rPr>
        <w:t>.</w:t>
      </w:r>
      <w:r w:rsidR="7C55C84F" w:rsidRPr="6FCA30B7">
        <w:rPr>
          <w:rFonts w:eastAsia="Calibri"/>
        </w:rPr>
        <w:t xml:space="preserve"> </w:t>
      </w:r>
      <w:r w:rsidR="1CC24FB7" w:rsidRPr="6FCA30B7">
        <w:rPr>
          <w:rFonts w:eastAsia="Calibri"/>
        </w:rPr>
        <w:t xml:space="preserve">However, there is little detail on </w:t>
      </w:r>
      <w:r w:rsidR="4F8D7556" w:rsidRPr="6FCA30B7">
        <w:rPr>
          <w:rFonts w:eastAsia="Calibri"/>
        </w:rPr>
        <w:t xml:space="preserve">what the strategies are for </w:t>
      </w:r>
      <w:r w:rsidR="7508C45F" w:rsidRPr="6FCA30B7">
        <w:rPr>
          <w:rFonts w:eastAsia="Calibri"/>
        </w:rPr>
        <w:t xml:space="preserve">utilising </w:t>
      </w:r>
      <w:r w:rsidR="148B4CC4" w:rsidRPr="6FCA30B7">
        <w:rPr>
          <w:rFonts w:eastAsia="Calibri"/>
        </w:rPr>
        <w:t xml:space="preserve">these </w:t>
      </w:r>
      <w:r w:rsidR="4F8D7556" w:rsidRPr="6FCA30B7">
        <w:rPr>
          <w:rFonts w:eastAsia="Calibri"/>
        </w:rPr>
        <w:t xml:space="preserve">outputs to </w:t>
      </w:r>
      <w:r w:rsidR="037DFECC" w:rsidRPr="6FCA30B7">
        <w:rPr>
          <w:rFonts w:eastAsia="Calibri"/>
        </w:rPr>
        <w:t>contribute to more transformative change.</w:t>
      </w:r>
      <w:r w:rsidR="4F8D7556" w:rsidRPr="6FCA30B7">
        <w:rPr>
          <w:rFonts w:eastAsia="Calibri"/>
        </w:rPr>
        <w:t xml:space="preserve"> </w:t>
      </w:r>
      <w:r w:rsidR="72F3115D" w:rsidRPr="6FCA30B7">
        <w:rPr>
          <w:rFonts w:eastAsia="Calibri"/>
        </w:rPr>
        <w:t xml:space="preserve">Similarly, VAESP has supported </w:t>
      </w:r>
      <w:proofErr w:type="spellStart"/>
      <w:r w:rsidR="72F3115D" w:rsidRPr="6FCA30B7">
        <w:rPr>
          <w:rFonts w:eastAsia="Calibri"/>
        </w:rPr>
        <w:t>MoET</w:t>
      </w:r>
      <w:proofErr w:type="spellEnd"/>
      <w:r w:rsidR="72F3115D" w:rsidRPr="6FCA30B7">
        <w:rPr>
          <w:rFonts w:eastAsia="Calibri"/>
        </w:rPr>
        <w:t xml:space="preserve"> with the establishment of a Provincial Women in Education Leadership Network (PWELN) since 2016</w:t>
      </w:r>
      <w:r w:rsidR="6D6AEDBB" w:rsidRPr="6FCA30B7">
        <w:rPr>
          <w:rFonts w:eastAsia="Calibri"/>
        </w:rPr>
        <w:t>. This has incorporated leadership training for women, however</w:t>
      </w:r>
      <w:r w:rsidR="72F3115D" w:rsidRPr="6FCA30B7">
        <w:rPr>
          <w:rFonts w:eastAsia="Calibri"/>
        </w:rPr>
        <w:t xml:space="preserve"> there is minimal evidence </w:t>
      </w:r>
      <w:r w:rsidR="10FD03A2" w:rsidRPr="6FCA30B7">
        <w:rPr>
          <w:rFonts w:eastAsia="Calibri"/>
        </w:rPr>
        <w:t xml:space="preserve">regarding </w:t>
      </w:r>
      <w:r w:rsidR="72F3115D" w:rsidRPr="6FCA30B7">
        <w:rPr>
          <w:rFonts w:eastAsia="Calibri"/>
        </w:rPr>
        <w:t>outcomes</w:t>
      </w:r>
      <w:r w:rsidR="2166F764" w:rsidRPr="6FCA30B7">
        <w:rPr>
          <w:rFonts w:eastAsia="Calibri"/>
        </w:rPr>
        <w:t>.</w:t>
      </w:r>
      <w:r w:rsidR="72F3115D" w:rsidRPr="6FCA30B7">
        <w:rPr>
          <w:rFonts w:eastAsia="Calibri"/>
        </w:rPr>
        <w:t xml:space="preserve"> VAESP’s </w:t>
      </w:r>
      <w:r w:rsidR="084AFA80" w:rsidRPr="6FCA30B7">
        <w:rPr>
          <w:rFonts w:eastAsia="Calibri"/>
        </w:rPr>
        <w:t xml:space="preserve">longer-term </w:t>
      </w:r>
      <w:r w:rsidR="72F3115D" w:rsidRPr="6FCA30B7">
        <w:rPr>
          <w:rFonts w:eastAsia="Calibri"/>
        </w:rPr>
        <w:t xml:space="preserve">strategy for </w:t>
      </w:r>
      <w:r w:rsidR="7D7A54F1" w:rsidRPr="6FCA30B7">
        <w:rPr>
          <w:rFonts w:eastAsia="Calibri"/>
        </w:rPr>
        <w:t>enabl</w:t>
      </w:r>
      <w:r w:rsidR="52CB01E5" w:rsidRPr="6FCA30B7">
        <w:rPr>
          <w:rFonts w:eastAsia="Calibri"/>
        </w:rPr>
        <w:t>ing this potentially valuable structure</w:t>
      </w:r>
      <w:r w:rsidR="20F770E2" w:rsidRPr="6FCA30B7">
        <w:rPr>
          <w:rFonts w:eastAsia="Calibri"/>
        </w:rPr>
        <w:t xml:space="preserve"> to support provincial women in education to bring about meaningful change</w:t>
      </w:r>
      <w:r w:rsidR="33C1C9C5" w:rsidRPr="6FCA30B7">
        <w:rPr>
          <w:rFonts w:eastAsia="Calibri"/>
        </w:rPr>
        <w:t xml:space="preserve"> is unclear</w:t>
      </w:r>
      <w:r w:rsidR="52CB01E5" w:rsidRPr="6FCA30B7">
        <w:rPr>
          <w:rFonts w:eastAsia="Calibri"/>
        </w:rPr>
        <w:t xml:space="preserve">. </w:t>
      </w:r>
    </w:p>
    <w:p w14:paraId="3A5761D6" w14:textId="4CDA6C63" w:rsidR="6947EC33" w:rsidRDefault="6947EC33" w:rsidP="2D65516E">
      <w:pPr>
        <w:rPr>
          <w:rFonts w:eastAsia="Calibri"/>
        </w:rPr>
      </w:pPr>
      <w:r w:rsidRPr="0C3CBE43">
        <w:rPr>
          <w:rFonts w:eastAsia="Calibri"/>
        </w:rPr>
        <w:t xml:space="preserve">VAESP’s disability inclusion efforts centre on the establishment of, and provision of support to, model inclusion schools. National rollout of VAESP’s translated inclusive education resource has been approved (VAESP, 2024). However, impact at the school level is not </w:t>
      </w:r>
      <w:r w:rsidR="3B9D25A0" w:rsidRPr="0C3CBE43">
        <w:rPr>
          <w:rFonts w:eastAsia="Calibri"/>
        </w:rPr>
        <w:t xml:space="preserve">yet </w:t>
      </w:r>
      <w:r w:rsidRPr="0C3CBE43">
        <w:rPr>
          <w:rFonts w:eastAsia="Calibri"/>
        </w:rPr>
        <w:t xml:space="preserve">evident. </w:t>
      </w:r>
      <w:r w:rsidR="2548AECF" w:rsidRPr="2D65516E">
        <w:rPr>
          <w:rFonts w:eastAsia="Calibri"/>
        </w:rPr>
        <w:t>Results have</w:t>
      </w:r>
      <w:r w:rsidR="366FC72E" w:rsidRPr="0C3CBE43">
        <w:rPr>
          <w:rFonts w:eastAsia="Calibri"/>
        </w:rPr>
        <w:t xml:space="preserve"> been influenced by contextual factors such as the teachers’ strike, suspension of some principals</w:t>
      </w:r>
      <w:r w:rsidR="26156F95" w:rsidRPr="0C3CBE43">
        <w:rPr>
          <w:rFonts w:eastAsia="Calibri"/>
        </w:rPr>
        <w:t xml:space="preserve">, and </w:t>
      </w:r>
      <w:proofErr w:type="spellStart"/>
      <w:r w:rsidR="26156F95" w:rsidRPr="0C3CBE43">
        <w:rPr>
          <w:rFonts w:eastAsia="Calibri"/>
        </w:rPr>
        <w:t>MoET</w:t>
      </w:r>
      <w:proofErr w:type="spellEnd"/>
      <w:r w:rsidR="26156F95" w:rsidRPr="0C3CBE43">
        <w:rPr>
          <w:rFonts w:eastAsia="Calibri"/>
        </w:rPr>
        <w:t xml:space="preserve"> focus on other priorities. </w:t>
      </w:r>
      <w:r w:rsidR="366FC72E" w:rsidRPr="0C3CBE43">
        <w:rPr>
          <w:rFonts w:eastAsia="Calibri"/>
        </w:rPr>
        <w:t xml:space="preserve"> </w:t>
      </w:r>
      <w:r w:rsidR="62ABA282" w:rsidRPr="0C3CBE43">
        <w:rPr>
          <w:rFonts w:eastAsia="Calibri"/>
        </w:rPr>
        <w:t xml:space="preserve">However, limited </w:t>
      </w:r>
      <w:r w:rsidR="62ABA282" w:rsidRPr="2D65516E">
        <w:rPr>
          <w:rFonts w:eastAsia="Calibri"/>
        </w:rPr>
        <w:t xml:space="preserve">processes </w:t>
      </w:r>
      <w:r w:rsidR="62ABA282" w:rsidRPr="0C3CBE43">
        <w:rPr>
          <w:rFonts w:eastAsia="Calibri"/>
        </w:rPr>
        <w:t xml:space="preserve">to measure the impact of inclusion efforts </w:t>
      </w:r>
      <w:r w:rsidR="7D1931DF" w:rsidRPr="0C3CBE43">
        <w:rPr>
          <w:rFonts w:eastAsia="Calibri"/>
        </w:rPr>
        <w:t xml:space="preserve">amongst students with disabilities </w:t>
      </w:r>
      <w:r w:rsidR="62ABA282" w:rsidRPr="0C3CBE43">
        <w:rPr>
          <w:rFonts w:eastAsia="Calibri"/>
        </w:rPr>
        <w:t xml:space="preserve">are in place. </w:t>
      </w:r>
      <w:r w:rsidRPr="0C3CBE43">
        <w:rPr>
          <w:rFonts w:eastAsia="Calibri"/>
        </w:rPr>
        <w:t>Open VEMIS collects and disaggregates data by sex</w:t>
      </w:r>
      <w:r w:rsidR="653C3FBD" w:rsidRPr="0C3CBE43">
        <w:rPr>
          <w:rFonts w:eastAsia="Calibri"/>
        </w:rPr>
        <w:t xml:space="preserve">, and </w:t>
      </w:r>
      <w:r w:rsidR="7382471A" w:rsidRPr="0C3CBE43">
        <w:rPr>
          <w:rFonts w:eastAsia="Calibri"/>
        </w:rPr>
        <w:t xml:space="preserve">has </w:t>
      </w:r>
      <w:r w:rsidR="68BA6C54" w:rsidRPr="2D65516E">
        <w:rPr>
          <w:rFonts w:eastAsia="Calibri"/>
        </w:rPr>
        <w:t xml:space="preserve">the capacity </w:t>
      </w:r>
      <w:r w:rsidR="7382471A" w:rsidRPr="0C3CBE43">
        <w:rPr>
          <w:rFonts w:eastAsia="Calibri"/>
        </w:rPr>
        <w:t>to disaggregate data</w:t>
      </w:r>
      <w:r w:rsidR="25EE9EFA" w:rsidRPr="0C3CBE43">
        <w:rPr>
          <w:rFonts w:eastAsia="Calibri"/>
        </w:rPr>
        <w:t xml:space="preserve"> by disability</w:t>
      </w:r>
      <w:r w:rsidR="7382471A" w:rsidRPr="0C3CBE43">
        <w:rPr>
          <w:rFonts w:eastAsia="Calibri"/>
        </w:rPr>
        <w:t xml:space="preserve">, </w:t>
      </w:r>
      <w:r w:rsidR="58E4B59D" w:rsidRPr="2D65516E">
        <w:rPr>
          <w:rFonts w:eastAsia="Calibri"/>
        </w:rPr>
        <w:t xml:space="preserve">however </w:t>
      </w:r>
      <w:r w:rsidR="7382471A" w:rsidRPr="0C3CBE43">
        <w:rPr>
          <w:rFonts w:eastAsia="Calibri"/>
        </w:rPr>
        <w:t>this does not currently occur due to inaccurate entries located in the dataset</w:t>
      </w:r>
      <w:r w:rsidR="2826204E" w:rsidRPr="0C3CBE43">
        <w:rPr>
          <w:rFonts w:eastAsia="Calibri"/>
        </w:rPr>
        <w:t xml:space="preserve"> which require </w:t>
      </w:r>
      <w:proofErr w:type="spellStart"/>
      <w:r w:rsidR="2826204E" w:rsidRPr="0C3CBE43">
        <w:rPr>
          <w:rFonts w:eastAsia="Calibri"/>
        </w:rPr>
        <w:t>MoET</w:t>
      </w:r>
      <w:proofErr w:type="spellEnd"/>
      <w:r w:rsidR="2826204E" w:rsidRPr="0C3CBE43">
        <w:rPr>
          <w:rFonts w:eastAsia="Calibri"/>
        </w:rPr>
        <w:t xml:space="preserve"> attention</w:t>
      </w:r>
      <w:r w:rsidR="7382471A" w:rsidRPr="0C3CBE43">
        <w:rPr>
          <w:rFonts w:eastAsia="Calibri"/>
        </w:rPr>
        <w:t xml:space="preserve">. </w:t>
      </w:r>
      <w:r w:rsidRPr="0C3CBE43">
        <w:rPr>
          <w:rFonts w:eastAsia="Calibri"/>
        </w:rPr>
        <w:t xml:space="preserve"> </w:t>
      </w:r>
      <w:r w:rsidR="792B5F94" w:rsidRPr="0C3CBE43">
        <w:rPr>
          <w:rFonts w:eastAsia="Calibri"/>
        </w:rPr>
        <w:t>P</w:t>
      </w:r>
      <w:r w:rsidRPr="0C3CBE43">
        <w:rPr>
          <w:rFonts w:eastAsia="Calibri"/>
        </w:rPr>
        <w:t>rogram-level reporting on school-level disability inclusion results is not available</w:t>
      </w:r>
      <w:r w:rsidRPr="2D65516E">
        <w:rPr>
          <w:rStyle w:val="FootnoteReference"/>
          <w:rFonts w:eastAsia="Calibri"/>
        </w:rPr>
        <w:footnoteReference w:id="31"/>
      </w:r>
      <w:r w:rsidRPr="0C3CBE43">
        <w:rPr>
          <w:rFonts w:eastAsia="Calibri"/>
        </w:rPr>
        <w:t xml:space="preserve">. </w:t>
      </w:r>
      <w:r w:rsidR="0497B7E9" w:rsidRPr="0C3CBE43">
        <w:rPr>
          <w:rFonts w:eastAsia="Calibri"/>
        </w:rPr>
        <w:t>As such, it</w:t>
      </w:r>
      <w:r w:rsidR="0497B7E9" w:rsidRPr="2D65516E">
        <w:rPr>
          <w:rFonts w:eastAsia="Calibri"/>
        </w:rPr>
        <w:t xml:space="preserve"> is not currently possible to monitor changes in enrolled students with disabilities and their achievements using national education or VAESP program data</w:t>
      </w:r>
      <w:r w:rsidRPr="2D65516E">
        <w:rPr>
          <w:rStyle w:val="FootnoteReference"/>
          <w:rFonts w:eastAsia="Calibri"/>
        </w:rPr>
        <w:footnoteReference w:id="32"/>
      </w:r>
      <w:r w:rsidR="0497B7E9" w:rsidRPr="2D65516E">
        <w:rPr>
          <w:rFonts w:eastAsia="Calibri"/>
        </w:rPr>
        <w:t xml:space="preserve">. </w:t>
      </w:r>
      <w:r w:rsidR="009D3A48" w:rsidRPr="6FCA30B7">
        <w:rPr>
          <w:rFonts w:eastAsia="Calibri"/>
        </w:rPr>
        <w:t xml:space="preserve"> </w:t>
      </w:r>
      <w:r w:rsidRPr="0C3CBE43">
        <w:rPr>
          <w:rFonts w:eastAsia="Calibri"/>
        </w:rPr>
        <w:t xml:space="preserve">While expectations regarding disability inclusion are outlined in the </w:t>
      </w:r>
      <w:r w:rsidR="009D3A48" w:rsidRPr="6FCA30B7">
        <w:rPr>
          <w:rFonts w:eastAsia="Calibri"/>
        </w:rPr>
        <w:t>VAESP theory of change</w:t>
      </w:r>
      <w:r w:rsidRPr="0C3CBE43">
        <w:rPr>
          <w:rFonts w:eastAsia="Calibri"/>
        </w:rPr>
        <w:t xml:space="preserve"> at the EOPO and IO levels, reporting against these is limited by insufficient processes to capture MEL data beyond training information. </w:t>
      </w:r>
    </w:p>
    <w:p w14:paraId="3CFAABC2" w14:textId="379A04C5" w:rsidR="6947EC33" w:rsidRDefault="123AC952" w:rsidP="00F761A4">
      <w:pPr>
        <w:rPr>
          <w:rFonts w:eastAsia="Calibri"/>
        </w:rPr>
      </w:pPr>
      <w:r w:rsidRPr="2D65516E">
        <w:rPr>
          <w:rFonts w:eastAsia="Calibri"/>
        </w:rPr>
        <w:t xml:space="preserve">Consultations indicated that VAESP has </w:t>
      </w:r>
      <w:r w:rsidR="22FFE767" w:rsidRPr="2D65516E">
        <w:rPr>
          <w:rFonts w:eastAsia="Calibri"/>
        </w:rPr>
        <w:t xml:space="preserve">had </w:t>
      </w:r>
      <w:r w:rsidRPr="2D65516E">
        <w:rPr>
          <w:rFonts w:eastAsia="Calibri"/>
        </w:rPr>
        <w:t>limited engagement with Vanuatu’s Organisation of Persons with Disabilities (OPD), Vanuatu Disability Promotion and Advocac</w:t>
      </w:r>
      <w:r w:rsidR="1C05EBC8" w:rsidRPr="2D65516E">
        <w:rPr>
          <w:rFonts w:eastAsia="Calibri"/>
        </w:rPr>
        <w:t>y Association (VDPA</w:t>
      </w:r>
      <w:r w:rsidR="6BA9CA6A" w:rsidRPr="2D65516E">
        <w:rPr>
          <w:rFonts w:eastAsia="Calibri"/>
        </w:rPr>
        <w:t xml:space="preserve">). </w:t>
      </w:r>
      <w:r w:rsidR="1AC2852B" w:rsidRPr="2D65516E">
        <w:rPr>
          <w:rFonts w:eastAsia="Calibri"/>
        </w:rPr>
        <w:t>VAESP has</w:t>
      </w:r>
      <w:r w:rsidR="619DEDE9" w:rsidRPr="2D65516E">
        <w:rPr>
          <w:rFonts w:eastAsia="Calibri"/>
        </w:rPr>
        <w:t xml:space="preserve"> </w:t>
      </w:r>
      <w:r w:rsidR="4D2A8637" w:rsidRPr="2D65516E">
        <w:rPr>
          <w:rFonts w:eastAsia="Calibri"/>
        </w:rPr>
        <w:t xml:space="preserve">had some past </w:t>
      </w:r>
      <w:r w:rsidR="1AC2852B" w:rsidRPr="2D65516E">
        <w:rPr>
          <w:rFonts w:eastAsia="Calibri"/>
        </w:rPr>
        <w:t xml:space="preserve">collaboration </w:t>
      </w:r>
      <w:r w:rsidR="1C05EBC8" w:rsidRPr="2D65516E">
        <w:rPr>
          <w:rFonts w:eastAsia="Calibri"/>
        </w:rPr>
        <w:t xml:space="preserve">with service provider Vanuatu Society for People with Disabilities (VSPD), </w:t>
      </w:r>
      <w:r w:rsidR="737FF658" w:rsidRPr="2D65516E">
        <w:rPr>
          <w:rFonts w:eastAsia="Calibri"/>
        </w:rPr>
        <w:t>including</w:t>
      </w:r>
      <w:r w:rsidR="00340446">
        <w:rPr>
          <w:rFonts w:eastAsia="Calibri"/>
        </w:rPr>
        <w:t xml:space="preserve"> </w:t>
      </w:r>
      <w:r w:rsidR="2ABEC3D6" w:rsidRPr="2D65516E">
        <w:rPr>
          <w:rFonts w:eastAsia="Calibri"/>
        </w:rPr>
        <w:t xml:space="preserve">linking Model Inclusion Schools with VSPD’s </w:t>
      </w:r>
      <w:r w:rsidR="0FCB7248" w:rsidRPr="2D65516E">
        <w:rPr>
          <w:rFonts w:eastAsia="Calibri"/>
        </w:rPr>
        <w:t xml:space="preserve">early intervention and mobility devices, </w:t>
      </w:r>
      <w:r w:rsidR="561BB48A" w:rsidRPr="2D65516E">
        <w:rPr>
          <w:rFonts w:eastAsia="Calibri"/>
        </w:rPr>
        <w:t>however this has been limited</w:t>
      </w:r>
      <w:r w:rsidR="746598E7" w:rsidRPr="2D65516E">
        <w:rPr>
          <w:rFonts w:eastAsia="Calibri"/>
        </w:rPr>
        <w:t xml:space="preserve">. </w:t>
      </w:r>
      <w:r w:rsidR="1C05EBC8" w:rsidRPr="2D65516E">
        <w:rPr>
          <w:rFonts w:eastAsia="Calibri"/>
        </w:rPr>
        <w:t xml:space="preserve"> </w:t>
      </w:r>
    </w:p>
    <w:p w14:paraId="5F184866" w14:textId="38CB4FB2" w:rsidR="005830D4" w:rsidRDefault="3E26D73E" w:rsidP="0C3CBE43">
      <w:pPr>
        <w:rPr>
          <w:rFonts w:eastAsia="Calibri"/>
        </w:rPr>
      </w:pPr>
      <w:r w:rsidRPr="6FCA30B7">
        <w:rPr>
          <w:rFonts w:eastAsia="Calibri"/>
        </w:rPr>
        <w:t xml:space="preserve">The team’s consultations </w:t>
      </w:r>
      <w:r w:rsidR="58667267" w:rsidRPr="6FCA30B7">
        <w:rPr>
          <w:rFonts w:eastAsia="Calibri"/>
        </w:rPr>
        <w:t>reinforced t</w:t>
      </w:r>
      <w:r w:rsidR="6947EC33" w:rsidRPr="6FCA30B7">
        <w:rPr>
          <w:rFonts w:eastAsia="Calibri"/>
        </w:rPr>
        <w:t xml:space="preserve">he 2024 IMR </w:t>
      </w:r>
      <w:r w:rsidR="3F53D685" w:rsidRPr="6FCA30B7">
        <w:rPr>
          <w:rFonts w:eastAsia="Calibri"/>
        </w:rPr>
        <w:t xml:space="preserve">finding </w:t>
      </w:r>
      <w:r w:rsidR="6947EC33" w:rsidRPr="6FCA30B7">
        <w:rPr>
          <w:rFonts w:eastAsia="Calibri"/>
        </w:rPr>
        <w:t>that there is room for improvement in implementation of VAESP’s GEDSI Strategy</w:t>
      </w:r>
      <w:r w:rsidR="4441D73E" w:rsidRPr="6FCA30B7">
        <w:rPr>
          <w:rFonts w:eastAsia="Calibri"/>
        </w:rPr>
        <w:t>, with a need to</w:t>
      </w:r>
      <w:r w:rsidR="5A3DBDA9" w:rsidRPr="6FCA30B7">
        <w:rPr>
          <w:rFonts w:eastAsia="Calibri"/>
        </w:rPr>
        <w:t xml:space="preserve"> strengthen partnerships for GEDSI</w:t>
      </w:r>
      <w:r w:rsidR="1B4995F9" w:rsidRPr="6FCA30B7">
        <w:rPr>
          <w:rFonts w:eastAsia="Calibri"/>
        </w:rPr>
        <w:t>. Implementation of the twin-track approach, which guides both GEDSI</w:t>
      </w:r>
      <w:r w:rsidR="4441D73E" w:rsidRPr="6FCA30B7">
        <w:rPr>
          <w:rFonts w:eastAsia="Calibri"/>
        </w:rPr>
        <w:t xml:space="preserve"> mainstreaming and targeted efforts, </w:t>
      </w:r>
      <w:r w:rsidR="0F41811B" w:rsidRPr="6FCA30B7">
        <w:rPr>
          <w:rFonts w:eastAsia="Calibri"/>
        </w:rPr>
        <w:t xml:space="preserve">requires strengthening, </w:t>
      </w:r>
      <w:r w:rsidR="4441D73E" w:rsidRPr="6FCA30B7">
        <w:rPr>
          <w:rFonts w:eastAsia="Calibri"/>
        </w:rPr>
        <w:t>particularly at the provincial and school levels</w:t>
      </w:r>
      <w:r w:rsidR="6947EC33" w:rsidRPr="6FCA30B7">
        <w:rPr>
          <w:rFonts w:eastAsia="Calibri"/>
        </w:rPr>
        <w:t>.</w:t>
      </w:r>
      <w:r w:rsidR="4D3A7CA4" w:rsidRPr="6FCA30B7">
        <w:rPr>
          <w:rFonts w:eastAsia="Calibri"/>
        </w:rPr>
        <w:t xml:space="preserve"> </w:t>
      </w:r>
      <w:r w:rsidR="06B62A67" w:rsidRPr="6FCA30B7">
        <w:rPr>
          <w:rFonts w:eastAsia="Calibri"/>
        </w:rPr>
        <w:t xml:space="preserve"> </w:t>
      </w:r>
    </w:p>
    <w:p w14:paraId="10F2368F" w14:textId="1034613D" w:rsidR="6F17AD08" w:rsidRDefault="6F17AD08" w:rsidP="3B0D9F72">
      <w:pPr>
        <w:pStyle w:val="Heading2"/>
        <w:rPr>
          <w:rFonts w:ascii="Century Gothic" w:eastAsia="Century Gothic" w:hAnsi="Century Gothic" w:cs="Century Gothic"/>
        </w:rPr>
      </w:pPr>
      <w:bookmarkStart w:id="22" w:name="_Toc190268261"/>
      <w:r w:rsidRPr="3B0D9F72">
        <w:rPr>
          <w:rFonts w:ascii="Century Gothic" w:eastAsia="Century Gothic" w:hAnsi="Century Gothic" w:cs="Century Gothic"/>
        </w:rPr>
        <w:t>Skills sector support: VSP</w:t>
      </w:r>
      <w:bookmarkEnd w:id="22"/>
      <w:r w:rsidRPr="3B0D9F72">
        <w:rPr>
          <w:rFonts w:ascii="Century Gothic" w:eastAsia="Century Gothic" w:hAnsi="Century Gothic" w:cs="Century Gothic"/>
        </w:rPr>
        <w:t xml:space="preserve"> </w:t>
      </w:r>
    </w:p>
    <w:p w14:paraId="3D441777" w14:textId="76F8D281" w:rsidR="00EA617C" w:rsidRDefault="003C1EE4" w:rsidP="00EA617C">
      <w:pPr>
        <w:rPr>
          <w:rFonts w:eastAsia="Calibri" w:cs="Calibri"/>
        </w:rPr>
      </w:pPr>
      <w:r>
        <w:t xml:space="preserve">VSP is widely recognised as a model for </w:t>
      </w:r>
      <w:proofErr w:type="gramStart"/>
      <w:r>
        <w:t>locally-led</w:t>
      </w:r>
      <w:proofErr w:type="gramEnd"/>
      <w:r>
        <w:t xml:space="preserve"> development</w:t>
      </w:r>
      <w:r w:rsidRPr="0C3CBE43">
        <w:rPr>
          <w:rStyle w:val="FootnoteReference"/>
        </w:rPr>
        <w:footnoteReference w:id="33"/>
      </w:r>
      <w:r>
        <w:t xml:space="preserve"> and an example of best practice in inclusion, localisation and adaptive programming. It has been referenced as a case study in DFAT strategic and policy documents including</w:t>
      </w:r>
      <w:r w:rsidRPr="6FCA30B7">
        <w:rPr>
          <w:rFonts w:cs="Calibri"/>
        </w:rPr>
        <w:t xml:space="preserve"> the</w:t>
      </w:r>
      <w:r w:rsidRPr="2D65516E">
        <w:rPr>
          <w:rFonts w:cs="Calibri"/>
          <w:i/>
          <w:iCs/>
        </w:rPr>
        <w:t xml:space="preserve"> International Development Policy (2023)</w:t>
      </w:r>
      <w:r w:rsidR="6C59D0AE" w:rsidRPr="2D65516E">
        <w:rPr>
          <w:rFonts w:cs="Calibri"/>
          <w:i/>
          <w:iCs/>
        </w:rPr>
        <w:t xml:space="preserve"> </w:t>
      </w:r>
      <w:r w:rsidR="6C59D0AE" w:rsidRPr="00FC0961">
        <w:rPr>
          <w:rFonts w:cs="Calibri"/>
        </w:rPr>
        <w:t>and</w:t>
      </w:r>
      <w:r w:rsidR="2F638AE6" w:rsidRPr="00FC0961">
        <w:rPr>
          <w:rFonts w:cs="Calibri"/>
        </w:rPr>
        <w:t xml:space="preserve"> </w:t>
      </w:r>
      <w:r w:rsidRPr="2D65516E">
        <w:rPr>
          <w:rFonts w:cs="Calibri"/>
          <w:i/>
          <w:iCs/>
        </w:rPr>
        <w:t xml:space="preserve">DFAT’s Guidance Note on Locally Led Development (2024).  </w:t>
      </w:r>
      <w:r w:rsidRPr="6FCA30B7">
        <w:rPr>
          <w:rFonts w:cs="Calibri"/>
        </w:rPr>
        <w:t>Its</w:t>
      </w:r>
      <w:r w:rsidRPr="2D65516E">
        <w:rPr>
          <w:rFonts w:cs="Calibri"/>
          <w:i/>
          <w:iCs/>
        </w:rPr>
        <w:t xml:space="preserve"> </w:t>
      </w:r>
      <w:r w:rsidRPr="6FCA30B7">
        <w:rPr>
          <w:rFonts w:cs="Calibri"/>
        </w:rPr>
        <w:t>strengths</w:t>
      </w:r>
      <w:r w:rsidR="00EA617C" w:rsidRPr="003C1EE4">
        <w:t xml:space="preserve"> </w:t>
      </w:r>
      <w:r w:rsidR="00EA617C">
        <w:t xml:space="preserve">were reconfirmed during review consultations, while there are also issues which have the potential to create challenges for the program’s continued high performance. </w:t>
      </w:r>
    </w:p>
    <w:p w14:paraId="58622C02" w14:textId="1058E0EC" w:rsidR="2476422C" w:rsidRDefault="2476422C" w:rsidP="00A377E4">
      <w:pPr>
        <w:pStyle w:val="Heading3"/>
        <w:rPr>
          <w:rFonts w:ascii="Century Gothic" w:eastAsia="Century Gothic" w:hAnsi="Century Gothic" w:cs="Century Gothic"/>
        </w:rPr>
      </w:pPr>
      <w:r w:rsidRPr="3B0D9F72">
        <w:t xml:space="preserve">Strengths </w:t>
      </w:r>
    </w:p>
    <w:p w14:paraId="4729FB75" w14:textId="369E6687" w:rsidR="009803A7" w:rsidRDefault="009803A7" w:rsidP="3B0D9F72">
      <w:pPr>
        <w:pStyle w:val="ListParagraph"/>
        <w:numPr>
          <w:ilvl w:val="0"/>
          <w:numId w:val="22"/>
        </w:numPr>
        <w:rPr>
          <w:b/>
          <w:bCs/>
        </w:rPr>
      </w:pPr>
      <w:r w:rsidRPr="3B0D9F72">
        <w:rPr>
          <w:b/>
          <w:bCs/>
        </w:rPr>
        <w:t>Decentralised delivery</w:t>
      </w:r>
      <w:r w:rsidR="57D5EBAE" w:rsidRPr="3B0D9F72">
        <w:rPr>
          <w:b/>
          <w:bCs/>
        </w:rPr>
        <w:t xml:space="preserve">, including Skills Centre partnership with </w:t>
      </w:r>
      <w:r w:rsidR="13B62E8E" w:rsidRPr="3B0D9F72">
        <w:rPr>
          <w:b/>
          <w:bCs/>
        </w:rPr>
        <w:t>provincial government</w:t>
      </w:r>
      <w:r w:rsidR="57D5EBAE" w:rsidRPr="3B0D9F72">
        <w:rPr>
          <w:b/>
          <w:bCs/>
        </w:rPr>
        <w:t xml:space="preserve"> </w:t>
      </w:r>
      <w:r w:rsidRPr="3B0D9F72">
        <w:rPr>
          <w:b/>
          <w:bCs/>
        </w:rPr>
        <w:t xml:space="preserve"> </w:t>
      </w:r>
    </w:p>
    <w:p w14:paraId="54F08745" w14:textId="6883D5AB" w:rsidR="006C141A" w:rsidRDefault="416C761D" w:rsidP="00F761A4">
      <w:r>
        <w:t>For many years,</w:t>
      </w:r>
      <w:r w:rsidR="35BA55BC">
        <w:t xml:space="preserve"> </w:t>
      </w:r>
      <w:r>
        <w:t xml:space="preserve">VSP has worked </w:t>
      </w:r>
      <w:r w:rsidR="73CF3382">
        <w:t xml:space="preserve">collaboratively </w:t>
      </w:r>
      <w:r w:rsidR="35BA55BC">
        <w:t>with its government counterparts at the national level, while</w:t>
      </w:r>
      <w:r w:rsidR="28C7D9A2">
        <w:t xml:space="preserve"> implementing inclusive, environmentally sustainable skills development efforts at the provincial level. </w:t>
      </w:r>
      <w:r w:rsidR="35BA55BC">
        <w:t xml:space="preserve"> </w:t>
      </w:r>
      <w:r w:rsidR="379F3582">
        <w:t xml:space="preserve">As highlighted in </w:t>
      </w:r>
      <w:r w:rsidR="22A656B3">
        <w:t>DFAT’s</w:t>
      </w:r>
      <w:r w:rsidR="5F9FC187">
        <w:t xml:space="preserve"> 2021</w:t>
      </w:r>
      <w:r w:rsidR="22A656B3">
        <w:t xml:space="preserve"> independent evaluation </w:t>
      </w:r>
      <w:r w:rsidR="379F3582">
        <w:t>of VSP, t</w:t>
      </w:r>
      <w:r w:rsidR="35BA55BC">
        <w:t xml:space="preserve">he Skills Centres established by </w:t>
      </w:r>
      <w:r w:rsidR="10A12770">
        <w:t>VSP</w:t>
      </w:r>
      <w:r w:rsidR="35BA55BC">
        <w:t xml:space="preserve"> and located in five provinces, now act as the </w:t>
      </w:r>
      <w:proofErr w:type="spellStart"/>
      <w:r w:rsidR="35BA55BC">
        <w:t>MoET</w:t>
      </w:r>
      <w:r w:rsidR="0D74A2F2">
        <w:t>’s</w:t>
      </w:r>
      <w:proofErr w:type="spellEnd"/>
      <w:r w:rsidR="35BA55BC">
        <w:t xml:space="preserve"> decentralised service delivery arms</w:t>
      </w:r>
      <w:r w:rsidR="7AE638AE">
        <w:t>, staffed by</w:t>
      </w:r>
      <w:r w:rsidR="004C715D">
        <w:t xml:space="preserve"> local</w:t>
      </w:r>
      <w:r w:rsidR="7AE638AE">
        <w:t xml:space="preserve"> personnel</w:t>
      </w:r>
      <w:r w:rsidR="59233D06">
        <w:t xml:space="preserve">, </w:t>
      </w:r>
      <w:r w:rsidR="6D9FFA81">
        <w:t>who</w:t>
      </w:r>
      <w:r w:rsidR="7AE638AE">
        <w:t xml:space="preserve"> are </w:t>
      </w:r>
      <w:r w:rsidR="60EF0A6E">
        <w:t xml:space="preserve">increasingly </w:t>
      </w:r>
      <w:r w:rsidR="7AE638AE">
        <w:t>engaged through the Public Service Commission</w:t>
      </w:r>
      <w:r w:rsidR="6342530D">
        <w:t xml:space="preserve">. </w:t>
      </w:r>
    </w:p>
    <w:p w14:paraId="57779096" w14:textId="3D7EE8BD" w:rsidR="006C141A" w:rsidRDefault="140BB0D8" w:rsidP="00F761A4">
      <w:r w:rsidRPr="3B0D9F72">
        <w:t xml:space="preserve">As well as working closely with </w:t>
      </w:r>
      <w:proofErr w:type="spellStart"/>
      <w:r w:rsidRPr="3B0D9F72">
        <w:t>M</w:t>
      </w:r>
      <w:r w:rsidR="004C715D">
        <w:t>o</w:t>
      </w:r>
      <w:r w:rsidRPr="3B0D9F72">
        <w:t>ET</w:t>
      </w:r>
      <w:proofErr w:type="spellEnd"/>
      <w:r w:rsidRPr="3B0D9F72">
        <w:t xml:space="preserve"> colleagues</w:t>
      </w:r>
      <w:r w:rsidR="4ACB5B6F" w:rsidRPr="3B0D9F72">
        <w:t xml:space="preserve">, in particular </w:t>
      </w:r>
      <w:r w:rsidRPr="3B0D9F72">
        <w:t>Provincial Education Officers</w:t>
      </w:r>
      <w:r w:rsidR="27E4275A" w:rsidRPr="3B0D9F72">
        <w:t xml:space="preserve">, </w:t>
      </w:r>
      <w:r w:rsidR="1DD6217F" w:rsidRPr="3B0D9F72">
        <w:t>Skills</w:t>
      </w:r>
      <w:r w:rsidR="61457F5C" w:rsidRPr="3B0D9F72">
        <w:t xml:space="preserve"> Centres work in close collaboration with Provincial Governments</w:t>
      </w:r>
      <w:r w:rsidR="28EA6D4A" w:rsidRPr="3B0D9F72">
        <w:t xml:space="preserve">, </w:t>
      </w:r>
      <w:r w:rsidR="61457F5C" w:rsidRPr="3B0D9F72">
        <w:t xml:space="preserve">participating in </w:t>
      </w:r>
      <w:r w:rsidR="2EA7C25A" w:rsidRPr="3B0D9F72">
        <w:t xml:space="preserve">and supporting Provincial </w:t>
      </w:r>
      <w:r w:rsidR="61457F5C" w:rsidRPr="3B0D9F72">
        <w:t xml:space="preserve">Technical Advisory </w:t>
      </w:r>
      <w:r w:rsidR="1C20F863" w:rsidRPr="3B0D9F72">
        <w:t>Groups (PTAG) and Provincial Training Boards (PTB)</w:t>
      </w:r>
      <w:r w:rsidR="0CADA76F" w:rsidRPr="3B0D9F72">
        <w:t>. PTAGs</w:t>
      </w:r>
      <w:r w:rsidR="1C20F863" w:rsidRPr="3B0D9F72">
        <w:t xml:space="preserve"> guide provincial planning and progress</w:t>
      </w:r>
      <w:r w:rsidR="7E2D925B" w:rsidRPr="3B0D9F72">
        <w:t>, and PTBs guide skills development initiatives</w:t>
      </w:r>
      <w:r w:rsidR="1C20F863" w:rsidRPr="3B0D9F72">
        <w:t xml:space="preserve">. </w:t>
      </w:r>
      <w:r w:rsidR="2640E29B" w:rsidRPr="3B0D9F72">
        <w:t>Consultations with key informants indicated that l</w:t>
      </w:r>
      <w:r w:rsidR="22E8900B" w:rsidRPr="3B0D9F72">
        <w:t xml:space="preserve">ong-term relationships with these structures </w:t>
      </w:r>
      <w:r w:rsidR="07897822" w:rsidRPr="3B0D9F72">
        <w:t>ensure</w:t>
      </w:r>
      <w:r w:rsidR="22E8900B" w:rsidRPr="3B0D9F72">
        <w:t xml:space="preserve"> that skills efforts are linked with demand, are owned by all provincial stakeholders, and that the effects are sustained beyond any activity completion date. </w:t>
      </w:r>
    </w:p>
    <w:p w14:paraId="1D383507" w14:textId="4159CE9C" w:rsidR="006C141A" w:rsidRDefault="3F2F7162" w:rsidP="00F761A4">
      <w:r w:rsidRPr="3B0D9F72">
        <w:t>Secretaries</w:t>
      </w:r>
      <w:r w:rsidR="00A64ECE">
        <w:t xml:space="preserve"> </w:t>
      </w:r>
      <w:r w:rsidR="551DB2E0" w:rsidRPr="3B0D9F72">
        <w:t xml:space="preserve">General consulted </w:t>
      </w:r>
      <w:r w:rsidRPr="3B0D9F72">
        <w:t>pointed out that the proximity and availability of Skills Centres in the provinces,</w:t>
      </w:r>
      <w:r w:rsidR="17B847A2" w:rsidRPr="3B0D9F72">
        <w:t xml:space="preserve"> </w:t>
      </w:r>
      <w:r w:rsidR="360426CE" w:rsidRPr="3B0D9F72">
        <w:t xml:space="preserve">strong relationships between Skills Centres and Provincial Government, </w:t>
      </w:r>
      <w:r w:rsidR="17B847A2" w:rsidRPr="3B0D9F72">
        <w:t>and</w:t>
      </w:r>
      <w:r w:rsidRPr="3B0D9F72">
        <w:t xml:space="preserve"> flexible ways of working, </w:t>
      </w:r>
      <w:r w:rsidR="730545F1" w:rsidRPr="3B0D9F72">
        <w:t xml:space="preserve">are key to VSP’s successful decentralisation approaches. </w:t>
      </w:r>
      <w:r w:rsidR="6F4D43B7" w:rsidRPr="3B0D9F72">
        <w:t xml:space="preserve">The </w:t>
      </w:r>
      <w:r w:rsidR="7196AE4A" w:rsidRPr="3B0D9F72">
        <w:t xml:space="preserve">robust </w:t>
      </w:r>
      <w:r w:rsidR="6F4D43B7" w:rsidRPr="3B0D9F72">
        <w:t>working relationship</w:t>
      </w:r>
      <w:r w:rsidR="08B0E217" w:rsidRPr="3B0D9F72">
        <w:t>s</w:t>
      </w:r>
      <w:r w:rsidR="6F4D43B7" w:rsidRPr="3B0D9F72">
        <w:t xml:space="preserve"> between Skills Centres and Provincial Governments</w:t>
      </w:r>
      <w:r w:rsidR="6B1E3D19" w:rsidRPr="3B0D9F72">
        <w:t xml:space="preserve"> ha</w:t>
      </w:r>
      <w:r w:rsidR="5BE62410" w:rsidRPr="3B0D9F72">
        <w:t>ve</w:t>
      </w:r>
      <w:r w:rsidR="6B1E3D19" w:rsidRPr="3B0D9F72">
        <w:t xml:space="preserve"> been evident following cyclones Harold, Lola, Judy and Kevin – after which Skills Centres provided </w:t>
      </w:r>
      <w:r w:rsidR="54D9B90F" w:rsidRPr="3B0D9F72">
        <w:t xml:space="preserve">surge capacity and coordination </w:t>
      </w:r>
      <w:r w:rsidR="6B1E3D19" w:rsidRPr="3B0D9F72">
        <w:t>support to enable Provincial Government management of disaster response</w:t>
      </w:r>
      <w:r w:rsidR="00EA617C">
        <w:rPr>
          <w:rStyle w:val="FootnoteReference"/>
        </w:rPr>
        <w:footnoteReference w:id="34"/>
      </w:r>
      <w:r w:rsidR="5F9FC187">
        <w:t>.</w:t>
      </w:r>
      <w:r w:rsidR="6B1E3D19" w:rsidRPr="3B0D9F72">
        <w:t xml:space="preserve"> </w:t>
      </w:r>
    </w:p>
    <w:p w14:paraId="05849CC3" w14:textId="758AA0AD" w:rsidR="006C141A" w:rsidRDefault="5A91908E" w:rsidP="00F761A4">
      <w:pPr>
        <w:rPr>
          <w:rFonts w:eastAsia="Calibri" w:cs="Calibri"/>
        </w:rPr>
      </w:pPr>
      <w:r>
        <w:t xml:space="preserve">The 2021 evaluation noted that </w:t>
      </w:r>
      <w:r w:rsidR="65BDE6A0">
        <w:t xml:space="preserve">VSP’s </w:t>
      </w:r>
      <w:r>
        <w:t xml:space="preserve">ways of working have been significant factors </w:t>
      </w:r>
      <w:r w:rsidR="07A1C688">
        <w:t>contributing</w:t>
      </w:r>
      <w:r>
        <w:t xml:space="preserve"> to its success, and its decentralised approach, utilised since the early years of the </w:t>
      </w:r>
      <w:r w:rsidR="5D0D9484">
        <w:t>investment</w:t>
      </w:r>
      <w:r>
        <w:t>, ha</w:t>
      </w:r>
      <w:r w:rsidR="03743C99">
        <w:t>s</w:t>
      </w:r>
      <w:r>
        <w:t xml:space="preserve"> </w:t>
      </w:r>
      <w:r w:rsidR="4E25B8F1">
        <w:t>enabled</w:t>
      </w:r>
      <w:r w:rsidR="167D9483">
        <w:t xml:space="preserve"> </w:t>
      </w:r>
      <w:r>
        <w:t>demonstrat</w:t>
      </w:r>
      <w:r w:rsidR="77920EA8">
        <w:t>ion</w:t>
      </w:r>
      <w:r w:rsidR="06F4D984">
        <w:t xml:space="preserve"> of</w:t>
      </w:r>
      <w:r>
        <w:t xml:space="preserve"> tangible results in terms of how an effective skills system can deliver inclusive, demand driven training at the community level</w:t>
      </w:r>
      <w:r w:rsidR="7369913A">
        <w:t xml:space="preserve">. The </w:t>
      </w:r>
      <w:r w:rsidR="5CE88D30">
        <w:t xml:space="preserve">repositioning </w:t>
      </w:r>
      <w:r w:rsidR="7369913A">
        <w:t xml:space="preserve">of VSP </w:t>
      </w:r>
      <w:r w:rsidR="6691A61C">
        <w:t xml:space="preserve">as </w:t>
      </w:r>
      <w:r w:rsidR="468F7FAA">
        <w:t xml:space="preserve">a counterpart </w:t>
      </w:r>
      <w:r w:rsidR="29EF8FB6">
        <w:t>to both the</w:t>
      </w:r>
      <w:r w:rsidR="5915CE57">
        <w:t xml:space="preserve"> Government of Vanuatu’s</w:t>
      </w:r>
      <w:r w:rsidR="29EF8FB6">
        <w:t xml:space="preserve"> Prime Minister’s Office as well as </w:t>
      </w:r>
      <w:proofErr w:type="spellStart"/>
      <w:r w:rsidR="29EF8FB6">
        <w:t>M</w:t>
      </w:r>
      <w:r w:rsidR="00CF737A">
        <w:t>o</w:t>
      </w:r>
      <w:r w:rsidR="29EF8FB6">
        <w:t>ET</w:t>
      </w:r>
      <w:proofErr w:type="spellEnd"/>
      <w:r w:rsidR="29EF8FB6">
        <w:t xml:space="preserve"> following the 2021 </w:t>
      </w:r>
      <w:r w:rsidR="1C447BB7">
        <w:t xml:space="preserve">evaluation </w:t>
      </w:r>
      <w:r w:rsidR="29EF8FB6">
        <w:t xml:space="preserve">elevated the role and relevance of </w:t>
      </w:r>
      <w:r w:rsidR="7D6EB213">
        <w:t xml:space="preserve">VSP as a key partner in Vanuatu’s </w:t>
      </w:r>
      <w:r w:rsidR="29EF8FB6">
        <w:t>decentralisation agenda</w:t>
      </w:r>
      <w:r w:rsidR="33509D6B">
        <w:t xml:space="preserve">. </w:t>
      </w:r>
    </w:p>
    <w:p w14:paraId="5479D967" w14:textId="77D1DCA4" w:rsidR="006C141A" w:rsidRDefault="13813152" w:rsidP="00F761A4">
      <w:pPr>
        <w:rPr>
          <w:b/>
          <w:bCs/>
        </w:rPr>
      </w:pPr>
      <w:r w:rsidRPr="3B0D9F72">
        <w:t>As well as establishing a decentralised skills system, which provides a model for practical decentralisation to other parts of government</w:t>
      </w:r>
      <w:r w:rsidR="00EA617C">
        <w:rPr>
          <w:rStyle w:val="FootnoteReference"/>
        </w:rPr>
        <w:footnoteReference w:id="35"/>
      </w:r>
      <w:r w:rsidR="5F9FC187">
        <w:t xml:space="preserve">, </w:t>
      </w:r>
      <w:r w:rsidR="00B422E6" w:rsidRPr="3B0D9F72">
        <w:t>c</w:t>
      </w:r>
      <w:r w:rsidR="3A72B307" w:rsidRPr="3B0D9F72">
        <w:t xml:space="preserve">onsultations with VSP’s </w:t>
      </w:r>
      <w:r w:rsidR="616D7520" w:rsidRPr="3B0D9F72">
        <w:t>national and</w:t>
      </w:r>
      <w:r w:rsidR="3A72B307" w:rsidRPr="3B0D9F72">
        <w:t xml:space="preserve"> </w:t>
      </w:r>
      <w:r w:rsidR="616D7520" w:rsidRPr="3B0D9F72">
        <w:t xml:space="preserve">provincial </w:t>
      </w:r>
      <w:r w:rsidR="3A72B307" w:rsidRPr="3B0D9F72">
        <w:t xml:space="preserve">government partners indicated a great deal of interest in </w:t>
      </w:r>
      <w:r w:rsidR="11EA1495" w:rsidRPr="3B0D9F72">
        <w:t xml:space="preserve">continued </w:t>
      </w:r>
      <w:r w:rsidR="3A72B307" w:rsidRPr="3B0D9F72">
        <w:t>VSP support for planning and</w:t>
      </w:r>
      <w:r w:rsidR="76FCAAE5" w:rsidRPr="3B0D9F72">
        <w:t xml:space="preserve"> </w:t>
      </w:r>
      <w:r w:rsidR="3A72B307" w:rsidRPr="3B0D9F72">
        <w:t xml:space="preserve">systems </w:t>
      </w:r>
      <w:r w:rsidR="06B6AB28" w:rsidRPr="3B0D9F72">
        <w:t xml:space="preserve">strengthening – processes necessary to enable effective decentralised service delivery. </w:t>
      </w:r>
    </w:p>
    <w:p w14:paraId="27775E4D" w14:textId="186481C2" w:rsidR="006C141A" w:rsidRDefault="029374FB" w:rsidP="3B0D9F72">
      <w:pPr>
        <w:pStyle w:val="ListParagraph"/>
        <w:numPr>
          <w:ilvl w:val="0"/>
          <w:numId w:val="22"/>
        </w:numPr>
        <w:spacing w:line="240" w:lineRule="auto"/>
        <w:rPr>
          <w:b/>
          <w:bCs/>
        </w:rPr>
      </w:pPr>
      <w:r w:rsidRPr="3B0D9F72">
        <w:rPr>
          <w:b/>
          <w:bCs/>
        </w:rPr>
        <w:t>Collaborative and p</w:t>
      </w:r>
      <w:r w:rsidR="009803A7" w:rsidRPr="3B0D9F72">
        <w:rPr>
          <w:b/>
          <w:bCs/>
        </w:rPr>
        <w:t xml:space="preserve">ractical </w:t>
      </w:r>
      <w:r w:rsidR="19E0D6B4" w:rsidRPr="3B0D9F72">
        <w:rPr>
          <w:b/>
          <w:bCs/>
        </w:rPr>
        <w:t xml:space="preserve">partnerships </w:t>
      </w:r>
      <w:r w:rsidR="009803A7" w:rsidRPr="3B0D9F72">
        <w:rPr>
          <w:b/>
          <w:bCs/>
        </w:rPr>
        <w:t>with productive sectors</w:t>
      </w:r>
      <w:r w:rsidR="2CF13919" w:rsidRPr="3B0D9F72">
        <w:rPr>
          <w:b/>
          <w:bCs/>
        </w:rPr>
        <w:t xml:space="preserve"> and communities</w:t>
      </w:r>
      <w:r w:rsidR="009803A7" w:rsidRPr="3B0D9F72">
        <w:rPr>
          <w:b/>
          <w:bCs/>
        </w:rPr>
        <w:t xml:space="preserve">, </w:t>
      </w:r>
      <w:r w:rsidR="7FC14F43" w:rsidRPr="3B0D9F72">
        <w:rPr>
          <w:b/>
          <w:bCs/>
        </w:rPr>
        <w:t xml:space="preserve">which link </w:t>
      </w:r>
      <w:r w:rsidR="009803A7" w:rsidRPr="3B0D9F72">
        <w:rPr>
          <w:b/>
          <w:bCs/>
        </w:rPr>
        <w:t xml:space="preserve">skills with markets </w:t>
      </w:r>
    </w:p>
    <w:p w14:paraId="25CCCC4B" w14:textId="2FCB2C02" w:rsidR="009803A7" w:rsidRPr="009803A7" w:rsidRDefault="006A22A4" w:rsidP="00F761A4">
      <w:r>
        <w:t xml:space="preserve">The </w:t>
      </w:r>
      <w:r w:rsidR="16619A9A">
        <w:t xml:space="preserve">2021 </w:t>
      </w:r>
      <w:r w:rsidR="3E75DF73">
        <w:t xml:space="preserve">evaluation </w:t>
      </w:r>
      <w:r>
        <w:t>highlighted</w:t>
      </w:r>
      <w:r w:rsidR="3E75DF73">
        <w:t xml:space="preserve"> that the Skills Centres, </w:t>
      </w:r>
      <w:r w:rsidR="3E75DF73" w:rsidRPr="3B0D9F72">
        <w:t xml:space="preserve">established and supported by VSP, </w:t>
      </w:r>
      <w:r>
        <w:t xml:space="preserve">effectively act as a </w:t>
      </w:r>
      <w:r w:rsidR="3E75DF73" w:rsidRPr="3B0D9F72">
        <w:t xml:space="preserve">broker between skills demand and supply: local training providers and industry coaches are contracted by the Centres to supply in-demand skills to support inclusive and sustainable entrepreneurship and employment in productive sectors, </w:t>
      </w:r>
      <w:r w:rsidR="00931F43">
        <w:t>flexibly</w:t>
      </w:r>
      <w:r w:rsidR="3E75DF73" w:rsidRPr="3B0D9F72">
        <w:t xml:space="preserve"> and at quality assured standards</w:t>
      </w:r>
      <w:r w:rsidR="005830D4">
        <w:t>.</w:t>
      </w:r>
    </w:p>
    <w:p w14:paraId="151F0C44" w14:textId="28CA342E" w:rsidR="009803A7" w:rsidRPr="009803A7" w:rsidRDefault="64CE885D" w:rsidP="00F761A4">
      <w:r>
        <w:t xml:space="preserve">This approach is highly valued. As one informant noted </w:t>
      </w:r>
      <w:r w:rsidRPr="0C3CBE43">
        <w:rPr>
          <w:i/>
          <w:iCs/>
        </w:rPr>
        <w:t>“If Vanuatu wants to achieve its 2030 goals, skills are needed in response to demand”</w:t>
      </w:r>
      <w:r>
        <w:t>. A demand-driven approach requires part</w:t>
      </w:r>
      <w:r w:rsidR="793C90C6">
        <w:t xml:space="preserve">nerships with government across multiple sectors, and VSP has partnerships with departments of tourism, agriculture and industry, as well as the Vanuatu Intellectual </w:t>
      </w:r>
      <w:r w:rsidR="05D3D990">
        <w:t>Property</w:t>
      </w:r>
      <w:r w:rsidR="793C90C6">
        <w:t xml:space="preserve"> Office</w:t>
      </w:r>
      <w:r w:rsidR="69B6E8E5">
        <w:t xml:space="preserve">, to </w:t>
      </w:r>
      <w:r w:rsidR="67FC8295">
        <w:t xml:space="preserve">enable local identification of </w:t>
      </w:r>
      <w:r w:rsidR="69B6E8E5">
        <w:t>demand and markets, and inform skills development requirements</w:t>
      </w:r>
      <w:r w:rsidR="793C90C6">
        <w:t xml:space="preserve">. </w:t>
      </w:r>
      <w:r w:rsidR="22479B62">
        <w:t xml:space="preserve">VSP, through the Skills Centres, works closely with provincial government, down to area </w:t>
      </w:r>
      <w:r w:rsidR="00A64ECE">
        <w:t xml:space="preserve">council </w:t>
      </w:r>
      <w:r w:rsidR="22479B62">
        <w:t>officers, to engage with communities</w:t>
      </w:r>
      <w:r w:rsidR="6F5A5FB3">
        <w:t xml:space="preserve">, and on the </w:t>
      </w:r>
      <w:proofErr w:type="gramStart"/>
      <w:r w:rsidR="6F5A5FB3">
        <w:t>supply</w:t>
      </w:r>
      <w:proofErr w:type="gramEnd"/>
      <w:r w:rsidR="6F5A5FB3">
        <w:t xml:space="preserve"> side strengthens training providers and skills governance and quality assurance mechanisms</w:t>
      </w:r>
      <w:r w:rsidR="22479B62">
        <w:t xml:space="preserve"> </w:t>
      </w:r>
      <w:r w:rsidR="16473C48">
        <w:t xml:space="preserve">to support </w:t>
      </w:r>
      <w:r w:rsidR="22479B62">
        <w:t xml:space="preserve">the </w:t>
      </w:r>
      <w:r w:rsidR="530DA510">
        <w:t>skills development of individuals</w:t>
      </w:r>
      <w:r w:rsidR="4F11D7B2">
        <w:t>, and enabl</w:t>
      </w:r>
      <w:r w:rsidR="36CB67B6">
        <w:t>e</w:t>
      </w:r>
      <w:r w:rsidR="4F11D7B2">
        <w:t xml:space="preserve"> a conduit to markets. </w:t>
      </w:r>
    </w:p>
    <w:p w14:paraId="2950E13E" w14:textId="204B7F17" w:rsidR="003F282D" w:rsidRDefault="00FC0961" w:rsidP="003F282D">
      <w:pPr>
        <w:pStyle w:val="ListParagraph"/>
        <w:numPr>
          <w:ilvl w:val="0"/>
          <w:numId w:val="22"/>
        </w:numPr>
        <w:rPr>
          <w:lang w:eastAsia="en-GB"/>
        </w:rPr>
      </w:pPr>
      <w:r>
        <w:rPr>
          <w:b/>
          <w:bCs/>
        </w:rPr>
        <w:t>Strong local</w:t>
      </w:r>
      <w:r w:rsidR="6A7A7F29" w:rsidRPr="00403761">
        <w:rPr>
          <w:b/>
          <w:bCs/>
        </w:rPr>
        <w:t xml:space="preserve"> VSP leadership and its team</w:t>
      </w:r>
      <w:r w:rsidR="008D033D">
        <w:rPr>
          <w:b/>
          <w:bCs/>
        </w:rPr>
        <w:t>, supported by c</w:t>
      </w:r>
      <w:r w:rsidR="008D033D" w:rsidRPr="3B0D9F72">
        <w:rPr>
          <w:b/>
          <w:bCs/>
        </w:rPr>
        <w:t xml:space="preserve">ulturally appropriate human resource management and strong career pathways </w:t>
      </w:r>
    </w:p>
    <w:p w14:paraId="5B390AAB" w14:textId="0B575E57" w:rsidR="00736109" w:rsidRDefault="00736109">
      <w:r>
        <w:t xml:space="preserve">VSP is entirely locally led, and </w:t>
      </w:r>
      <w:proofErr w:type="gramStart"/>
      <w:r>
        <w:t>it</w:t>
      </w:r>
      <w:proofErr w:type="gramEnd"/>
      <w:r>
        <w:t xml:space="preserve"> role models genuine, effective ni-Vanuatu leadership while also strengthening local leadership within the skills sector</w:t>
      </w:r>
      <w:r w:rsidRPr="3326E6A4">
        <w:rPr>
          <w:rStyle w:val="FootnoteReference"/>
        </w:rPr>
        <w:footnoteReference w:id="36"/>
      </w:r>
      <w:r>
        <w:t xml:space="preserve">. </w:t>
      </w:r>
      <w:r w:rsidR="003F282D" w:rsidRPr="0070695B">
        <w:rPr>
          <w:lang w:eastAsia="en-GB"/>
        </w:rPr>
        <w:t>VSP's demonstrated commitment to locally led development, and the successes this has brought, are well documented. VSP's leadership team, consisting of all ni-Vanuatu staff, enables implementation which navigates relational and political realities in a sensitive and informed way.  This includes the establishment of partnerships and coalitions to effect reform, as well as setting in place norms for the VSP team. VSP's leadership team is a fundamental driver of the investment's success.</w:t>
      </w:r>
    </w:p>
    <w:p w14:paraId="62823908" w14:textId="26F13E17" w:rsidR="003F282D" w:rsidRDefault="0070695B" w:rsidP="003F282D">
      <w:pPr>
        <w:rPr>
          <w:lang w:eastAsia="en-GB"/>
        </w:rPr>
      </w:pPr>
      <w:r w:rsidRPr="0070695B">
        <w:rPr>
          <w:lang w:eastAsia="en-GB"/>
        </w:rPr>
        <w:t xml:space="preserve">VSP's personnel are a critical enabler of its high-performance culture, and its strong leadership team, staff and international personnel are not accidental. VSP has a strong values-based culture, </w:t>
      </w:r>
      <w:proofErr w:type="spellStart"/>
      <w:r w:rsidRPr="0070695B">
        <w:rPr>
          <w:lang w:eastAsia="en-GB"/>
        </w:rPr>
        <w:t>centered</w:t>
      </w:r>
      <w:proofErr w:type="spellEnd"/>
      <w:r w:rsidRPr="0070695B">
        <w:rPr>
          <w:lang w:eastAsia="en-GB"/>
        </w:rPr>
        <w:t xml:space="preserve"> on respect, collaboration, humility and a shared commitment to nation-building. These values are role modelled by </w:t>
      </w:r>
      <w:proofErr w:type="gramStart"/>
      <w:r w:rsidRPr="0070695B">
        <w:rPr>
          <w:lang w:eastAsia="en-GB"/>
        </w:rPr>
        <w:t>leadership, and</w:t>
      </w:r>
      <w:proofErr w:type="gramEnd"/>
      <w:r w:rsidRPr="0070695B">
        <w:rPr>
          <w:lang w:eastAsia="en-GB"/>
        </w:rPr>
        <w:t xml:space="preserve"> underpin recruitment and human resource management of all staff and international personnel. These values also drive performance management of staff - including termination when necessary. </w:t>
      </w:r>
      <w:r w:rsidR="003F282D">
        <w:t xml:space="preserve">As the VSP Director stated in a presentation at a recent Australian Aid Conference: “we hire well, and we fire well.” </w:t>
      </w:r>
      <w:r w:rsidR="003F282D" w:rsidRPr="0070695B">
        <w:rPr>
          <w:lang w:eastAsia="en-GB"/>
        </w:rPr>
        <w:t xml:space="preserve">Working with Post, VSP has undertaken difficult terminations of both local and international personnel, and navigated the </w:t>
      </w:r>
      <w:r w:rsidR="00A64ECE">
        <w:rPr>
          <w:lang w:eastAsia="en-GB"/>
        </w:rPr>
        <w:t xml:space="preserve">previous </w:t>
      </w:r>
      <w:r w:rsidR="003F282D" w:rsidRPr="0070695B">
        <w:rPr>
          <w:lang w:eastAsia="en-GB"/>
        </w:rPr>
        <w:t xml:space="preserve">removal of </w:t>
      </w:r>
      <w:r w:rsidR="00A64ECE">
        <w:rPr>
          <w:lang w:eastAsia="en-GB"/>
        </w:rPr>
        <w:t>the</w:t>
      </w:r>
      <w:r w:rsidR="003F282D" w:rsidRPr="0070695B">
        <w:rPr>
          <w:lang w:eastAsia="en-GB"/>
        </w:rPr>
        <w:t xml:space="preserve"> managing contractor, rather than taking the sometimes less complex path of accepting mediocre performance.</w:t>
      </w:r>
      <w:r w:rsidR="003F282D">
        <w:rPr>
          <w:lang w:eastAsia="en-GB"/>
        </w:rPr>
        <w:t xml:space="preserve"> </w:t>
      </w:r>
      <w:r w:rsidR="003F282D">
        <w:t xml:space="preserve">In other words, creating a high performing, values-driven team on VSP has required concerted hard work over many years, spotting and nurturing talent but also constructively dealing with non-performing staff. </w:t>
      </w:r>
    </w:p>
    <w:p w14:paraId="5A8FCE46" w14:textId="5F44AB72" w:rsidR="008D033D" w:rsidRDefault="008D033D" w:rsidP="008D033D">
      <w:r>
        <w:t>VSP is viewed as a human resources incubator by and for its local personnel. Consultations with staff revealed that VSP invests in professional development of staff, and promotes career pathways and leadership, including within provinces. As of 2023, 20 staff have been internally promoted, and seven moved on from VSP to senior external roles, including five within Government</w:t>
      </w:r>
      <w:r w:rsidRPr="3326E6A4">
        <w:rPr>
          <w:rStyle w:val="FootnoteReference"/>
        </w:rPr>
        <w:footnoteReference w:id="37"/>
      </w:r>
      <w:r>
        <w:t xml:space="preserve"> . The Director is a prominent example of this, having progressed over more than 10 years from his original position to his current role via an Australia Awards scholarship, long-term targeted mentoring, and a planned and supported career progression. Other VSP staff have progressed to senior positions in the Government of Vanuatu, with purposeful support from the program towards these roles. This is positioning key professionals in roles which are enabling them to contribute to national reform and nation-building. Consultations indicated that VSP’s leadership has embedded culturally appropriate values into the organisational culture; this has created an enabling environment for VSP staff to work in a safe and empowered culture, that aligns with cultural values. VSP personnel are managed by its Senior Management Team, with support from the Support Hub and the support contractor. This mix enables a human resource management approach that incorporates and responds to cultural realities and complexities, while complying with DFAT expectations. </w:t>
      </w:r>
    </w:p>
    <w:p w14:paraId="5671DCE1" w14:textId="4C6CB85F" w:rsidR="009803A7" w:rsidRDefault="009803A7" w:rsidP="3B0D9F72">
      <w:pPr>
        <w:pStyle w:val="ListParagraph"/>
        <w:numPr>
          <w:ilvl w:val="0"/>
          <w:numId w:val="22"/>
        </w:numPr>
        <w:rPr>
          <w:b/>
          <w:bCs/>
        </w:rPr>
      </w:pPr>
      <w:r w:rsidRPr="0C3CBE43">
        <w:rPr>
          <w:b/>
          <w:bCs/>
        </w:rPr>
        <w:t xml:space="preserve">Incubation of local, developmental leadership </w:t>
      </w:r>
    </w:p>
    <w:p w14:paraId="78B14B3F" w14:textId="0FE7C65C" w:rsidR="4DB7633F" w:rsidRDefault="00736109" w:rsidP="00F761A4">
      <w:r>
        <w:t>Related to the point above, and w</w:t>
      </w:r>
      <w:r w:rsidR="71B38BDE">
        <w:t>oven throughout VSP’s work with partners at the national, provincial and community levels is support for the</w:t>
      </w:r>
      <w:r w:rsidR="00AE7BDB">
        <w:t xml:space="preserve"> identification and</w:t>
      </w:r>
      <w:r w:rsidR="71B38BDE">
        <w:t xml:space="preserve"> incubation of developmental leaders who are committed and equipped to contribute to broad-based governance reform for the achievement of national development goals</w:t>
      </w:r>
      <w:r w:rsidR="4DB7633F" w:rsidRPr="3326E6A4">
        <w:rPr>
          <w:rStyle w:val="FootnoteReference"/>
        </w:rPr>
        <w:footnoteReference w:id="38"/>
      </w:r>
      <w:r w:rsidR="00A64ECE">
        <w:t>.</w:t>
      </w:r>
      <w:r w:rsidR="71B38BDE">
        <w:t xml:space="preserve"> </w:t>
      </w:r>
      <w:r w:rsidR="37D42D0A" w:rsidRPr="3B0D9F72">
        <w:t xml:space="preserve"> VSP has nurtured a network of developmental leaders who have come to occupy important positions in provincial and national government agencies and are well placed to progress decentralisation policies</w:t>
      </w:r>
      <w:r w:rsidR="004C6557">
        <w:rPr>
          <w:rStyle w:val="FootnoteReference"/>
        </w:rPr>
        <w:footnoteReference w:id="39"/>
      </w:r>
      <w:r w:rsidR="37D42D0A" w:rsidRPr="3B0D9F72">
        <w:t xml:space="preserve">. </w:t>
      </w:r>
      <w:r w:rsidR="39BFC7B8">
        <w:t>Consultations indicated that VSP us</w:t>
      </w:r>
      <w:r w:rsidR="39BFC7B8" w:rsidRPr="3B0D9F72">
        <w:t>es savvy politically informed approaches to focus on reform-minded leaders, while engaging titled leaders who are less interested in systems change.</w:t>
      </w:r>
      <w:r w:rsidR="7AD4DC0C" w:rsidRPr="3B0D9F72">
        <w:t xml:space="preserve"> </w:t>
      </w:r>
    </w:p>
    <w:p w14:paraId="5C02B76B" w14:textId="7029F62E" w:rsidR="7FA6DFDD" w:rsidRDefault="7AD4DC0C" w:rsidP="00F761A4">
      <w:r w:rsidRPr="3B0D9F72">
        <w:t xml:space="preserve">This </w:t>
      </w:r>
      <w:r w:rsidR="350CF33D" w:rsidRPr="3B0D9F72">
        <w:t xml:space="preserve">two-pronged </w:t>
      </w:r>
      <w:r w:rsidR="029D801E" w:rsidRPr="3B0D9F72">
        <w:t xml:space="preserve">strategy </w:t>
      </w:r>
      <w:r w:rsidRPr="3B0D9F72">
        <w:t>is critical.</w:t>
      </w:r>
      <w:r w:rsidR="78CB1E6F">
        <w:t xml:space="preserve"> S</w:t>
      </w:r>
      <w:r w:rsidRPr="3B0D9F72">
        <w:t xml:space="preserve">ocial change </w:t>
      </w:r>
      <w:r w:rsidR="69C208A6" w:rsidRPr="3B0D9F72">
        <w:t xml:space="preserve">requires </w:t>
      </w:r>
      <w:r w:rsidRPr="3B0D9F72">
        <w:t xml:space="preserve">local leadership </w:t>
      </w:r>
      <w:r w:rsidR="7BD30EFF" w:rsidRPr="3B0D9F72">
        <w:t>that is</w:t>
      </w:r>
      <w:r w:rsidRPr="3B0D9F72">
        <w:t xml:space="preserve"> developmental in nature</w:t>
      </w:r>
      <w:r w:rsidR="006A22A4">
        <w:rPr>
          <w:rStyle w:val="FootnoteReference"/>
        </w:rPr>
        <w:footnoteReference w:id="40"/>
      </w:r>
      <w:r w:rsidRPr="3B0D9F72">
        <w:t xml:space="preserve">. </w:t>
      </w:r>
      <w:r w:rsidR="38660DA2" w:rsidRPr="3B0D9F72">
        <w:t>Shi</w:t>
      </w:r>
      <w:r w:rsidR="6689F850" w:rsidRPr="3B0D9F72">
        <w:t>f</w:t>
      </w:r>
      <w:r w:rsidR="38660DA2" w:rsidRPr="3B0D9F72">
        <w:t>ts in the status quo can be positive or negative, depending on</w:t>
      </w:r>
      <w:r w:rsidRPr="3B0D9F72">
        <w:t xml:space="preserve"> the motivation and drivers of </w:t>
      </w:r>
      <w:r w:rsidR="1AEBD0F3" w:rsidRPr="3B0D9F72">
        <w:t>said</w:t>
      </w:r>
      <w:r w:rsidRPr="3B0D9F72">
        <w:t xml:space="preserve"> </w:t>
      </w:r>
      <w:r w:rsidR="1AEBD0F3" w:rsidRPr="3B0D9F72">
        <w:t xml:space="preserve">local </w:t>
      </w:r>
      <w:r w:rsidRPr="3B0D9F72">
        <w:t>leaders.</w:t>
      </w:r>
      <w:r w:rsidR="12FDF5F2" w:rsidRPr="3B0D9F72">
        <w:t xml:space="preserve"> VSP identifies, strengthens and collaborates with local leaders who are motivated to </w:t>
      </w:r>
      <w:r w:rsidR="54CB9294" w:rsidRPr="3B0D9F72">
        <w:t xml:space="preserve">contribute to positive changes </w:t>
      </w:r>
      <w:r w:rsidR="6FEB0101" w:rsidRPr="3B0D9F72">
        <w:t>to existing circumstances</w:t>
      </w:r>
      <w:r w:rsidR="54CB9294" w:rsidRPr="3B0D9F72">
        <w:t xml:space="preserve">. Sometimes, these leaders </w:t>
      </w:r>
      <w:r w:rsidR="5033FB5A" w:rsidRPr="3B0D9F72">
        <w:t xml:space="preserve">may </w:t>
      </w:r>
      <w:r w:rsidR="54CB9294" w:rsidRPr="3B0D9F72">
        <w:t xml:space="preserve">not have a senior title or </w:t>
      </w:r>
      <w:proofErr w:type="gramStart"/>
      <w:r w:rsidR="54CB9294" w:rsidRPr="3B0D9F72">
        <w:t xml:space="preserve">position, </w:t>
      </w:r>
      <w:r w:rsidR="5F5F819E" w:rsidRPr="3B0D9F72">
        <w:t>bu</w:t>
      </w:r>
      <w:r w:rsidR="3208EAA0" w:rsidRPr="3B0D9F72">
        <w:t>t</w:t>
      </w:r>
      <w:proofErr w:type="gramEnd"/>
      <w:r w:rsidR="5F5F819E" w:rsidRPr="3B0D9F72">
        <w:t xml:space="preserve"> have</w:t>
      </w:r>
      <w:r w:rsidR="54CB9294" w:rsidRPr="3B0D9F72">
        <w:t xml:space="preserve"> influence</w:t>
      </w:r>
      <w:r w:rsidR="65F985EA" w:rsidRPr="3B0D9F72">
        <w:t xml:space="preserve"> within their realms</w:t>
      </w:r>
      <w:r w:rsidR="5F83187F" w:rsidRPr="3B0D9F72">
        <w:t xml:space="preserve">. At the same time, VSP carefully and strategically engages with titled leaders to ensure they are part of the journey towards </w:t>
      </w:r>
      <w:r w:rsidR="7A4B0AB9" w:rsidRPr="3B0D9F72">
        <w:t xml:space="preserve">change, </w:t>
      </w:r>
      <w:r w:rsidR="14EAD3FC" w:rsidRPr="3B0D9F72">
        <w:t>even when</w:t>
      </w:r>
      <w:r w:rsidR="40856D7C" w:rsidRPr="3B0D9F72">
        <w:t xml:space="preserve"> less invested in it. </w:t>
      </w:r>
    </w:p>
    <w:p w14:paraId="2834FDD6" w14:textId="49B16E45" w:rsidR="00736109" w:rsidRDefault="005830D4" w:rsidP="00F761A4">
      <w:r>
        <w:t>Critically, rather than viewing problems as simply technical issues to be solved by international advisers, VSP’s local leadership navigates challenges structurally, relationally and politically</w:t>
      </w:r>
      <w:r w:rsidRPr="3326E6A4">
        <w:rPr>
          <w:rStyle w:val="FootnoteReference"/>
        </w:rPr>
        <w:footnoteReference w:id="41"/>
      </w:r>
      <w:r>
        <w:t xml:space="preserve"> </w:t>
      </w:r>
      <w:r w:rsidRPr="3326E6A4">
        <w:rPr>
          <w:rStyle w:val="FootnoteReference"/>
        </w:rPr>
        <w:footnoteReference w:id="42"/>
      </w:r>
      <w:r>
        <w:t>. A deep understanding of the context and its stakeholders also enable VSP’s leadership to identify opportunities for coalition-building and reform</w:t>
      </w:r>
      <w:r w:rsidRPr="3326E6A4">
        <w:rPr>
          <w:rStyle w:val="FootnoteReference"/>
        </w:rPr>
        <w:footnoteReference w:id="43"/>
      </w:r>
      <w:r>
        <w:t xml:space="preserve"> </w:t>
      </w:r>
      <w:r w:rsidR="00A64ECE">
        <w:t>.</w:t>
      </w:r>
      <w:r>
        <w:t xml:space="preserve"> This, combined with an authorising environment enabled by the Support Contractor and DFAT, allows adaptive programming, and flexible and responsive delivery.  </w:t>
      </w:r>
    </w:p>
    <w:p w14:paraId="5FAD5AD6" w14:textId="10C78FDC" w:rsidR="009803A7" w:rsidRDefault="009803A7" w:rsidP="3B0D9F72">
      <w:pPr>
        <w:pStyle w:val="ListParagraph"/>
        <w:numPr>
          <w:ilvl w:val="0"/>
          <w:numId w:val="22"/>
        </w:numPr>
        <w:spacing w:line="240" w:lineRule="auto"/>
        <w:rPr>
          <w:b/>
          <w:bCs/>
        </w:rPr>
      </w:pPr>
      <w:r w:rsidRPr="3B0D9F72">
        <w:rPr>
          <w:b/>
          <w:bCs/>
        </w:rPr>
        <w:t>Support contractor model</w:t>
      </w:r>
      <w:r w:rsidR="231545B2" w:rsidRPr="3B0D9F72">
        <w:rPr>
          <w:b/>
          <w:bCs/>
        </w:rPr>
        <w:t xml:space="preserve"> </w:t>
      </w:r>
      <w:r w:rsidR="00046E0D">
        <w:rPr>
          <w:b/>
          <w:bCs/>
        </w:rPr>
        <w:t>and</w:t>
      </w:r>
      <w:r w:rsidR="231545B2" w:rsidRPr="3B0D9F72">
        <w:rPr>
          <w:b/>
          <w:bCs/>
        </w:rPr>
        <w:t xml:space="preserve"> the Support Hub</w:t>
      </w:r>
    </w:p>
    <w:p w14:paraId="0612A3FE" w14:textId="40E3E75C" w:rsidR="0C077380" w:rsidRDefault="0C077380" w:rsidP="00F761A4">
      <w:r>
        <w:t>Supporting</w:t>
      </w:r>
      <w:r w:rsidR="2575BFC8">
        <w:t xml:space="preserve"> the above strengths, </w:t>
      </w:r>
      <w:r w:rsidR="65195342">
        <w:t>VSP’s s</w:t>
      </w:r>
      <w:r w:rsidR="0580DA48">
        <w:t xml:space="preserve">upport contractor model enables </w:t>
      </w:r>
      <w:r w:rsidR="352B8224">
        <w:t xml:space="preserve">the program’s </w:t>
      </w:r>
      <w:r w:rsidR="0580DA48">
        <w:t>local leadership, and adaptive program delivery.</w:t>
      </w:r>
      <w:r w:rsidR="5C7EB565">
        <w:t xml:space="preserve"> </w:t>
      </w:r>
      <w:r w:rsidR="57D8866D">
        <w:t xml:space="preserve">The centrepiece of the support contractor arrangement is the Support Hub, which provides a range of services and support to the implementation team in Vanuatu. </w:t>
      </w:r>
      <w:r w:rsidR="5C7EB565">
        <w:t>Th</w:t>
      </w:r>
      <w:r w:rsidR="34572F47">
        <w:t xml:space="preserve">e 2021 </w:t>
      </w:r>
      <w:r w:rsidR="4963173A">
        <w:t xml:space="preserve">evaluation </w:t>
      </w:r>
      <w:r w:rsidR="3220579F">
        <w:t>concluded</w:t>
      </w:r>
      <w:r w:rsidR="34572F47">
        <w:t xml:space="preserve"> that </w:t>
      </w:r>
      <w:r w:rsidR="41B12818">
        <w:t>the</w:t>
      </w:r>
      <w:r w:rsidR="2E328D8C">
        <w:t xml:space="preserve"> d</w:t>
      </w:r>
      <w:r w:rsidR="5C7EB565">
        <w:t xml:space="preserve">elivery modality </w:t>
      </w:r>
      <w:r w:rsidR="4A12F71E">
        <w:t xml:space="preserve">works </w:t>
      </w:r>
      <w:r w:rsidR="0CDBED91">
        <w:t>well and</w:t>
      </w:r>
      <w:r w:rsidR="784C465C">
        <w:t xml:space="preserve"> has been an important driver of the results achieved by VSP</w:t>
      </w:r>
      <w:r w:rsidR="78CBD5E0">
        <w:t xml:space="preserve">. The evaluation </w:t>
      </w:r>
      <w:r w:rsidR="2A89F53E">
        <w:t xml:space="preserve">also </w:t>
      </w:r>
      <w:r w:rsidR="78CBD5E0">
        <w:t xml:space="preserve">found that the </w:t>
      </w:r>
      <w:r w:rsidR="00F26B70">
        <w:t>support contractor/support hub</w:t>
      </w:r>
      <w:r w:rsidR="78CBD5E0">
        <w:t xml:space="preserve"> model has </w:t>
      </w:r>
      <w:r w:rsidR="0B111A42">
        <w:t xml:space="preserve">facilitated </w:t>
      </w:r>
      <w:r w:rsidR="5C7EB565">
        <w:t xml:space="preserve">VSP to develop into a genuinely locally led program. </w:t>
      </w:r>
      <w:r w:rsidR="02D9F2AF">
        <w:t xml:space="preserve">Consultations with VSP personnel revealed that the Support Hub is seen as a key </w:t>
      </w:r>
      <w:r w:rsidR="02D9F2AF" w:rsidRPr="3B0D9F72">
        <w:rPr>
          <w:i/>
          <w:iCs/>
        </w:rPr>
        <w:t xml:space="preserve">enabler </w:t>
      </w:r>
      <w:r w:rsidR="02D9F2AF">
        <w:t xml:space="preserve">of VSP's work at all levels, including Skills Centres. </w:t>
      </w:r>
      <w:r w:rsidR="062B56FE">
        <w:t xml:space="preserve">Key </w:t>
      </w:r>
      <w:r w:rsidR="187FCD8C">
        <w:t xml:space="preserve">factors contributing to this </w:t>
      </w:r>
      <w:r w:rsidR="062B56FE">
        <w:t>include strong</w:t>
      </w:r>
      <w:r w:rsidR="03F7AA3E">
        <w:t xml:space="preserve"> and trusting</w:t>
      </w:r>
      <w:r w:rsidR="062B56FE">
        <w:t xml:space="preserve"> </w:t>
      </w:r>
      <w:r w:rsidR="5C7EB565">
        <w:t xml:space="preserve">relationships </w:t>
      </w:r>
      <w:r w:rsidR="440CC195">
        <w:t xml:space="preserve">between </w:t>
      </w:r>
      <w:r w:rsidR="7E9F20AA">
        <w:t>S</w:t>
      </w:r>
      <w:r w:rsidR="440CC195">
        <w:t xml:space="preserve">upport </w:t>
      </w:r>
      <w:r w:rsidR="1E297345">
        <w:t>H</w:t>
      </w:r>
      <w:r w:rsidR="440CC195">
        <w:t xml:space="preserve">ub and </w:t>
      </w:r>
      <w:r w:rsidR="5C7EB565">
        <w:t>VSP staff</w:t>
      </w:r>
      <w:r w:rsidR="4E57A9A2">
        <w:t>,</w:t>
      </w:r>
      <w:r w:rsidR="49DBD7A8">
        <w:t xml:space="preserve"> and</w:t>
      </w:r>
      <w:r w:rsidR="4E57A9A2">
        <w:t xml:space="preserve"> </w:t>
      </w:r>
      <w:r w:rsidR="5FC3BA55">
        <w:t>the provision of</w:t>
      </w:r>
      <w:r w:rsidR="4E57A9A2">
        <w:t xml:space="preserve"> </w:t>
      </w:r>
      <w:r w:rsidR="22508C78">
        <w:t xml:space="preserve">program-identified </w:t>
      </w:r>
      <w:r w:rsidR="4E57A9A2">
        <w:t xml:space="preserve">professional development </w:t>
      </w:r>
      <w:r w:rsidR="49646BDC">
        <w:t xml:space="preserve">for program team members </w:t>
      </w:r>
      <w:r w:rsidR="27FA8F5D">
        <w:t xml:space="preserve">(both </w:t>
      </w:r>
      <w:r w:rsidR="0708E875">
        <w:t>technical and management skills</w:t>
      </w:r>
      <w:r w:rsidR="59905E4F">
        <w:t>)</w:t>
      </w:r>
      <w:r w:rsidR="148F439A">
        <w:t xml:space="preserve">, including through </w:t>
      </w:r>
      <w:r w:rsidR="292A4988">
        <w:t xml:space="preserve">technical assistance delivered by </w:t>
      </w:r>
      <w:r w:rsidR="1E7F6DA9">
        <w:t>advisers</w:t>
      </w:r>
      <w:r w:rsidR="3617FD11">
        <w:t>.</w:t>
      </w:r>
    </w:p>
    <w:p w14:paraId="04F2CC03" w14:textId="43028386" w:rsidR="4231AA0C" w:rsidRDefault="4231AA0C" w:rsidP="00F761A4">
      <w:r>
        <w:t xml:space="preserve">Further, it is the </w:t>
      </w:r>
      <w:r w:rsidR="5543A34A">
        <w:t xml:space="preserve">specific </w:t>
      </w:r>
      <w:r>
        <w:t>individuals within the Support Hub</w:t>
      </w:r>
      <w:r w:rsidR="4B799790">
        <w:t xml:space="preserve"> which make the Hub service so effective, with </w:t>
      </w:r>
      <w:r>
        <w:t xml:space="preserve">their </w:t>
      </w:r>
      <w:r w:rsidR="095E9B34">
        <w:t xml:space="preserve">mostly long-term involvement in Vanuatu and the program and their personal </w:t>
      </w:r>
      <w:r>
        <w:t xml:space="preserve">qualities of humility and </w:t>
      </w:r>
      <w:r w:rsidR="51FBE957">
        <w:t>respectful communication</w:t>
      </w:r>
      <w:r>
        <w:t xml:space="preserve">. </w:t>
      </w:r>
      <w:r w:rsidR="2B03E3DA">
        <w:t xml:space="preserve">VSP staff trust the Support Hub personnel, who </w:t>
      </w:r>
      <w:r w:rsidR="00F26B70">
        <w:t xml:space="preserve">can </w:t>
      </w:r>
      <w:r w:rsidR="2B03E3DA">
        <w:t xml:space="preserve">in turn </w:t>
      </w:r>
      <w:r w:rsidR="0C4C71EF">
        <w:t>reinforce</w:t>
      </w:r>
      <w:r w:rsidR="2B03E3DA">
        <w:t xml:space="preserve"> quality systems requirements with staff</w:t>
      </w:r>
      <w:r w:rsidR="3022045B">
        <w:t xml:space="preserve">. </w:t>
      </w:r>
      <w:r w:rsidR="61C0ACFB">
        <w:t>T</w:t>
      </w:r>
      <w:r w:rsidR="1703A283">
        <w:t>he assistance it provides in facilitating MEL, quality systems, and 6-monthly planning</w:t>
      </w:r>
      <w:r w:rsidR="00F8E520">
        <w:t xml:space="preserve"> is highly valued</w:t>
      </w:r>
      <w:r w:rsidR="1703A283">
        <w:t xml:space="preserve">. The Support Hub </w:t>
      </w:r>
      <w:r w:rsidR="48E11E2D">
        <w:t xml:space="preserve">has also </w:t>
      </w:r>
      <w:r w:rsidR="1703A283">
        <w:t>play</w:t>
      </w:r>
      <w:r w:rsidR="16A69149">
        <w:t>ed</w:t>
      </w:r>
      <w:r w:rsidR="1703A283">
        <w:t xml:space="preserve"> a</w:t>
      </w:r>
      <w:r w:rsidR="68335280">
        <w:t xml:space="preserve">n important </w:t>
      </w:r>
      <w:r w:rsidR="1703A283">
        <w:t xml:space="preserve">role in establishing systems to make workloads more manageable, while also offering responsive support when the in-country team faces particularly busy periods. </w:t>
      </w:r>
    </w:p>
    <w:p w14:paraId="40F71474" w14:textId="42357276" w:rsidR="002E796A" w:rsidRPr="00FC0961" w:rsidRDefault="1703A283" w:rsidP="00FC0961">
      <w:r>
        <w:t xml:space="preserve">Several staff members compared the </w:t>
      </w:r>
      <w:r w:rsidR="004C6557">
        <w:t>s</w:t>
      </w:r>
      <w:r>
        <w:t xml:space="preserve">upport </w:t>
      </w:r>
      <w:r w:rsidR="004C6557">
        <w:t>c</w:t>
      </w:r>
      <w:r>
        <w:t xml:space="preserve">ontractor model to their previous experience with </w:t>
      </w:r>
      <w:r w:rsidR="00AE7BDB">
        <w:t xml:space="preserve">the conventional ways of working </w:t>
      </w:r>
      <w:r w:rsidR="5CAB483F">
        <w:t xml:space="preserve">by </w:t>
      </w:r>
      <w:r w:rsidR="261B39EA">
        <w:t>an MC</w:t>
      </w:r>
      <w:r>
        <w:t>,</w:t>
      </w:r>
      <w:r w:rsidR="30FF72E0">
        <w:t xml:space="preserve"> while </w:t>
      </w:r>
      <w:r w:rsidR="2C9C231A">
        <w:t>acknowledging</w:t>
      </w:r>
      <w:r w:rsidR="30FF72E0">
        <w:t xml:space="preserve"> that the current support contractor service is provided by a firm which usually operat</w:t>
      </w:r>
      <w:r w:rsidR="4C9AF571">
        <w:t>e</w:t>
      </w:r>
      <w:r w:rsidR="30FF72E0">
        <w:t>s as an MC. Staff</w:t>
      </w:r>
      <w:r>
        <w:t xml:space="preserve"> highlight</w:t>
      </w:r>
      <w:r w:rsidR="436DD5F2">
        <w:t>ed</w:t>
      </w:r>
      <w:r w:rsidR="00FC0961">
        <w:t xml:space="preserve"> </w:t>
      </w:r>
      <w:r>
        <w:t xml:space="preserve">that the </w:t>
      </w:r>
      <w:r w:rsidR="004C6557">
        <w:t xml:space="preserve">support contractor </w:t>
      </w:r>
      <w:r>
        <w:t xml:space="preserve">operates in the background, with VSP's Senior Management Team </w:t>
      </w:r>
      <w:r w:rsidR="004C6557">
        <w:t>(SMT)</w:t>
      </w:r>
      <w:r w:rsidR="00AA7203">
        <w:t xml:space="preserve"> </w:t>
      </w:r>
      <w:r>
        <w:t xml:space="preserve">making decisions, unlike </w:t>
      </w:r>
      <w:r w:rsidR="5161FE85">
        <w:t xml:space="preserve">previous </w:t>
      </w:r>
      <w:r w:rsidR="004C6557">
        <w:t>m</w:t>
      </w:r>
      <w:r>
        <w:t xml:space="preserve">anaging </w:t>
      </w:r>
      <w:r w:rsidR="004C6557">
        <w:t>c</w:t>
      </w:r>
      <w:r>
        <w:t>ontractor</w:t>
      </w:r>
      <w:r w:rsidR="1814F860">
        <w:t xml:space="preserve"> arrangements</w:t>
      </w:r>
      <w:r>
        <w:t xml:space="preserve">, </w:t>
      </w:r>
      <w:r w:rsidR="0A3D4336">
        <w:t xml:space="preserve"> </w:t>
      </w:r>
      <w:r w:rsidR="1947265F">
        <w:t>which were</w:t>
      </w:r>
      <w:r>
        <w:t xml:space="preserve"> seen as undermining SMT's authority by intervening too directly</w:t>
      </w:r>
      <w:r w:rsidR="2937E506">
        <w:t xml:space="preserve">, and wasting time in conflict over internal processes. </w:t>
      </w:r>
      <w:r w:rsidR="72B404B9">
        <w:t>T</w:t>
      </w:r>
      <w:r w:rsidR="59D20481" w:rsidRPr="00FC0961">
        <w:t>h</w:t>
      </w:r>
      <w:r w:rsidR="00FC0961" w:rsidRPr="00FC0961">
        <w:t>e</w:t>
      </w:r>
      <w:r w:rsidR="59D20481" w:rsidRPr="00FC0961">
        <w:t xml:space="preserve"> model requires an adaptive, partially autonomous approach </w:t>
      </w:r>
      <w:r w:rsidR="59D20481">
        <w:t xml:space="preserve">which is </w:t>
      </w:r>
      <w:r w:rsidR="399A2C05">
        <w:t>substantially</w:t>
      </w:r>
      <w:r w:rsidR="59D20481">
        <w:t xml:space="preserve"> different from the </w:t>
      </w:r>
      <w:r w:rsidR="59D20481" w:rsidRPr="00FC0961">
        <w:t xml:space="preserve">conventional ‘managing contractor’. The hub is ultimately a shared responsibility that involves managing risks, delegating authority, and protecting the identity and commercial interests of both a </w:t>
      </w:r>
      <w:r w:rsidR="753D91BA">
        <w:t xml:space="preserve">corporate contractor </w:t>
      </w:r>
      <w:r w:rsidR="59D20481" w:rsidRPr="00FC0961">
        <w:t>and the Partnership</w:t>
      </w:r>
      <w:r w:rsidR="7831233B" w:rsidRPr="00FC0961">
        <w:t xml:space="preserve"> itself</w:t>
      </w:r>
      <w:r w:rsidR="59D20481" w:rsidRPr="00FC0961">
        <w:t xml:space="preserve">. However, </w:t>
      </w:r>
      <w:r w:rsidR="53A85C41" w:rsidRPr="00FC0961">
        <w:t xml:space="preserve">VSP emphasises that </w:t>
      </w:r>
      <w:r w:rsidR="59D20481" w:rsidRPr="00FC0961">
        <w:t>the guiding ‘north star’ of the Support Hub is to support the</w:t>
      </w:r>
      <w:r w:rsidR="1777113C" w:rsidRPr="00FC0961">
        <w:t xml:space="preserve"> reform-minded</w:t>
      </w:r>
      <w:r w:rsidR="59D20481" w:rsidRPr="00FC0961">
        <w:t xml:space="preserve"> developmental leadership of </w:t>
      </w:r>
      <w:r w:rsidR="13705D1A">
        <w:t>VSP</w:t>
      </w:r>
      <w:r w:rsidR="59D20481" w:rsidRPr="00FC0961">
        <w:t xml:space="preserve"> to </w:t>
      </w:r>
      <w:r w:rsidR="02DB7419">
        <w:t>achieve</w:t>
      </w:r>
      <w:r w:rsidR="59D20481" w:rsidRPr="00FC0961">
        <w:t xml:space="preserve"> the outcomes of the </w:t>
      </w:r>
      <w:r w:rsidR="6F3B86B1" w:rsidRPr="00FC0961">
        <w:t>investmen</w:t>
      </w:r>
      <w:r w:rsidR="59D20481" w:rsidRPr="00FC0961">
        <w:t>t</w:t>
      </w:r>
      <w:r w:rsidR="3814186F" w:rsidRPr="00FC0961">
        <w:t xml:space="preserve">. </w:t>
      </w:r>
    </w:p>
    <w:p w14:paraId="7AE36037" w14:textId="76534848" w:rsidR="009803A7" w:rsidRDefault="009803A7" w:rsidP="002E796A">
      <w:pPr>
        <w:pStyle w:val="ListParagraph"/>
        <w:numPr>
          <w:ilvl w:val="0"/>
          <w:numId w:val="22"/>
        </w:numPr>
        <w:spacing w:line="240" w:lineRule="auto"/>
        <w:rPr>
          <w:b/>
          <w:bCs/>
        </w:rPr>
      </w:pPr>
      <w:r w:rsidRPr="3B0D9F72">
        <w:rPr>
          <w:b/>
          <w:bCs/>
        </w:rPr>
        <w:t xml:space="preserve">Strong culture of performance and learning (MEL/quality systems) </w:t>
      </w:r>
    </w:p>
    <w:p w14:paraId="6D5203F7" w14:textId="0E00AD15" w:rsidR="2C587577" w:rsidRDefault="2C37FEF0" w:rsidP="00F761A4">
      <w:r>
        <w:t>VSP demonstrates the use of monitoring and evaluation to enable a s</w:t>
      </w:r>
      <w:r w:rsidR="5D8BF758">
        <w:t>trong culture of learning</w:t>
      </w:r>
      <w:r w:rsidR="112E1D2F">
        <w:t xml:space="preserve">. VSP </w:t>
      </w:r>
      <w:r w:rsidR="0701829A">
        <w:t xml:space="preserve">utilises an approach that involves </w:t>
      </w:r>
      <w:r w:rsidR="112E1D2F">
        <w:t xml:space="preserve">testing </w:t>
      </w:r>
      <w:r w:rsidR="5D8BF758">
        <w:t>ideas, learn</w:t>
      </w:r>
      <w:r w:rsidR="2E63F8C4">
        <w:t>ing</w:t>
      </w:r>
      <w:r w:rsidR="5D8BF758">
        <w:t xml:space="preserve"> from these and scal</w:t>
      </w:r>
      <w:r w:rsidR="19897D42">
        <w:t>ing</w:t>
      </w:r>
      <w:r w:rsidR="5D8BF758">
        <w:t xml:space="preserve"> up (or no</w:t>
      </w:r>
      <w:r w:rsidR="19769119">
        <w:t>t</w:t>
      </w:r>
      <w:r w:rsidR="5D8BF758">
        <w:t>)</w:t>
      </w:r>
      <w:r w:rsidR="34F6A0C8">
        <w:t>,</w:t>
      </w:r>
      <w:r w:rsidR="5D8BF758">
        <w:t xml:space="preserve"> depending on results. </w:t>
      </w:r>
      <w:r w:rsidR="1258D61B">
        <w:t>Monitoring and evaluation processes and results are used</w:t>
      </w:r>
      <w:r w:rsidR="5D8BF758">
        <w:t xml:space="preserve"> to enable this, and to track and demonstrate changes in alignment with the theory of change.</w:t>
      </w:r>
      <w:r w:rsidR="2B941D73">
        <w:t xml:space="preserve"> MEL is known </w:t>
      </w:r>
      <w:r w:rsidR="005830D4">
        <w:t>in</w:t>
      </w:r>
      <w:r w:rsidR="2B941D73">
        <w:t xml:space="preserve"> VSP as quality systems. </w:t>
      </w:r>
      <w:r w:rsidR="37FF9F06">
        <w:t xml:space="preserve">Several key </w:t>
      </w:r>
      <w:r w:rsidR="5A20D6E9">
        <w:t>approach</w:t>
      </w:r>
      <w:r w:rsidR="37FF9F06">
        <w:t xml:space="preserve">es underpin VSP’s </w:t>
      </w:r>
      <w:r w:rsidR="0D17C4A3">
        <w:t>quality systems</w:t>
      </w:r>
      <w:r w:rsidR="37FF9F06">
        <w:t xml:space="preserve">. These include embedding and </w:t>
      </w:r>
      <w:r w:rsidR="6DE15A57">
        <w:t>valuing</w:t>
      </w:r>
      <w:r w:rsidR="37FF9F06">
        <w:t xml:space="preserve"> quality systems by VSP staff and partners</w:t>
      </w:r>
      <w:r w:rsidR="56BF8C0A">
        <w:t>;</w:t>
      </w:r>
      <w:r w:rsidR="37FF9F06">
        <w:t xml:space="preserve"> </w:t>
      </w:r>
      <w:r w:rsidR="4DF4DAEF">
        <w:t>local leadership of quality systems, with international support</w:t>
      </w:r>
      <w:r w:rsidR="0CE02A1E">
        <w:t>;</w:t>
      </w:r>
      <w:r w:rsidR="4DF4DAEF">
        <w:t xml:space="preserve"> MEL support for, rather than driving, adaptation</w:t>
      </w:r>
      <w:r w:rsidR="7784FB00">
        <w:t>;</w:t>
      </w:r>
      <w:r w:rsidR="4DF4DAEF">
        <w:t xml:space="preserve"> </w:t>
      </w:r>
      <w:r w:rsidR="3DE147B6">
        <w:t xml:space="preserve">and </w:t>
      </w:r>
      <w:r w:rsidR="5119BCAB">
        <w:t xml:space="preserve">VSP’s quality systems </w:t>
      </w:r>
      <w:r w:rsidR="3DE147B6">
        <w:t>being used to influence reform within GOV partners and their systems</w:t>
      </w:r>
      <w:r w:rsidR="004C6557">
        <w:rPr>
          <w:rStyle w:val="FootnoteReference"/>
        </w:rPr>
        <w:footnoteReference w:id="44"/>
      </w:r>
      <w:r w:rsidR="24B4FB21">
        <w:t xml:space="preserve">. </w:t>
      </w:r>
      <w:r w:rsidR="1D798900">
        <w:t xml:space="preserve">VSP’s MEL is strongly linked to Vanuatu’s NSDP – enabling VSP to report directly on its contributions to nation building. </w:t>
      </w:r>
    </w:p>
    <w:p w14:paraId="7FEF0E12" w14:textId="1B3D62ED" w:rsidR="009803A7" w:rsidRDefault="009803A7" w:rsidP="3B0D9F72">
      <w:pPr>
        <w:pStyle w:val="ListParagraph"/>
        <w:numPr>
          <w:ilvl w:val="0"/>
          <w:numId w:val="22"/>
        </w:numPr>
        <w:rPr>
          <w:b/>
          <w:bCs/>
        </w:rPr>
      </w:pPr>
      <w:r w:rsidRPr="3B0D9F72">
        <w:rPr>
          <w:b/>
          <w:bCs/>
        </w:rPr>
        <w:t xml:space="preserve">Inclusivity </w:t>
      </w:r>
      <w:r w:rsidR="574A503E" w:rsidRPr="3B0D9F72">
        <w:rPr>
          <w:b/>
          <w:bCs/>
        </w:rPr>
        <w:t>of</w:t>
      </w:r>
      <w:r w:rsidRPr="3B0D9F72">
        <w:rPr>
          <w:b/>
          <w:bCs/>
        </w:rPr>
        <w:t xml:space="preserve"> women and people with disabilities</w:t>
      </w:r>
      <w:r w:rsidR="2B15D5E0" w:rsidRPr="3B0D9F72">
        <w:rPr>
          <w:b/>
          <w:bCs/>
        </w:rPr>
        <w:t xml:space="preserve"> </w:t>
      </w:r>
      <w:r w:rsidR="20789441" w:rsidRPr="3B0D9F72">
        <w:rPr>
          <w:b/>
          <w:bCs/>
        </w:rPr>
        <w:t>is strong</w:t>
      </w:r>
      <w:r w:rsidR="783F0B7A" w:rsidRPr="3B0D9F72">
        <w:rPr>
          <w:b/>
          <w:bCs/>
        </w:rPr>
        <w:t xml:space="preserve">, </w:t>
      </w:r>
      <w:r w:rsidRPr="3B0D9F72">
        <w:rPr>
          <w:b/>
          <w:bCs/>
        </w:rPr>
        <w:t xml:space="preserve">and integrated into provincial plans </w:t>
      </w:r>
    </w:p>
    <w:p w14:paraId="1558CCFF" w14:textId="1774F4A8" w:rsidR="32B231E5" w:rsidRDefault="08E83A64" w:rsidP="3B0D9F72">
      <w:r>
        <w:t xml:space="preserve">VSP’s inclusion efforts focus on gender equality, known as </w:t>
      </w:r>
      <w:r w:rsidR="00AA7203">
        <w:t>‘</w:t>
      </w:r>
      <w:r>
        <w:t>better balance</w:t>
      </w:r>
      <w:r w:rsidR="00AA7203">
        <w:t>’</w:t>
      </w:r>
      <w:r w:rsidR="35CC04DD">
        <w:t>,</w:t>
      </w:r>
      <w:r>
        <w:t xml:space="preserve"> and disability inclusion. VSP has demonstrated commitment to and results in its inclusion work</w:t>
      </w:r>
      <w:r w:rsidR="73C2EFDD">
        <w:t xml:space="preserve">, </w:t>
      </w:r>
      <w:r w:rsidR="000965EF">
        <w:t>with significant investment of funds and other resources and substantial staffing allocation which has grown over time. Work has</w:t>
      </w:r>
      <w:r w:rsidR="73C2EFDD">
        <w:t xml:space="preserve"> focused</w:t>
      </w:r>
      <w:r w:rsidR="5F0EA402">
        <w:t xml:space="preserve"> on empowering women and people with disabilities through skills development, </w:t>
      </w:r>
      <w:r w:rsidR="112E381A">
        <w:t xml:space="preserve">norms-shifting and systemic reforms. </w:t>
      </w:r>
      <w:r w:rsidR="0D645856">
        <w:t xml:space="preserve">VSP was recognised with a 2019 DFAT Secretary award for its work on disability inclusion. </w:t>
      </w:r>
      <w:r w:rsidR="1D97EC56">
        <w:t>In the period January – June 2024, 49% of people accessing skills development opportunities facilitated by Skills Centres were women, and 10% were people with disabilities</w:t>
      </w:r>
      <w:r w:rsidR="32B231E5" w:rsidRPr="3326E6A4">
        <w:rPr>
          <w:rStyle w:val="FootnoteReference"/>
        </w:rPr>
        <w:footnoteReference w:id="45"/>
      </w:r>
      <w:r w:rsidR="5BAFFD99">
        <w:t xml:space="preserve"> </w:t>
      </w:r>
      <w:r w:rsidR="1D97EC56">
        <w:t>.</w:t>
      </w:r>
    </w:p>
    <w:p w14:paraId="5E2CEDF3" w14:textId="3E7B6580" w:rsidR="3AD18692" w:rsidRDefault="3AD18692" w:rsidP="3B0D9F72">
      <w:pPr>
        <w:rPr>
          <w:rFonts w:eastAsia="Calibri" w:cs="Calibri"/>
          <w:color w:val="000000" w:themeColor="text1"/>
        </w:rPr>
      </w:pPr>
      <w:r w:rsidRPr="0C3CBE43">
        <w:rPr>
          <w:rFonts w:eastAsia="Calibri" w:cs="Calibri"/>
          <w:color w:val="000000" w:themeColor="text1"/>
        </w:rPr>
        <w:t xml:space="preserve">Skills Centres prioritise the provision of reasonable accommodations for people with disabilities and women with care-giving responsibilities and constraints on travel. A specific DFAT grant made available to VSP between 2016 – 2020 assisted training providers with these costs, and as a result, the number of people with disabilities participating in skills training rose significantly during that period. </w:t>
      </w:r>
      <w:r w:rsidR="31DECA0D" w:rsidRPr="0C3CBE43">
        <w:rPr>
          <w:rFonts w:eastAsia="Calibri" w:cs="Calibri"/>
          <w:color w:val="000000" w:themeColor="text1"/>
        </w:rPr>
        <w:t>Similarly, a</w:t>
      </w:r>
      <w:r w:rsidR="63A4F59B" w:rsidRPr="0C3CBE43">
        <w:rPr>
          <w:rFonts w:eastAsia="Calibri" w:cs="Calibri"/>
          <w:color w:val="000000" w:themeColor="text1"/>
        </w:rPr>
        <w:t xml:space="preserve"> DFAT</w:t>
      </w:r>
      <w:r w:rsidR="31DECA0D" w:rsidRPr="0C3CBE43">
        <w:rPr>
          <w:rFonts w:eastAsia="Calibri" w:cs="Calibri"/>
          <w:color w:val="000000" w:themeColor="text1"/>
        </w:rPr>
        <w:t xml:space="preserve"> Pacific Women Shaping Pacific Development grant</w:t>
      </w:r>
      <w:r w:rsidR="364022EA" w:rsidRPr="0C3CBE43">
        <w:rPr>
          <w:rFonts w:eastAsia="Calibri" w:cs="Calibri"/>
          <w:color w:val="000000" w:themeColor="text1"/>
        </w:rPr>
        <w:t xml:space="preserve"> in 2019 supported the development </w:t>
      </w:r>
      <w:r w:rsidR="05EDFC27" w:rsidRPr="0C3CBE43">
        <w:rPr>
          <w:rFonts w:eastAsia="Calibri" w:cs="Calibri"/>
          <w:color w:val="000000" w:themeColor="text1"/>
        </w:rPr>
        <w:t xml:space="preserve">and implementation </w:t>
      </w:r>
      <w:r w:rsidR="364022EA" w:rsidRPr="0C3CBE43">
        <w:rPr>
          <w:rFonts w:eastAsia="Calibri" w:cs="Calibri"/>
          <w:color w:val="000000" w:themeColor="text1"/>
        </w:rPr>
        <w:t xml:space="preserve">of VSP’s Better Balance strategy, </w:t>
      </w:r>
      <w:r w:rsidR="1A65A387" w:rsidRPr="0C3CBE43">
        <w:rPr>
          <w:rFonts w:eastAsia="Calibri" w:cs="Calibri"/>
          <w:color w:val="000000" w:themeColor="text1"/>
        </w:rPr>
        <w:t xml:space="preserve">including reasonable accommodation costs to enable women’s participation. Both grants recognised </w:t>
      </w:r>
      <w:r w:rsidR="7610C4F4" w:rsidRPr="0C3CBE43">
        <w:rPr>
          <w:rFonts w:eastAsia="Calibri" w:cs="Calibri"/>
          <w:color w:val="000000" w:themeColor="text1"/>
        </w:rPr>
        <w:t xml:space="preserve">and strengthened VSP’s strong disability inclusion and gender equality efforts and outcomes. </w:t>
      </w:r>
    </w:p>
    <w:p w14:paraId="4A1C52DA" w14:textId="02153210" w:rsidR="4DCCECFF" w:rsidRDefault="4DCCECFF" w:rsidP="3B0D9F72">
      <w:r>
        <w:t>VSP’s inclusion team support</w:t>
      </w:r>
      <w:r w:rsidR="442BD88C">
        <w:t>s</w:t>
      </w:r>
      <w:r>
        <w:t xml:space="preserve"> colleagues across VSP’s sectors and p</w:t>
      </w:r>
      <w:r w:rsidR="41A16033">
        <w:t xml:space="preserve">rovinces </w:t>
      </w:r>
      <w:r>
        <w:t xml:space="preserve">to </w:t>
      </w:r>
      <w:r w:rsidR="15565333">
        <w:t>utilise</w:t>
      </w:r>
      <w:r>
        <w:t xml:space="preserve"> disability approaches, </w:t>
      </w:r>
      <w:proofErr w:type="gramStart"/>
      <w:r>
        <w:t>through the use of</w:t>
      </w:r>
      <w:proofErr w:type="gramEnd"/>
      <w:r>
        <w:t xml:space="preserve"> a toolkit. </w:t>
      </w:r>
      <w:r w:rsidR="128F7530">
        <w:t xml:space="preserve">VSP’s data collection tools and databases collect and disaggregate disability data, enabling reporting on participation of people with disabilities </w:t>
      </w:r>
      <w:r w:rsidR="0F33AFF5">
        <w:t>disaggregated</w:t>
      </w:r>
      <w:r w:rsidR="128F7530">
        <w:t xml:space="preserve"> by sex, province, age, sector and </w:t>
      </w:r>
      <w:r w:rsidR="5F44ECD9">
        <w:t xml:space="preserve">type of difficulty. </w:t>
      </w:r>
    </w:p>
    <w:p w14:paraId="58A39236" w14:textId="5A241B37" w:rsidR="12628C42" w:rsidRDefault="12628C42" w:rsidP="3B0D9F72">
      <w:r>
        <w:t>Further,</w:t>
      </w:r>
      <w:r w:rsidR="2E821A77">
        <w:t xml:space="preserve"> VSP has contributed to key structural reforms that increase opportunities for ni-Vanuatu with disabilit</w:t>
      </w:r>
      <w:r w:rsidR="5B8BE5B9">
        <w:t>ies</w:t>
      </w:r>
      <w:r w:rsidR="2E821A77">
        <w:t xml:space="preserve"> </w:t>
      </w:r>
      <w:r w:rsidR="00931F43">
        <w:t>in</w:t>
      </w:r>
      <w:r w:rsidR="2E821A77">
        <w:t xml:space="preserve"> the </w:t>
      </w:r>
      <w:r w:rsidR="4032859E">
        <w:t>skills system and</w:t>
      </w:r>
      <w:r w:rsidR="2249A557">
        <w:t xml:space="preserve"> enable decentralisation of services to people with disabilities across </w:t>
      </w:r>
      <w:r w:rsidR="00931F43">
        <w:t>all</w:t>
      </w:r>
      <w:r w:rsidR="2249A557">
        <w:t xml:space="preserve"> provinces. </w:t>
      </w:r>
      <w:r w:rsidR="28DF9ED3">
        <w:t>Through Skills Centres, VSP supports the incorporation of disability inclusion priorities into provincial plans, and several key informants consulted reporte</w:t>
      </w:r>
      <w:r w:rsidR="50DF0F9C">
        <w:t xml:space="preserve">d VSP </w:t>
      </w:r>
      <w:r w:rsidR="28DF9ED3">
        <w:t xml:space="preserve">is viewed as a leader in promoting </w:t>
      </w:r>
      <w:r w:rsidR="01EA7874">
        <w:t xml:space="preserve">decentralised </w:t>
      </w:r>
      <w:r w:rsidR="28DF9ED3">
        <w:t xml:space="preserve">disability inclusive practice. </w:t>
      </w:r>
      <w:r w:rsidR="2E821A77">
        <w:t xml:space="preserve">VSP </w:t>
      </w:r>
      <w:r w:rsidR="6473806D">
        <w:t>collaborated with</w:t>
      </w:r>
      <w:r w:rsidR="2E821A77">
        <w:t xml:space="preserve"> </w:t>
      </w:r>
      <w:proofErr w:type="spellStart"/>
      <w:r w:rsidR="2E821A77">
        <w:t>MoET</w:t>
      </w:r>
      <w:proofErr w:type="spellEnd"/>
      <w:r w:rsidR="2E821A77">
        <w:t xml:space="preserve"> to develop a first-ever </w:t>
      </w:r>
      <w:r w:rsidR="2E821A77" w:rsidRPr="00A44943">
        <w:rPr>
          <w:i/>
          <w:iCs/>
        </w:rPr>
        <w:t xml:space="preserve">TVET </w:t>
      </w:r>
      <w:r w:rsidR="00A64ECE" w:rsidRPr="00A44943">
        <w:rPr>
          <w:i/>
          <w:iCs/>
        </w:rPr>
        <w:t>S</w:t>
      </w:r>
      <w:r w:rsidR="2E821A77" w:rsidRPr="00A44943">
        <w:rPr>
          <w:i/>
          <w:iCs/>
        </w:rPr>
        <w:t xml:space="preserve">ector </w:t>
      </w:r>
      <w:r w:rsidR="00A64ECE" w:rsidRPr="00A44943">
        <w:rPr>
          <w:i/>
          <w:iCs/>
        </w:rPr>
        <w:t>I</w:t>
      </w:r>
      <w:r w:rsidR="2E821A77" w:rsidRPr="00A44943">
        <w:rPr>
          <w:i/>
          <w:iCs/>
        </w:rPr>
        <w:t xml:space="preserve">nclusion </w:t>
      </w:r>
      <w:r w:rsidR="00A64ECE" w:rsidRPr="00A44943">
        <w:rPr>
          <w:i/>
          <w:iCs/>
        </w:rPr>
        <w:t>P</w:t>
      </w:r>
      <w:r w:rsidR="2E821A77" w:rsidRPr="00A44943">
        <w:rPr>
          <w:i/>
          <w:iCs/>
        </w:rPr>
        <w:t>olicy</w:t>
      </w:r>
      <w:r w:rsidR="7F3D0ECA" w:rsidRPr="00A44943">
        <w:rPr>
          <w:i/>
          <w:iCs/>
        </w:rPr>
        <w:t xml:space="preserve"> (2016 – 2020)</w:t>
      </w:r>
      <w:r w:rsidR="7F3D0ECA">
        <w:t xml:space="preserve">, and a subsequent </w:t>
      </w:r>
      <w:r w:rsidR="7F3D0ECA" w:rsidRPr="00931F43">
        <w:rPr>
          <w:i/>
          <w:iCs/>
        </w:rPr>
        <w:t>Inclusive Education and Training Policy 2024 – 2030</w:t>
      </w:r>
      <w:r w:rsidR="7F3D0ECA">
        <w:t xml:space="preserve">, which brings Vanuatu’s </w:t>
      </w:r>
      <w:r w:rsidR="2BBFBD01">
        <w:t xml:space="preserve">policy </w:t>
      </w:r>
      <w:r w:rsidR="7F3D0ECA">
        <w:t>vision for inclusive education and skills together for the first time</w:t>
      </w:r>
      <w:r w:rsidR="2E821A77">
        <w:t xml:space="preserve">. </w:t>
      </w:r>
    </w:p>
    <w:p w14:paraId="046D2237" w14:textId="5B26589F" w:rsidR="35FEC782" w:rsidRDefault="69B08E33">
      <w:r>
        <w:t>VSP worked</w:t>
      </w:r>
      <w:r w:rsidR="112E381A">
        <w:t xml:space="preserve"> with the </w:t>
      </w:r>
      <w:r w:rsidR="6AE54BFC">
        <w:t xml:space="preserve">Vanuatu Bureau of Statistics </w:t>
      </w:r>
      <w:r w:rsidR="112E381A">
        <w:t>to assist with the</w:t>
      </w:r>
      <w:r w:rsidR="16EAF2DB">
        <w:t xml:space="preserve"> incorporation of international best </w:t>
      </w:r>
      <w:r w:rsidR="280191C8">
        <w:t>practice</w:t>
      </w:r>
      <w:r w:rsidR="16EAF2DB">
        <w:t xml:space="preserve"> disability </w:t>
      </w:r>
      <w:r w:rsidR="5CA8090C">
        <w:t>questions</w:t>
      </w:r>
      <w:r w:rsidR="16EAF2DB">
        <w:t xml:space="preserve"> into the census </w:t>
      </w:r>
      <w:r w:rsidR="722C3C19">
        <w:t>for</w:t>
      </w:r>
      <w:r w:rsidR="16EAF2DB">
        <w:t xml:space="preserve"> the first time. </w:t>
      </w:r>
      <w:r w:rsidR="7AC0EDC0">
        <w:t xml:space="preserve">In partnership with the </w:t>
      </w:r>
      <w:proofErr w:type="spellStart"/>
      <w:r w:rsidR="7AC0EDC0">
        <w:t>MoJCS</w:t>
      </w:r>
      <w:proofErr w:type="spellEnd"/>
      <w:r w:rsidR="7AC0EDC0">
        <w:t xml:space="preserve">, VSP resourced provincial disability officers in all provinces, using a staged approach to resourcing additional officers once </w:t>
      </w:r>
      <w:proofErr w:type="spellStart"/>
      <w:r w:rsidR="7AC0EDC0">
        <w:t>MoJCS</w:t>
      </w:r>
      <w:proofErr w:type="spellEnd"/>
      <w:r w:rsidR="7AC0EDC0">
        <w:t xml:space="preserve"> and the </w:t>
      </w:r>
      <w:r w:rsidR="009D3A48">
        <w:t xml:space="preserve">Public Service Commission </w:t>
      </w:r>
      <w:r w:rsidR="7AC0EDC0">
        <w:t xml:space="preserve">had taken </w:t>
      </w:r>
      <w:r w:rsidR="46436202">
        <w:t xml:space="preserve">on </w:t>
      </w:r>
      <w:r w:rsidR="7AC0EDC0">
        <w:t>funding for previousl</w:t>
      </w:r>
      <w:r w:rsidR="25F9BF48">
        <w:t xml:space="preserve">y </w:t>
      </w:r>
      <w:r w:rsidR="72AADE03">
        <w:t xml:space="preserve">VSP-supported </w:t>
      </w:r>
      <w:r w:rsidR="25F9BF48">
        <w:t xml:space="preserve">positions. As a result, there are now disability officers in all provinces for the first time, connecting people with disabilities </w:t>
      </w:r>
      <w:r w:rsidR="0E932E6E">
        <w:t xml:space="preserve">across Vanuatu </w:t>
      </w:r>
      <w:r w:rsidR="25F9BF48">
        <w:t xml:space="preserve">with government and non-government service delivery. </w:t>
      </w:r>
      <w:r w:rsidR="4F047510">
        <w:t xml:space="preserve">VSP supported expansion of VSPD services beyond Port Vila – VSPD now has offices and delivers </w:t>
      </w:r>
      <w:r w:rsidR="57BD0457">
        <w:t xml:space="preserve">mobility device services </w:t>
      </w:r>
      <w:r w:rsidR="4F047510">
        <w:t xml:space="preserve">in </w:t>
      </w:r>
      <w:proofErr w:type="spellStart"/>
      <w:r w:rsidR="4F047510">
        <w:t>Sanma</w:t>
      </w:r>
      <w:proofErr w:type="spellEnd"/>
      <w:r w:rsidR="17966496">
        <w:t xml:space="preserve"> </w:t>
      </w:r>
      <w:r w:rsidR="4F047510">
        <w:t xml:space="preserve">and </w:t>
      </w:r>
      <w:proofErr w:type="spellStart"/>
      <w:r w:rsidR="4F047510">
        <w:t>Tafea</w:t>
      </w:r>
      <w:proofErr w:type="spellEnd"/>
      <w:r w:rsidR="4F047510">
        <w:t xml:space="preserve"> provinces. VSP also partners with </w:t>
      </w:r>
      <w:r w:rsidR="467FEA49">
        <w:t>VDPA</w:t>
      </w:r>
      <w:r w:rsidR="4F047510">
        <w:t xml:space="preserve">, </w:t>
      </w:r>
      <w:r w:rsidR="038FED5C">
        <w:t>which</w:t>
      </w:r>
      <w:r w:rsidR="00AA7203">
        <w:t xml:space="preserve"> </w:t>
      </w:r>
      <w:r w:rsidR="4F047510">
        <w:t>work</w:t>
      </w:r>
      <w:r w:rsidR="038FED5C">
        <w:t>s</w:t>
      </w:r>
      <w:r w:rsidR="4F047510">
        <w:t xml:space="preserve"> </w:t>
      </w:r>
      <w:r w:rsidR="2629B7CA">
        <w:t>with</w:t>
      </w:r>
      <w:r w:rsidR="4F047510">
        <w:t xml:space="preserve"> VSP to reach out </w:t>
      </w:r>
      <w:r w:rsidR="11D36216">
        <w:t xml:space="preserve">to people with disabilities in remote location, </w:t>
      </w:r>
      <w:r w:rsidR="6E3B2043">
        <w:t>establishing</w:t>
      </w:r>
      <w:r w:rsidR="11D36216">
        <w:t xml:space="preserve"> Organisations of </w:t>
      </w:r>
      <w:r w:rsidR="510C1FAB">
        <w:t>Persons</w:t>
      </w:r>
      <w:r w:rsidR="11D36216">
        <w:t xml:space="preserve"> with Disabilities, and connect</w:t>
      </w:r>
      <w:r w:rsidR="681C3A86">
        <w:t>ing</w:t>
      </w:r>
      <w:r w:rsidR="11D36216">
        <w:t xml:space="preserve"> people with </w:t>
      </w:r>
      <w:r w:rsidR="2DEF3D19">
        <w:t>disabilities</w:t>
      </w:r>
      <w:r w:rsidR="11D36216">
        <w:t xml:space="preserve"> to services including Skills Centres. </w:t>
      </w:r>
      <w:r w:rsidR="112E381A">
        <w:t xml:space="preserve">  </w:t>
      </w:r>
    </w:p>
    <w:p w14:paraId="556147AE" w14:textId="6922B9E7" w:rsidR="77E6745E" w:rsidRDefault="77E6745E" w:rsidP="3B0D9F72">
      <w:r>
        <w:t xml:space="preserve">VSP has also reported strong results in gender equality and women’s empowerment. VSP’s work in this area is guided by its Better Balance </w:t>
      </w:r>
      <w:r w:rsidR="00814BE6">
        <w:t>S</w:t>
      </w:r>
      <w:r>
        <w:t>trategy. The use of “</w:t>
      </w:r>
      <w:r w:rsidR="00814BE6">
        <w:t>b</w:t>
      </w:r>
      <w:r>
        <w:t xml:space="preserve">etter </w:t>
      </w:r>
      <w:r w:rsidR="00814BE6">
        <w:t>b</w:t>
      </w:r>
      <w:r>
        <w:t xml:space="preserve">alance” </w:t>
      </w:r>
      <w:r w:rsidR="57DDCCE0">
        <w:t>rather</w:t>
      </w:r>
      <w:r>
        <w:t xml:space="preserve"> than “gender equality” t</w:t>
      </w:r>
      <w:r w:rsidR="796FB758">
        <w:t>erminology r</w:t>
      </w:r>
      <w:r w:rsidR="2842A0B6">
        <w:t xml:space="preserve">esponds to local </w:t>
      </w:r>
      <w:r w:rsidR="58763D81">
        <w:t>understanding</w:t>
      </w:r>
      <w:r w:rsidR="1C89AD09">
        <w:t xml:space="preserve">s, </w:t>
      </w:r>
      <w:r w:rsidR="58763D81">
        <w:t xml:space="preserve">norms and attitudes regarding gender equality as </w:t>
      </w:r>
      <w:r w:rsidR="00AA7203">
        <w:t xml:space="preserve">a </w:t>
      </w:r>
      <w:r w:rsidR="41C9B495">
        <w:t xml:space="preserve">foreign or imported </w:t>
      </w:r>
      <w:r w:rsidR="2F41F369">
        <w:t>concept</w:t>
      </w:r>
      <w:r w:rsidR="00AA7203">
        <w:t xml:space="preserve"> and practice, and solely an issue concerning women</w:t>
      </w:r>
      <w:r w:rsidR="702EA8A9">
        <w:t>. These understandings can result in disengagement and even backlash from power holders</w:t>
      </w:r>
      <w:r w:rsidR="00AA7203">
        <w:t>.</w:t>
      </w:r>
      <w:r w:rsidR="702EA8A9">
        <w:t xml:space="preserve"> </w:t>
      </w:r>
      <w:r w:rsidR="00AA7203">
        <w:t>A</w:t>
      </w:r>
      <w:r w:rsidR="702EA8A9">
        <w:t>s such, VSP</w:t>
      </w:r>
      <w:r w:rsidR="43198763">
        <w:t xml:space="preserve"> re</w:t>
      </w:r>
      <w:r w:rsidR="00AA7203">
        <w:t xml:space="preserve">frames </w:t>
      </w:r>
      <w:r w:rsidR="43198763">
        <w:t xml:space="preserve">gender equality approaches as seeking to achieve </w:t>
      </w:r>
      <w:r w:rsidR="1BA64A8E">
        <w:t>gender equality objectives by working together with both women and men.</w:t>
      </w:r>
      <w:r w:rsidR="58763D81">
        <w:t xml:space="preserve"> </w:t>
      </w:r>
      <w:r w:rsidR="7222A57D">
        <w:t xml:space="preserve">VSP partners with the Department of Women’s Affairs and DFAT’s Balance of Power program to progress </w:t>
      </w:r>
      <w:r w:rsidR="2E21A71C">
        <w:t>VSP’s Better Balance Strategy fo</w:t>
      </w:r>
      <w:r w:rsidR="36835A26">
        <w:t xml:space="preserve">cus areas: </w:t>
      </w:r>
      <w:r w:rsidR="2E21A71C">
        <w:t xml:space="preserve">Women’s Economic Empowerment, Women in Leadership, and Ending Violence Against Women. </w:t>
      </w:r>
    </w:p>
    <w:p w14:paraId="1C9942EB" w14:textId="5C65C529" w:rsidR="1E3E7D4F" w:rsidRDefault="1E3E7D4F" w:rsidP="3B0D9F72">
      <w:r>
        <w:t xml:space="preserve">Skills sector </w:t>
      </w:r>
      <w:r w:rsidR="4B1B319E">
        <w:t>participation rates</w:t>
      </w:r>
      <w:r w:rsidR="77E6745E">
        <w:t xml:space="preserve"> largely reflect the high number of female participants in Creative Industries (a sector that traditionally engages women</w:t>
      </w:r>
      <w:r w:rsidR="4DE448A2">
        <w:t>) but</w:t>
      </w:r>
      <w:r w:rsidR="77E6745E">
        <w:t xml:space="preserve"> also reflect </w:t>
      </w:r>
      <w:r w:rsidR="0439FEE2">
        <w:t xml:space="preserve">efforts to </w:t>
      </w:r>
      <w:r w:rsidR="77E6745E">
        <w:t xml:space="preserve">increase the proportion of female participants in the agribusiness </w:t>
      </w:r>
      <w:r w:rsidR="67559A49">
        <w:t xml:space="preserve">and construction </w:t>
      </w:r>
      <w:r w:rsidR="77E6745E">
        <w:t>sector</w:t>
      </w:r>
      <w:r w:rsidR="28A4246F">
        <w:t>s</w:t>
      </w:r>
      <w:r w:rsidR="77E6745E">
        <w:t xml:space="preserve">. </w:t>
      </w:r>
      <w:r w:rsidR="544DD344">
        <w:t>S</w:t>
      </w:r>
      <w:r w:rsidR="77E6745E">
        <w:t xml:space="preserve">everal female VSP staff </w:t>
      </w:r>
      <w:r w:rsidR="624351AB">
        <w:t>note</w:t>
      </w:r>
      <w:r w:rsidR="77E6745E">
        <w:t xml:space="preserve"> that women </w:t>
      </w:r>
      <w:r w:rsidR="161E1072">
        <w:t xml:space="preserve">are </w:t>
      </w:r>
      <w:r w:rsidR="77E6745E">
        <w:t xml:space="preserve">provided with opportunities to grow and encouraged to take on leadership positions within VSP itself. </w:t>
      </w:r>
      <w:r w:rsidR="00EA6128">
        <w:t xml:space="preserve">As the MTR stated: </w:t>
      </w:r>
      <w:r w:rsidR="00EA6128" w:rsidRPr="00EA6128">
        <w:rPr>
          <w:i/>
          <w:iCs/>
        </w:rPr>
        <w:t>“</w:t>
      </w:r>
      <w:r w:rsidR="77E6745E" w:rsidRPr="00EA6128">
        <w:rPr>
          <w:i/>
          <w:iCs/>
        </w:rPr>
        <w:t>Women are encouraged to thrive and to seek support if they need it... within VSP there is room for women to grow as leaders</w:t>
      </w:r>
      <w:r w:rsidR="00EA6128" w:rsidRPr="00EA6128">
        <w:rPr>
          <w:i/>
          <w:iCs/>
        </w:rPr>
        <w:t>”</w:t>
      </w:r>
      <w:r w:rsidR="33372E42" w:rsidRPr="00EA6128">
        <w:rPr>
          <w:i/>
          <w:iCs/>
        </w:rPr>
        <w:t>.</w:t>
      </w:r>
      <w:r w:rsidR="33372E42">
        <w:t xml:space="preserve"> </w:t>
      </w:r>
    </w:p>
    <w:p w14:paraId="04FE80A3" w14:textId="2E2AB858" w:rsidR="00C47B7E" w:rsidRDefault="30D78304" w:rsidP="3B0D9F72">
      <w:pPr>
        <w:pStyle w:val="ListParagraph"/>
        <w:numPr>
          <w:ilvl w:val="0"/>
          <w:numId w:val="22"/>
        </w:numPr>
        <w:rPr>
          <w:b/>
          <w:bCs/>
        </w:rPr>
      </w:pPr>
      <w:r w:rsidRPr="3B0D9F72">
        <w:rPr>
          <w:b/>
          <w:bCs/>
        </w:rPr>
        <w:t>The r</w:t>
      </w:r>
      <w:r w:rsidR="00C47B7E" w:rsidRPr="3B0D9F72">
        <w:rPr>
          <w:b/>
          <w:bCs/>
        </w:rPr>
        <w:t xml:space="preserve">ole of DFAT post has been instrumental over time </w:t>
      </w:r>
    </w:p>
    <w:p w14:paraId="3C6E269D" w14:textId="30C55583" w:rsidR="008400DC" w:rsidRPr="005830D4" w:rsidRDefault="659AAE7E" w:rsidP="00F761A4">
      <w:pPr>
        <w:rPr>
          <w:rFonts w:eastAsia="Calibri" w:cs="Calibri"/>
        </w:rPr>
      </w:pPr>
      <w:r>
        <w:t>The VSP evaluation (2021) notes that DFAT/</w:t>
      </w:r>
      <w:r w:rsidR="1AAB2E01">
        <w:t>Post</w:t>
      </w:r>
      <w:r>
        <w:t xml:space="preserve"> has played an important role in allowing local VSP </w:t>
      </w:r>
      <w:r w:rsidR="78EDB102">
        <w:t xml:space="preserve">leadership and </w:t>
      </w:r>
      <w:r>
        <w:t xml:space="preserve">staff to drive its strategic agenda. </w:t>
      </w:r>
      <w:r w:rsidR="5810D244">
        <w:t>It notes that a key success factor is also the continued aut</w:t>
      </w:r>
      <w:r w:rsidR="0AC1949E">
        <w:t>h</w:t>
      </w:r>
      <w:r w:rsidR="5810D244">
        <w:t xml:space="preserve">orising environment which DFAT/Post has maintained for the program, which has made it possible for it to be responsive to evolving contextual priorities. Specifically: </w:t>
      </w:r>
      <w:r w:rsidR="6FD4B8DD">
        <w:t>“</w:t>
      </w:r>
      <w:r w:rsidR="6FD4B8DD" w:rsidRPr="2D65516E">
        <w:rPr>
          <w:i/>
          <w:iCs/>
        </w:rPr>
        <w:t>The mandate and trust granted to VSP by DFAT over many years has been a key factor in enabling the Partnership to think and work politically, align to Vanuatu’s interest, and be effective in achieving systemic change.</w:t>
      </w:r>
      <w:r w:rsidR="6FD4B8DD">
        <w:t>”</w:t>
      </w:r>
      <w:r w:rsidR="00AF585A">
        <w:rPr>
          <w:rStyle w:val="FootnoteReference"/>
        </w:rPr>
        <w:footnoteReference w:id="46"/>
      </w:r>
      <w:r w:rsidR="6FD4B8DD">
        <w:t xml:space="preserve"> </w:t>
      </w:r>
      <w:r w:rsidR="6E911CD3">
        <w:t xml:space="preserve"> This was echoed by key interlocutors during review consultations, pointing to the important role Post plays in ongoing success. </w:t>
      </w:r>
      <w:r w:rsidR="581C9055" w:rsidRPr="0C3CBE43">
        <w:rPr>
          <w:rFonts w:eastAsia="Calibri" w:cs="Calibri"/>
        </w:rPr>
        <w:t>T</w:t>
      </w:r>
      <w:r w:rsidR="0C3CBE43" w:rsidRPr="0C3CBE43">
        <w:rPr>
          <w:rFonts w:eastAsia="Calibri" w:cs="Calibri"/>
        </w:rPr>
        <w:t xml:space="preserve">he design team was struck by the intensive effort which </w:t>
      </w:r>
      <w:proofErr w:type="gramStart"/>
      <w:r w:rsidR="0C3CBE43" w:rsidRPr="0C3CBE43">
        <w:rPr>
          <w:rFonts w:eastAsia="Calibri" w:cs="Calibri"/>
        </w:rPr>
        <w:t>Post</w:t>
      </w:r>
      <w:proofErr w:type="gramEnd"/>
      <w:r w:rsidR="0C3CBE43" w:rsidRPr="0C3CBE43">
        <w:rPr>
          <w:rFonts w:eastAsia="Calibri" w:cs="Calibri"/>
        </w:rPr>
        <w:t xml:space="preserve"> and the Strategic Adviser had to provide, over several years, to ensure the shift from ‘MC’ to support contractor was achieved. </w:t>
      </w:r>
      <w:r w:rsidR="1650BE67" w:rsidRPr="0C3CBE43">
        <w:rPr>
          <w:rFonts w:eastAsia="Calibri" w:cs="Calibri"/>
        </w:rPr>
        <w:t xml:space="preserve">The importance of this has been instrumental. </w:t>
      </w:r>
      <w:r w:rsidR="136613D1">
        <w:t>The DFAT contribution is not only in enabling VSP to function in the context of the Australian development program</w:t>
      </w:r>
      <w:r w:rsidR="2CDCCADD">
        <w:t xml:space="preserve">. Crucially, Post has assisted with the program’s strategic engagement, especially at critical points. It has done this without micromanaging, and the evaluation concludes that </w:t>
      </w:r>
      <w:r w:rsidR="60B7C165">
        <w:t xml:space="preserve">this contribution by DFAT </w:t>
      </w:r>
      <w:r w:rsidR="60B7C165" w:rsidRPr="2D65516E">
        <w:rPr>
          <w:i/>
          <w:iCs/>
        </w:rPr>
        <w:t>“should not be underestimated.”</w:t>
      </w:r>
      <w:r w:rsidR="008771E9" w:rsidRPr="2D65516E">
        <w:rPr>
          <w:rStyle w:val="FootnoteReference"/>
          <w:i/>
          <w:iCs/>
        </w:rPr>
        <w:footnoteReference w:id="47"/>
      </w:r>
      <w:r w:rsidR="60B7C165">
        <w:t>.</w:t>
      </w:r>
    </w:p>
    <w:p w14:paraId="037C7EEC" w14:textId="69CD3A50" w:rsidR="009803A7" w:rsidRDefault="009803A7" w:rsidP="00A377E4">
      <w:pPr>
        <w:pStyle w:val="Heading3"/>
      </w:pPr>
      <w:r w:rsidRPr="00A377E4">
        <w:t>Issues</w:t>
      </w:r>
      <w:r>
        <w:t xml:space="preserve"> </w:t>
      </w:r>
    </w:p>
    <w:p w14:paraId="29F556D5" w14:textId="1242A2C8" w:rsidR="009803A7" w:rsidRDefault="5D48DF05" w:rsidP="3B0D9F72">
      <w:r>
        <w:t xml:space="preserve">While documentation and consultations confirm that VSP has been characterised by strong success, especially in recent years, this success has come with some challenges. </w:t>
      </w:r>
    </w:p>
    <w:p w14:paraId="7651A46C" w14:textId="2AB5D5BB" w:rsidR="009803A7" w:rsidRDefault="009803A7" w:rsidP="3B0D9F72">
      <w:pPr>
        <w:pStyle w:val="ListParagraph"/>
        <w:numPr>
          <w:ilvl w:val="0"/>
          <w:numId w:val="9"/>
        </w:numPr>
        <w:rPr>
          <w:b/>
          <w:bCs/>
        </w:rPr>
      </w:pPr>
      <w:r w:rsidRPr="2D65516E">
        <w:rPr>
          <w:b/>
          <w:bCs/>
        </w:rPr>
        <w:t xml:space="preserve">Navigating the relationship with </w:t>
      </w:r>
      <w:proofErr w:type="spellStart"/>
      <w:r w:rsidRPr="2D65516E">
        <w:rPr>
          <w:b/>
          <w:bCs/>
        </w:rPr>
        <w:t>MoET</w:t>
      </w:r>
      <w:proofErr w:type="spellEnd"/>
      <w:r w:rsidRPr="2D65516E">
        <w:rPr>
          <w:b/>
          <w:bCs/>
        </w:rPr>
        <w:t xml:space="preserve">, including </w:t>
      </w:r>
      <w:proofErr w:type="spellStart"/>
      <w:r w:rsidRPr="2D65516E">
        <w:rPr>
          <w:b/>
          <w:bCs/>
        </w:rPr>
        <w:t>GoV</w:t>
      </w:r>
      <w:proofErr w:type="spellEnd"/>
      <w:r w:rsidRPr="2D65516E">
        <w:rPr>
          <w:b/>
          <w:bCs/>
        </w:rPr>
        <w:t xml:space="preserve"> leadership on skills development, </w:t>
      </w:r>
      <w:r w:rsidR="002F1C23">
        <w:rPr>
          <w:b/>
          <w:bCs/>
        </w:rPr>
        <w:t>is an ongoing challenge</w:t>
      </w:r>
    </w:p>
    <w:p w14:paraId="4A6A3FB7" w14:textId="40D1F6F8" w:rsidR="008771E9" w:rsidRDefault="05867562" w:rsidP="00F761A4">
      <w:r>
        <w:t xml:space="preserve">Instability and changes within </w:t>
      </w:r>
      <w:proofErr w:type="spellStart"/>
      <w:r>
        <w:t>MoET</w:t>
      </w:r>
      <w:proofErr w:type="spellEnd"/>
      <w:r>
        <w:t xml:space="preserve"> have </w:t>
      </w:r>
      <w:r w:rsidR="02CA91EF">
        <w:t>created some challenges</w:t>
      </w:r>
      <w:r>
        <w:t xml:space="preserve"> for VSP </w:t>
      </w:r>
      <w:r w:rsidR="75DF19A3">
        <w:t>in</w:t>
      </w:r>
      <w:r w:rsidR="0030BA5C">
        <w:t xml:space="preserve"> </w:t>
      </w:r>
      <w:r>
        <w:t>navigat</w:t>
      </w:r>
      <w:r w:rsidR="479656A7">
        <w:t>ing</w:t>
      </w:r>
      <w:r>
        <w:t xml:space="preserve"> </w:t>
      </w:r>
      <w:r w:rsidR="2FF47ABC">
        <w:t xml:space="preserve">this key </w:t>
      </w:r>
      <w:r>
        <w:t xml:space="preserve">relationship, with </w:t>
      </w:r>
      <w:r w:rsidR="7F133CE3">
        <w:t>leadership changes, gaps in other key personnel appointments, and inactive Provincial Training Boards contributing further instability. T</w:t>
      </w:r>
      <w:r>
        <w:t>he program’s close partnerships wi</w:t>
      </w:r>
      <w:r w:rsidR="20CA4191">
        <w:t xml:space="preserve">th other parts of </w:t>
      </w:r>
      <w:proofErr w:type="spellStart"/>
      <w:r w:rsidR="20CA4191">
        <w:t>GoV</w:t>
      </w:r>
      <w:proofErr w:type="spellEnd"/>
      <w:r w:rsidR="07DBE460">
        <w:t>,</w:t>
      </w:r>
      <w:r w:rsidR="20CA4191">
        <w:t xml:space="preserve"> and at the provincial level</w:t>
      </w:r>
      <w:r w:rsidR="172479AF">
        <w:t>, create a complex web of relationships, which require time and effort to manage well</w:t>
      </w:r>
      <w:r>
        <w:t xml:space="preserve">. </w:t>
      </w:r>
    </w:p>
    <w:p w14:paraId="1B6076A7" w14:textId="79E24636" w:rsidR="5F6DCA69" w:rsidRDefault="5F6DCA69" w:rsidP="00F761A4">
      <w:r>
        <w:t xml:space="preserve">A key achievement of VSP was the integration of the Provincial Skills Centres into the provincial structures, with some Skills Centre personnel employed as public servants with salaries partly covered through government budgets. However, the remainder of the program team works outside government offices (unlike some VAESP personnel) and there are small pockets of </w:t>
      </w:r>
      <w:proofErr w:type="spellStart"/>
      <w:r>
        <w:t>MoET</w:t>
      </w:r>
      <w:proofErr w:type="spellEnd"/>
      <w:r>
        <w:t xml:space="preserve"> which described this as ‘less integrated’. Any perception of a program being isolated from government partners and key stakeholders is </w:t>
      </w:r>
      <w:r w:rsidR="3944A1E7">
        <w:t>not</w:t>
      </w:r>
      <w:r>
        <w:t xml:space="preserve"> ideal, but other evidence (including the 2021 evaluation) suggests that there is broadly a good degree of ownership of VSP within </w:t>
      </w:r>
      <w:proofErr w:type="spellStart"/>
      <w:r>
        <w:t>GoV</w:t>
      </w:r>
      <w:proofErr w:type="spellEnd"/>
      <w:r>
        <w:t xml:space="preserve"> and high regard for the way it operates.</w:t>
      </w:r>
    </w:p>
    <w:p w14:paraId="6D1FCD3E" w14:textId="53166BDD" w:rsidR="7C73236A" w:rsidRDefault="7C73236A" w:rsidP="3B0D9F72">
      <w:pPr>
        <w:pStyle w:val="ListParagraph"/>
        <w:numPr>
          <w:ilvl w:val="0"/>
          <w:numId w:val="9"/>
        </w:numPr>
        <w:spacing w:line="240" w:lineRule="auto"/>
        <w:rPr>
          <w:b/>
          <w:bCs/>
        </w:rPr>
      </w:pPr>
      <w:r w:rsidRPr="3B0D9F72">
        <w:rPr>
          <w:b/>
          <w:bCs/>
        </w:rPr>
        <w:t xml:space="preserve">Scaling up and high demand from diverse stakeholders due to strong VSP reputation and </w:t>
      </w:r>
      <w:r w:rsidR="66FAD6C9" w:rsidRPr="3B0D9F72">
        <w:rPr>
          <w:b/>
          <w:bCs/>
        </w:rPr>
        <w:t xml:space="preserve">relationships </w:t>
      </w:r>
      <w:r w:rsidRPr="3B0D9F72">
        <w:rPr>
          <w:b/>
          <w:bCs/>
        </w:rPr>
        <w:t xml:space="preserve">is stretching existing staff and program resources </w:t>
      </w:r>
    </w:p>
    <w:p w14:paraId="001B4E05" w14:textId="3B7F14C2" w:rsidR="7C73236A" w:rsidRDefault="7C1A6CBC" w:rsidP="3B0D9F72">
      <w:r>
        <w:t>The 2021 VSP evaluation identified “t</w:t>
      </w:r>
      <w:r w:rsidRPr="2D65516E">
        <w:rPr>
          <w:i/>
          <w:iCs/>
        </w:rPr>
        <w:t>here is a risk that if VSP’s mandate continues to grow and the breadth of activities it is delivering further increases, that its human resources capacity will be stretched too thinly</w:t>
      </w:r>
      <w:r>
        <w:t>”</w:t>
      </w:r>
      <w:r w:rsidR="7C73236A" w:rsidRPr="3326E6A4">
        <w:rPr>
          <w:rStyle w:val="FootnoteReference"/>
        </w:rPr>
        <w:footnoteReference w:id="48"/>
      </w:r>
      <w:r>
        <w:t xml:space="preserve"> </w:t>
      </w:r>
      <w:r w:rsidR="2EA9A7C3">
        <w:t>.</w:t>
      </w:r>
      <w:r w:rsidR="7338118B">
        <w:t xml:space="preserve"> </w:t>
      </w:r>
      <w:r>
        <w:t xml:space="preserve">Consultations confirmed that VSP’s reputation as a reliable and respectful delivery partner make it a partner of choice for stakeholders from the community level to the provinces, and amongst national partners. </w:t>
      </w:r>
      <w:r w:rsidR="445FA54F">
        <w:t xml:space="preserve">This is stretching demand well beyond a conventional skills and productive sector program, </w:t>
      </w:r>
      <w:r w:rsidR="3D961B13">
        <w:t xml:space="preserve">into areas such as developmental leadership training (in partnership with the Balance of Power program) and planning, budgeting and monitoring systems (based on the system used within VSP). </w:t>
      </w:r>
    </w:p>
    <w:p w14:paraId="50868E06" w14:textId="7DBEB0F1" w:rsidR="7C73236A" w:rsidRDefault="7C73236A" w:rsidP="3B0D9F72">
      <w:r>
        <w:t xml:space="preserve">While </w:t>
      </w:r>
      <w:r w:rsidR="5BD8895F">
        <w:t>the</w:t>
      </w:r>
      <w:r w:rsidR="0F4C4FD7">
        <w:t xml:space="preserve"> </w:t>
      </w:r>
      <w:r>
        <w:t xml:space="preserve">quality systems team has made efforts to establish processes to support decision-making regarding how VSP responds to demand, these can be tricky to navigate given VSP’s broad remit, </w:t>
      </w:r>
      <w:r w:rsidR="7D9808F8">
        <w:t xml:space="preserve">wide networks and relationships, </w:t>
      </w:r>
      <w:r>
        <w:t>and</w:t>
      </w:r>
      <w:r w:rsidR="169E84E9">
        <w:t xml:space="preserve"> the program</w:t>
      </w:r>
      <w:r>
        <w:t xml:space="preserve"> culture of welcoming partnership. As a result, the risk identified in 2021 persists.</w:t>
      </w:r>
    </w:p>
    <w:p w14:paraId="706C35A3" w14:textId="235EB873" w:rsidR="009803A7" w:rsidRDefault="0B2E8752" w:rsidP="3B0D9F72">
      <w:pPr>
        <w:pStyle w:val="ListParagraph"/>
        <w:numPr>
          <w:ilvl w:val="0"/>
          <w:numId w:val="9"/>
        </w:numPr>
        <w:rPr>
          <w:b/>
          <w:bCs/>
        </w:rPr>
      </w:pPr>
      <w:r w:rsidRPr="3B0D9F72">
        <w:rPr>
          <w:b/>
          <w:bCs/>
        </w:rPr>
        <w:t>R</w:t>
      </w:r>
      <w:r w:rsidR="009803A7" w:rsidRPr="3B0D9F72">
        <w:rPr>
          <w:b/>
          <w:bCs/>
        </w:rPr>
        <w:t>eliance on key individuals in the program team and support contractor</w:t>
      </w:r>
    </w:p>
    <w:p w14:paraId="3B8EA6FB" w14:textId="70F93038" w:rsidR="46287817" w:rsidRDefault="46287817" w:rsidP="00F761A4">
      <w:r>
        <w:t xml:space="preserve">As noted above, </w:t>
      </w:r>
      <w:r w:rsidR="53F30015">
        <w:t>a</w:t>
      </w:r>
      <w:r>
        <w:t xml:space="preserve"> core strength of VSP is the individual men and women who comprise the </w:t>
      </w:r>
      <w:r w:rsidR="64C1B981">
        <w:t xml:space="preserve">management and </w:t>
      </w:r>
      <w:r>
        <w:t>implementing teams and the Support Hub. The Director, the rest of the SMT, and many key other staff, are all instrumental</w:t>
      </w:r>
      <w:r w:rsidR="38267E7E">
        <w:t xml:space="preserve"> in achieving outcomes for Vanuatu and</w:t>
      </w:r>
      <w:r>
        <w:t xml:space="preserve"> in making the support contractor model</w:t>
      </w:r>
      <w:r w:rsidR="7F191C76">
        <w:t xml:space="preserve"> the success that it is. This is, however, a significant risk. </w:t>
      </w:r>
      <w:r w:rsidR="7690F02C">
        <w:t>As articulated earlier, t</w:t>
      </w:r>
      <w:r w:rsidR="797E40F6">
        <w:t>he continually increas</w:t>
      </w:r>
      <w:r w:rsidR="06E7F124">
        <w:t>ing</w:t>
      </w:r>
      <w:r w:rsidR="797E40F6">
        <w:t xml:space="preserve"> demand for VSP support from partners places ever-growing demand on s</w:t>
      </w:r>
      <w:r w:rsidR="11926394">
        <w:t xml:space="preserve">ome staff. </w:t>
      </w:r>
      <w:r w:rsidR="7F191C76">
        <w:t xml:space="preserve">The program relies on these individuals who </w:t>
      </w:r>
      <w:r w:rsidR="617DA460">
        <w:t xml:space="preserve">would </w:t>
      </w:r>
      <w:r w:rsidR="7F191C76">
        <w:t xml:space="preserve">not necessarily </w:t>
      </w:r>
      <w:r w:rsidR="217CA95A">
        <w:t xml:space="preserve">be </w:t>
      </w:r>
      <w:r w:rsidR="7F191C76">
        <w:t xml:space="preserve">easy to replace, so if they were to be lost to VSP, there is a genuine risk that progress could stall or be derailed. </w:t>
      </w:r>
    </w:p>
    <w:p w14:paraId="1CD006A9" w14:textId="71CC5D18" w:rsidR="5A1F064C" w:rsidRDefault="5A1F064C" w:rsidP="3B0D9F72">
      <w:pPr>
        <w:pStyle w:val="ListParagraph"/>
        <w:numPr>
          <w:ilvl w:val="0"/>
          <w:numId w:val="9"/>
        </w:numPr>
        <w:spacing w:line="240" w:lineRule="auto"/>
        <w:rPr>
          <w:b/>
          <w:bCs/>
        </w:rPr>
      </w:pPr>
      <w:r w:rsidRPr="3B0D9F72">
        <w:rPr>
          <w:b/>
          <w:bCs/>
        </w:rPr>
        <w:t xml:space="preserve">DFAT resourcing </w:t>
      </w:r>
      <w:r w:rsidR="794FD71A" w:rsidRPr="3B0D9F72">
        <w:rPr>
          <w:b/>
          <w:bCs/>
        </w:rPr>
        <w:t>is not always sufficient, particularly in the face of high competing workloads</w:t>
      </w:r>
    </w:p>
    <w:p w14:paraId="321D9360" w14:textId="296A96BA" w:rsidR="00F15637" w:rsidRDefault="7FFBE987" w:rsidP="005B7138">
      <w:r>
        <w:t xml:space="preserve">DFAT’s role in the success of VSP is noteworthy, </w:t>
      </w:r>
      <w:r w:rsidR="2142B103">
        <w:t xml:space="preserve">as discussed in section </w:t>
      </w:r>
      <w:r w:rsidR="1C93A943">
        <w:t>3.2.1 (h),</w:t>
      </w:r>
      <w:r w:rsidR="2142B103">
        <w:t xml:space="preserve"> above. This, however,</w:t>
      </w:r>
      <w:r w:rsidR="5E969179">
        <w:t xml:space="preserve"> creates</w:t>
      </w:r>
      <w:r>
        <w:t xml:space="preserve"> the risk that </w:t>
      </w:r>
      <w:r w:rsidR="582941D6">
        <w:t>insufficient or inconsistent</w:t>
      </w:r>
      <w:r>
        <w:t xml:space="preserve"> DFAT resourcing </w:t>
      </w:r>
      <w:r w:rsidR="157B7964">
        <w:t>could undermin</w:t>
      </w:r>
      <w:r>
        <w:t xml:space="preserve">e </w:t>
      </w:r>
      <w:r w:rsidR="796511AE">
        <w:t xml:space="preserve">ongoing </w:t>
      </w:r>
      <w:r>
        <w:t>success in the future. The</w:t>
      </w:r>
      <w:r w:rsidR="6CDDD449">
        <w:t xml:space="preserve"> local leadership and support contractor model is not usual </w:t>
      </w:r>
      <w:r w:rsidR="74E4B8C5">
        <w:t>for DFAT investments</w:t>
      </w:r>
      <w:r w:rsidR="24BA453C">
        <w:t>,</w:t>
      </w:r>
      <w:r w:rsidR="74E4B8C5">
        <w:t xml:space="preserve"> so it is not necessarily well-supported by </w:t>
      </w:r>
      <w:r w:rsidR="03B4DE01">
        <w:t xml:space="preserve">business-as-usual </w:t>
      </w:r>
      <w:r w:rsidR="74E4B8C5">
        <w:t xml:space="preserve">systems and </w:t>
      </w:r>
      <w:r w:rsidR="18267792">
        <w:t xml:space="preserve">routine </w:t>
      </w:r>
      <w:r w:rsidR="74E4B8C5">
        <w:t xml:space="preserve">processes. </w:t>
      </w:r>
      <w:r w:rsidR="6CDDD449">
        <w:t xml:space="preserve">and requires deep and strategic engagement and support from </w:t>
      </w:r>
      <w:r w:rsidR="452490CD">
        <w:t>Post</w:t>
      </w:r>
      <w:r w:rsidR="6CDDD449">
        <w:t xml:space="preserve">, while staff there have heavy and competing workloads and </w:t>
      </w:r>
      <w:r w:rsidR="00CC10CC">
        <w:t xml:space="preserve">regular turnover of </w:t>
      </w:r>
      <w:r w:rsidR="6CDDD449">
        <w:t xml:space="preserve">A-based </w:t>
      </w:r>
      <w:r w:rsidR="00CC10CC">
        <w:t>staff</w:t>
      </w:r>
      <w:r w:rsidR="5DA352C2">
        <w:t>. Given the importance of DFAT</w:t>
      </w:r>
      <w:r w:rsidR="4408DEED">
        <w:t xml:space="preserve">/Post in advancing the strategic engagement and policy influence of the </w:t>
      </w:r>
      <w:proofErr w:type="gramStart"/>
      <w:r w:rsidR="556A4E2A">
        <w:t>program</w:t>
      </w:r>
      <w:r w:rsidR="4408DEED">
        <w:t>,  protecting</w:t>
      </w:r>
      <w:proofErr w:type="gramEnd"/>
      <w:r w:rsidR="4408DEED">
        <w:t xml:space="preserve"> the authorising environment for its implementation approach, </w:t>
      </w:r>
      <w:proofErr w:type="gramStart"/>
      <w:r w:rsidR="4408DEED">
        <w:t>and  helping</w:t>
      </w:r>
      <w:proofErr w:type="gramEnd"/>
      <w:r w:rsidR="4408DEED">
        <w:t xml:space="preserve"> it navigate the political economy of DFAT effectively, it is essential that Post has enough of the right staff time and expertise to con</w:t>
      </w:r>
      <w:r w:rsidR="3B44C0E6">
        <w:t xml:space="preserve">sistently play this role. </w:t>
      </w:r>
    </w:p>
    <w:bookmarkStart w:id="23" w:name="_Toc190268262"/>
    <w:p w14:paraId="27719500" w14:textId="26FF16B1" w:rsidR="52227A07" w:rsidRDefault="0095602B" w:rsidP="3B0D9F72">
      <w:pPr>
        <w:pStyle w:val="Heading1"/>
        <w:spacing w:line="240" w:lineRule="auto"/>
      </w:pPr>
      <w:r w:rsidRPr="0065380F">
        <w:rPr>
          <w:noProof/>
        </w:rPr>
        <mc:AlternateContent>
          <mc:Choice Requires="wps">
            <w:drawing>
              <wp:anchor distT="0" distB="0" distL="114300" distR="114300" simplePos="0" relativeHeight="251672576" behindDoc="0" locked="0" layoutInCell="1" allowOverlap="1" wp14:anchorId="08BA1C90" wp14:editId="2D59F74B">
                <wp:simplePos x="0" y="0"/>
                <wp:positionH relativeFrom="column">
                  <wp:posOffset>-924127</wp:posOffset>
                </wp:positionH>
                <wp:positionV relativeFrom="paragraph">
                  <wp:posOffset>144213</wp:posOffset>
                </wp:positionV>
                <wp:extent cx="541421" cy="475248"/>
                <wp:effectExtent l="0" t="0" r="5080" b="0"/>
                <wp:wrapNone/>
                <wp:docPr id="1472432474" name="Rectangle 1472432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w:pict w14:anchorId="7A7BF3C2">
              <v:rect id="Rectangle 1472432474" style="position:absolute;margin-left:-72.75pt;margin-top:11.35pt;width:42.65pt;height:37.4pt;z-index:25167257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fb200" stroked="f" strokeweight="2pt" w14:anchorId="7640C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"/>
            </w:pict>
          </mc:Fallback>
        </mc:AlternateContent>
      </w:r>
      <w:r w:rsidR="52227A07">
        <w:t>Summary and recommendation</w:t>
      </w:r>
      <w:bookmarkEnd w:id="23"/>
    </w:p>
    <w:p w14:paraId="2F83ADC0" w14:textId="40D0D819" w:rsidR="48AE6D82" w:rsidRDefault="7EDA2B32" w:rsidP="00F761A4">
      <w:r>
        <w:t xml:space="preserve">Summarising the key strengths and issues which have been identified through this rapid review of both VAESP and VSP implementation, </w:t>
      </w:r>
      <w:proofErr w:type="gramStart"/>
      <w:r>
        <w:t>a number of</w:t>
      </w:r>
      <w:proofErr w:type="gramEnd"/>
      <w:r>
        <w:t xml:space="preserve"> broad findings emerge</w:t>
      </w:r>
      <w:r w:rsidR="5847FEF1">
        <w:t xml:space="preserve">. These </w:t>
      </w:r>
      <w:r>
        <w:t xml:space="preserve">have informed the design team’s recommended approach to investment design: </w:t>
      </w:r>
    </w:p>
    <w:p w14:paraId="37AA585D" w14:textId="177A5734" w:rsidR="009803A7" w:rsidRPr="009803A7" w:rsidRDefault="009803A7" w:rsidP="3B0D9F72">
      <w:pPr>
        <w:pStyle w:val="ListParagraph"/>
        <w:numPr>
          <w:ilvl w:val="0"/>
          <w:numId w:val="12"/>
        </w:numPr>
      </w:pPr>
      <w:r w:rsidRPr="0C3CBE43">
        <w:rPr>
          <w:b/>
          <w:bCs/>
        </w:rPr>
        <w:t>Balancing national and sub</w:t>
      </w:r>
      <w:r w:rsidR="00BF325C" w:rsidRPr="0C3CBE43">
        <w:rPr>
          <w:b/>
          <w:bCs/>
        </w:rPr>
        <w:t>-</w:t>
      </w:r>
      <w:r w:rsidRPr="0C3CBE43">
        <w:rPr>
          <w:b/>
          <w:bCs/>
        </w:rPr>
        <w:t>national work</w:t>
      </w:r>
      <w:r>
        <w:t xml:space="preserve"> </w:t>
      </w:r>
      <w:r w:rsidR="00851F2A">
        <w:t>is</w:t>
      </w:r>
      <w:r>
        <w:t xml:space="preserve"> </w:t>
      </w:r>
      <w:r w:rsidR="2A006009">
        <w:t xml:space="preserve">a crucial </w:t>
      </w:r>
      <w:r>
        <w:t>key to success</w:t>
      </w:r>
      <w:r w:rsidR="286A6BC9">
        <w:t xml:space="preserve">, aligned to Vanuatu’s </w:t>
      </w:r>
      <w:r w:rsidR="2C842D5B">
        <w:t>commitment</w:t>
      </w:r>
      <w:r w:rsidR="286A6BC9">
        <w:t xml:space="preserve"> to</w:t>
      </w:r>
      <w:r>
        <w:t xml:space="preserve"> decentralisation </w:t>
      </w:r>
      <w:r w:rsidR="7CE6556C">
        <w:t xml:space="preserve">and the priority </w:t>
      </w:r>
      <w:proofErr w:type="spellStart"/>
      <w:r w:rsidR="7CE6556C">
        <w:t>GoV</w:t>
      </w:r>
      <w:proofErr w:type="spellEnd"/>
      <w:r w:rsidR="7CE6556C">
        <w:t xml:space="preserve"> places on the </w:t>
      </w:r>
      <w:r>
        <w:t>provincial level</w:t>
      </w:r>
      <w:r w:rsidR="7099DA43">
        <w:t>.</w:t>
      </w:r>
    </w:p>
    <w:p w14:paraId="5B968303" w14:textId="1D15948A" w:rsidR="00BC62AB" w:rsidRDefault="00BC62AB" w:rsidP="00BC62AB">
      <w:pPr>
        <w:pStyle w:val="ListParagraph"/>
        <w:numPr>
          <w:ilvl w:val="0"/>
          <w:numId w:val="12"/>
        </w:numPr>
      </w:pPr>
      <w:r w:rsidRPr="3B0D9F72">
        <w:rPr>
          <w:b/>
          <w:bCs/>
        </w:rPr>
        <w:t>Sub-national service delivery</w:t>
      </w:r>
      <w:r>
        <w:t xml:space="preserve"> strengthening can build community and political demand for good quality services and sound policy and budgeting, opening the doors for national-level influence. It can also spread risk and create opportunities for innovative work and partnerships. </w:t>
      </w:r>
    </w:p>
    <w:p w14:paraId="742026E5" w14:textId="31D850CE" w:rsidR="00BC62AB" w:rsidRPr="009803A7" w:rsidRDefault="00BC62AB" w:rsidP="00BC62AB">
      <w:pPr>
        <w:pStyle w:val="ListParagraph"/>
        <w:numPr>
          <w:ilvl w:val="0"/>
          <w:numId w:val="12"/>
        </w:numPr>
      </w:pPr>
      <w:r>
        <w:rPr>
          <w:b/>
          <w:bCs/>
        </w:rPr>
        <w:t xml:space="preserve">Explicit alignment with Vanuatu’s policy priorities </w:t>
      </w:r>
      <w:r>
        <w:t xml:space="preserve">is essential and lays the foundation for collaboration, </w:t>
      </w:r>
      <w:r w:rsidR="00BF325C">
        <w:t xml:space="preserve">local </w:t>
      </w:r>
      <w:r>
        <w:t xml:space="preserve">ownership, and </w:t>
      </w:r>
      <w:r w:rsidR="00BF325C">
        <w:t xml:space="preserve">local </w:t>
      </w:r>
      <w:r w:rsidR="00CD20DA">
        <w:t xml:space="preserve">relevance. </w:t>
      </w:r>
    </w:p>
    <w:p w14:paraId="1D0CC932" w14:textId="6391D8A7" w:rsidR="009803A7" w:rsidRPr="009803A7" w:rsidRDefault="009803A7" w:rsidP="3B0D9F72">
      <w:pPr>
        <w:pStyle w:val="ListParagraph"/>
        <w:numPr>
          <w:ilvl w:val="0"/>
          <w:numId w:val="12"/>
        </w:numPr>
      </w:pPr>
      <w:r w:rsidRPr="3B0D9F72">
        <w:rPr>
          <w:b/>
          <w:bCs/>
        </w:rPr>
        <w:t xml:space="preserve">Political instability </w:t>
      </w:r>
      <w:r w:rsidR="4E74272B" w:rsidRPr="3B0D9F72">
        <w:rPr>
          <w:b/>
          <w:bCs/>
        </w:rPr>
        <w:t xml:space="preserve">in Vanuatu </w:t>
      </w:r>
      <w:r w:rsidRPr="3B0D9F72">
        <w:rPr>
          <w:b/>
          <w:bCs/>
        </w:rPr>
        <w:t>persists</w:t>
      </w:r>
      <w:r>
        <w:t xml:space="preserve">, so </w:t>
      </w:r>
      <w:r w:rsidR="2ACFF3CF">
        <w:t>programs need to navigate that reality sensitively</w:t>
      </w:r>
      <w:r w:rsidR="1D440CCC">
        <w:t>, strategically</w:t>
      </w:r>
      <w:r w:rsidR="2ACFF3CF">
        <w:t xml:space="preserve"> and creatively and with strong information and relationships. W</w:t>
      </w:r>
      <w:r>
        <w:t>orking at national and provincial levels, and with other</w:t>
      </w:r>
      <w:r w:rsidR="00BC62AB">
        <w:t xml:space="preserve"> </w:t>
      </w:r>
      <w:r>
        <w:t xml:space="preserve">forms of governance, is important.  </w:t>
      </w:r>
    </w:p>
    <w:p w14:paraId="4AD4319C" w14:textId="7E883764" w:rsidR="009803A7" w:rsidRPr="009803A7" w:rsidRDefault="35199492" w:rsidP="3B0D9F72">
      <w:pPr>
        <w:pStyle w:val="ListParagraph"/>
        <w:numPr>
          <w:ilvl w:val="0"/>
          <w:numId w:val="12"/>
        </w:numPr>
      </w:pPr>
      <w:r>
        <w:t xml:space="preserve">Understanding and </w:t>
      </w:r>
      <w:r w:rsidRPr="3326E6A4">
        <w:rPr>
          <w:b/>
          <w:bCs/>
        </w:rPr>
        <w:t>operating within the political economy, with a systems-relationships focus</w:t>
      </w:r>
      <w:r>
        <w:t>, is important</w:t>
      </w:r>
      <w:r w:rsidR="00CC10CC">
        <w:t>, as is</w:t>
      </w:r>
      <w:r>
        <w:t xml:space="preserve"> working with reformist leaders in the system, at all levels</w:t>
      </w:r>
      <w:r w:rsidR="00CC10CC">
        <w:t>.</w:t>
      </w:r>
      <w:r>
        <w:t xml:space="preserve"> </w:t>
      </w:r>
    </w:p>
    <w:p w14:paraId="1B1ABA98" w14:textId="02526E02" w:rsidR="009803A7" w:rsidRDefault="009803A7" w:rsidP="3B0D9F72">
      <w:pPr>
        <w:pStyle w:val="ListParagraph"/>
        <w:numPr>
          <w:ilvl w:val="0"/>
          <w:numId w:val="12"/>
        </w:numPr>
      </w:pPr>
      <w:r w:rsidRPr="3B0D9F72">
        <w:rPr>
          <w:b/>
          <w:bCs/>
        </w:rPr>
        <w:t>Organisational culture</w:t>
      </w:r>
      <w:r>
        <w:t xml:space="preserve"> is critical to success: </w:t>
      </w:r>
      <w:r w:rsidR="5EE301A5">
        <w:t xml:space="preserve">this entails </w:t>
      </w:r>
      <w:r w:rsidR="2C08066B">
        <w:t>l</w:t>
      </w:r>
      <w:r>
        <w:t>ong-term local developmental leadership and</w:t>
      </w:r>
      <w:r w:rsidR="093B8E94">
        <w:t xml:space="preserve"> the</w:t>
      </w:r>
      <w:r>
        <w:t xml:space="preserve"> incubation </w:t>
      </w:r>
      <w:r w:rsidR="7D2EB36A">
        <w:t xml:space="preserve">of future leaders, supported by </w:t>
      </w:r>
      <w:proofErr w:type="gramStart"/>
      <w:r>
        <w:t>culturally-appropriate</w:t>
      </w:r>
      <w:proofErr w:type="gramEnd"/>
      <w:r>
        <w:t xml:space="preserve"> </w:t>
      </w:r>
      <w:r w:rsidR="1CFA8FC3">
        <w:t>human resource management and an</w:t>
      </w:r>
      <w:r>
        <w:t xml:space="preserve"> organisational culture that supports </w:t>
      </w:r>
      <w:r w:rsidR="0FCA2C18">
        <w:t xml:space="preserve">well-informed </w:t>
      </w:r>
      <w:r>
        <w:t xml:space="preserve">adaptation, accountability for performance, </w:t>
      </w:r>
      <w:r w:rsidR="68E4CDEB">
        <w:t xml:space="preserve">and constructive </w:t>
      </w:r>
      <w:r>
        <w:t>collaboration</w:t>
      </w:r>
      <w:r w:rsidR="4AFEF966">
        <w:t xml:space="preserve">. </w:t>
      </w:r>
    </w:p>
    <w:p w14:paraId="7785DCCE" w14:textId="37AD9A92" w:rsidR="00B1195A" w:rsidRPr="009803A7" w:rsidRDefault="00DC3D68" w:rsidP="3B0D9F72">
      <w:pPr>
        <w:pStyle w:val="ListParagraph"/>
        <w:numPr>
          <w:ilvl w:val="0"/>
          <w:numId w:val="12"/>
        </w:numPr>
      </w:pPr>
      <w:r>
        <w:t xml:space="preserve">A </w:t>
      </w:r>
      <w:r w:rsidRPr="38E62D81">
        <w:rPr>
          <w:b/>
          <w:bCs/>
        </w:rPr>
        <w:t xml:space="preserve">strong team </w:t>
      </w:r>
      <w:r w:rsidR="00CB7546" w:rsidRPr="38E62D81">
        <w:rPr>
          <w:b/>
          <w:bCs/>
        </w:rPr>
        <w:t xml:space="preserve">led by </w:t>
      </w:r>
      <w:r w:rsidR="2BDF2A03" w:rsidRPr="38E62D81">
        <w:rPr>
          <w:b/>
          <w:bCs/>
        </w:rPr>
        <w:t xml:space="preserve">reform-minded </w:t>
      </w:r>
      <w:r w:rsidRPr="38E62D81">
        <w:rPr>
          <w:b/>
          <w:bCs/>
        </w:rPr>
        <w:t>developmental leader</w:t>
      </w:r>
      <w:r w:rsidR="00CB7546" w:rsidRPr="38E62D81">
        <w:rPr>
          <w:b/>
          <w:bCs/>
        </w:rPr>
        <w:t>s</w:t>
      </w:r>
      <w:r w:rsidR="00CB7546">
        <w:t xml:space="preserve"> is essential for success, and it requires purposeful planning</w:t>
      </w:r>
      <w:r w:rsidR="00566740">
        <w:t>, support and allocation of resources,</w:t>
      </w:r>
      <w:r w:rsidR="00CB7546">
        <w:t xml:space="preserve"> and courageous</w:t>
      </w:r>
      <w:r w:rsidR="00A94F78">
        <w:t xml:space="preserve"> human resource management. </w:t>
      </w:r>
    </w:p>
    <w:p w14:paraId="0C6A766E" w14:textId="79251FA7" w:rsidR="009803A7" w:rsidRPr="009803A7" w:rsidRDefault="00D850D3" w:rsidP="3B0D9F72">
      <w:pPr>
        <w:pStyle w:val="ListParagraph"/>
        <w:numPr>
          <w:ilvl w:val="0"/>
          <w:numId w:val="12"/>
        </w:numPr>
        <w:rPr>
          <w:b/>
          <w:bCs/>
        </w:rPr>
      </w:pPr>
      <w:r>
        <w:t>The</w:t>
      </w:r>
      <w:r w:rsidR="37D407A8">
        <w:t xml:space="preserve"> combination of </w:t>
      </w:r>
      <w:r w:rsidR="37D407A8" w:rsidRPr="3B0D9F72">
        <w:rPr>
          <w:b/>
          <w:bCs/>
        </w:rPr>
        <w:t xml:space="preserve">local leadership with an effective support contractor model </w:t>
      </w:r>
      <w:r w:rsidR="37D407A8">
        <w:t>has enabled strong outcomes while more conventional managing contractor structure</w:t>
      </w:r>
      <w:r>
        <w:t>s</w:t>
      </w:r>
      <w:r w:rsidR="37D407A8">
        <w:t xml:space="preserve"> </w:t>
      </w:r>
      <w:r>
        <w:t>have</w:t>
      </w:r>
      <w:r w:rsidR="37D407A8">
        <w:t xml:space="preserve"> been less effective. </w:t>
      </w:r>
      <w:r w:rsidR="00566740">
        <w:t xml:space="preserve">Further, shifting to </w:t>
      </w:r>
      <w:r>
        <w:t>an effective</w:t>
      </w:r>
      <w:r w:rsidR="00566740">
        <w:t xml:space="preserve"> support contractor model </w:t>
      </w:r>
      <w:r w:rsidR="00A64ECE">
        <w:t xml:space="preserve">has </w:t>
      </w:r>
      <w:r w:rsidR="00566740">
        <w:t>require</w:t>
      </w:r>
      <w:r w:rsidR="00A64ECE">
        <w:t>d</w:t>
      </w:r>
      <w:r w:rsidR="00566740">
        <w:t xml:space="preserve"> extensive management and advocacy effort by Post and the Strategic Adviser, over many years. </w:t>
      </w:r>
    </w:p>
    <w:p w14:paraId="3957AE8D" w14:textId="2FE47231" w:rsidR="002F1C23" w:rsidRDefault="00D66D26" w:rsidP="00D66D26">
      <w:pPr>
        <w:pStyle w:val="ListParagraph"/>
        <w:numPr>
          <w:ilvl w:val="0"/>
          <w:numId w:val="12"/>
        </w:numPr>
      </w:pPr>
      <w:r w:rsidRPr="2D65516E">
        <w:rPr>
          <w:b/>
          <w:bCs/>
        </w:rPr>
        <w:t>GEDSI achievements</w:t>
      </w:r>
      <w:r>
        <w:t xml:space="preserve"> require cultural and contextual alignment, strong partnerships with government at all levels and civil society, integration within systems, and strong MEL.</w:t>
      </w:r>
      <w:r w:rsidR="002A7906">
        <w:t xml:space="preserve"> They also require substantive investment, both funding and skilled staffing. </w:t>
      </w:r>
      <w:r>
        <w:t xml:space="preserve"> </w:t>
      </w:r>
    </w:p>
    <w:p w14:paraId="3A62D12E" w14:textId="77777777" w:rsidR="003009C7" w:rsidRDefault="6CDDD449" w:rsidP="003009C7">
      <w:pPr>
        <w:pStyle w:val="ListParagraph"/>
        <w:numPr>
          <w:ilvl w:val="0"/>
          <w:numId w:val="12"/>
        </w:numPr>
        <w:spacing w:line="240" w:lineRule="auto"/>
      </w:pPr>
      <w:r w:rsidRPr="3326E6A4">
        <w:rPr>
          <w:b/>
          <w:bCs/>
        </w:rPr>
        <w:t>MEL and strategic communications</w:t>
      </w:r>
      <w:r>
        <w:t xml:space="preserve"> have been key success factors, or their absence has been a weakness</w:t>
      </w:r>
      <w:r w:rsidR="6CF4928A">
        <w:t xml:space="preserve">, so prioritising investment in these is essential. </w:t>
      </w:r>
    </w:p>
    <w:p w14:paraId="7C7B9697" w14:textId="685C1BBC" w:rsidR="003009C7" w:rsidRDefault="003009C7" w:rsidP="003009C7">
      <w:pPr>
        <w:pStyle w:val="ListParagraph"/>
        <w:numPr>
          <w:ilvl w:val="0"/>
          <w:numId w:val="12"/>
        </w:numPr>
        <w:spacing w:line="240" w:lineRule="auto"/>
      </w:pPr>
      <w:r>
        <w:t xml:space="preserve">The </w:t>
      </w:r>
      <w:r w:rsidRPr="38E62D81">
        <w:rPr>
          <w:b/>
          <w:bCs/>
        </w:rPr>
        <w:t>DFA mechanism has allowed efficiencies</w:t>
      </w:r>
      <w:r>
        <w:t xml:space="preserve"> and the flexibility to respond to emerging priorities. It is highly valued by </w:t>
      </w:r>
      <w:proofErr w:type="spellStart"/>
      <w:r>
        <w:t>GoV</w:t>
      </w:r>
      <w:proofErr w:type="spellEnd"/>
      <w:r>
        <w:t xml:space="preserve"> and provides important autonomy for </w:t>
      </w:r>
      <w:proofErr w:type="spellStart"/>
      <w:r>
        <w:t>MoET</w:t>
      </w:r>
      <w:proofErr w:type="spellEnd"/>
      <w:r>
        <w:t xml:space="preserve"> which should be protected.   Some efforts to improve the complementarity of support delivered through the DFA and the MC </w:t>
      </w:r>
      <w:r w:rsidR="4B5E545D">
        <w:t xml:space="preserve">/ </w:t>
      </w:r>
      <w:r>
        <w:t xml:space="preserve">support contractor are </w:t>
      </w:r>
      <w:proofErr w:type="gramStart"/>
      <w:r>
        <w:t>evident, but</w:t>
      </w:r>
      <w:proofErr w:type="gramEnd"/>
      <w:r>
        <w:t xml:space="preserve"> have been largely ad hoc and without adequate MEL. </w:t>
      </w:r>
    </w:p>
    <w:p w14:paraId="6B751BAE" w14:textId="71872F6F" w:rsidR="009803A7" w:rsidRPr="009803A7" w:rsidRDefault="003009C7" w:rsidP="003009C7">
      <w:pPr>
        <w:pStyle w:val="ListParagraph"/>
        <w:numPr>
          <w:ilvl w:val="0"/>
          <w:numId w:val="12"/>
        </w:numPr>
      </w:pPr>
      <w:r>
        <w:t xml:space="preserve">Many </w:t>
      </w:r>
      <w:r w:rsidRPr="3B0D9F72">
        <w:rPr>
          <w:b/>
          <w:bCs/>
        </w:rPr>
        <w:t>opportunities for collaboration</w:t>
      </w:r>
      <w:r>
        <w:t xml:space="preserve"> </w:t>
      </w:r>
      <w:r w:rsidRPr="3B0D9F72">
        <w:rPr>
          <w:b/>
          <w:bCs/>
        </w:rPr>
        <w:t xml:space="preserve">exist </w:t>
      </w:r>
      <w:r>
        <w:t>but have not fully been realised</w:t>
      </w:r>
      <w:r w:rsidR="00D850D3">
        <w:t xml:space="preserve"> between VAESP and VSP</w:t>
      </w:r>
      <w:r>
        <w:t xml:space="preserve">. Examples include investing in stronger pathways between schooling and skills offerings, coordination regarding GEDSI approaches, collaboration across education-skills (e.g. </w:t>
      </w:r>
      <w:r w:rsidR="00A64ECE">
        <w:t>‘</w:t>
      </w:r>
      <w:r>
        <w:t>Farm to School</w:t>
      </w:r>
      <w:r w:rsidR="00A64ECE">
        <w:t>’</w:t>
      </w:r>
      <w:r>
        <w:t xml:space="preserve"> links with curriculum), and creating closer links with Australia Awards. </w:t>
      </w:r>
    </w:p>
    <w:p w14:paraId="41F82F40" w14:textId="75049436" w:rsidR="009803A7" w:rsidRDefault="7E7EE972" w:rsidP="3B0D9F72">
      <w:pPr>
        <w:pStyle w:val="Heading2"/>
      </w:pPr>
      <w:bookmarkStart w:id="24" w:name="_Toc190268263"/>
      <w:r>
        <w:t>Modality for future design</w:t>
      </w:r>
      <w:bookmarkEnd w:id="24"/>
    </w:p>
    <w:p w14:paraId="1C8A082F" w14:textId="30A0D8E2" w:rsidR="001E2685" w:rsidRDefault="001A7124" w:rsidP="00F761A4">
      <w:r>
        <w:t xml:space="preserve">The team’s analysis and recommendation does not address the technical, implementation or management details of any options, as these will be developed during Stage 2 of the design process, but, in line with its Terms of Reference, just focused on the </w:t>
      </w:r>
      <w:r w:rsidR="008C4C27">
        <w:t>high-level</w:t>
      </w:r>
      <w:r>
        <w:t xml:space="preserve"> modality decision so the design process can proceed with clarity on the overall modality. </w:t>
      </w:r>
      <w:r w:rsidR="7E7EE972">
        <w:t xml:space="preserve">The design team considered </w:t>
      </w:r>
      <w:r w:rsidR="0A95CF5D">
        <w:t xml:space="preserve">two primary </w:t>
      </w:r>
      <w:r w:rsidR="7E7EE972">
        <w:t>options regarding the most suitable design structure, for the next phase of investment.</w:t>
      </w:r>
      <w:r w:rsidR="001E2685">
        <w:t xml:space="preserve"> </w:t>
      </w:r>
    </w:p>
    <w:p w14:paraId="7C591973" w14:textId="37615786" w:rsidR="001E2685" w:rsidRDefault="001E2685" w:rsidP="6FCA30B7">
      <w:r>
        <w:t xml:space="preserve">Consideration of the best design structure also included consideration of the </w:t>
      </w:r>
      <w:r w:rsidR="009426EB">
        <w:t>best</w:t>
      </w:r>
      <w:r>
        <w:t xml:space="preserve"> implementation partner arrangements (i.e. contractor, grant to government, funding to a multilateral or other bilateral development partner, or granting to non-government organisation(s)). </w:t>
      </w:r>
      <w:r w:rsidR="009426EB">
        <w:t>Given the scale and complexity of the future design, grant funding to a</w:t>
      </w:r>
      <w:r w:rsidR="3D5EB7D8">
        <w:t xml:space="preserve"> non-government organisation</w:t>
      </w:r>
      <w:r w:rsidR="008C4C27">
        <w:t xml:space="preserve"> </w:t>
      </w:r>
      <w:r w:rsidR="009426EB">
        <w:t>was not judged to be suitable</w:t>
      </w:r>
      <w:r w:rsidR="6A09CC42">
        <w:t xml:space="preserve">. Funding to a multilateral or bilateral development partner was also deemed inappropriate because it would be very difficult to design for an implementation approach which has proven so effective in VSP (local developmental leadership, support contractor model, </w:t>
      </w:r>
      <w:r w:rsidR="746AA063">
        <w:t xml:space="preserve">adaptive, politically informed </w:t>
      </w:r>
      <w:r w:rsidR="6A09CC42">
        <w:t xml:space="preserve">approach) when working within multilateral or other bilateral partner systems. </w:t>
      </w:r>
      <w:r w:rsidR="009426EB">
        <w:t xml:space="preserve">And while direct funding to </w:t>
      </w:r>
      <w:proofErr w:type="spellStart"/>
      <w:r w:rsidR="009426EB">
        <w:t>GoV</w:t>
      </w:r>
      <w:proofErr w:type="spellEnd"/>
      <w:r w:rsidR="009426EB">
        <w:t xml:space="preserve"> would provide maximum government ownership and leaders</w:t>
      </w:r>
      <w:r w:rsidR="33B3EEA3">
        <w:t>hip</w:t>
      </w:r>
      <w:r w:rsidR="009426EB">
        <w:t>, at present the team’s assessment is that this is only appropriate for some of the likely activities</w:t>
      </w:r>
      <w:r w:rsidR="64A80F8C">
        <w:t xml:space="preserve"> and effec</w:t>
      </w:r>
      <w:r w:rsidR="524157F2">
        <w:t>tive implementation and MEL of these activities would likely still require additional technical support</w:t>
      </w:r>
      <w:r w:rsidR="009426EB">
        <w:t xml:space="preserve">. Therefore, a contractor-supported implementation modality is preferable. </w:t>
      </w:r>
    </w:p>
    <w:p w14:paraId="04A4A530" w14:textId="180E47C8" w:rsidR="7E7EE972" w:rsidRDefault="009426EB" w:rsidP="3B0D9F72">
      <w:r>
        <w:t xml:space="preserve">In terms of the design structure, the two </w:t>
      </w:r>
      <w:r w:rsidR="41A4CDFE">
        <w:t xml:space="preserve">options considered </w:t>
      </w:r>
      <w:r w:rsidR="7E7EE972">
        <w:t>are briefly outlined below, together with their main likely advantages, drawbacks and risks</w:t>
      </w:r>
      <w:r w:rsidR="001A7124">
        <w:rPr>
          <w:rStyle w:val="FootnoteReference"/>
        </w:rPr>
        <w:footnoteReference w:id="49"/>
      </w:r>
      <w:r w:rsidR="7E7EE972">
        <w:t xml:space="preserve">.  </w:t>
      </w:r>
    </w:p>
    <w:p w14:paraId="57EB0AB6" w14:textId="293D06BA" w:rsidR="7E7EE972" w:rsidRDefault="7E7EE972" w:rsidP="3B0D9F72">
      <w:pPr>
        <w:pStyle w:val="ListParagraph"/>
        <w:numPr>
          <w:ilvl w:val="0"/>
          <w:numId w:val="13"/>
        </w:numPr>
      </w:pPr>
      <w:r>
        <w:t>Preparing two</w:t>
      </w:r>
      <w:r w:rsidR="001E2685">
        <w:t xml:space="preserve"> or three</w:t>
      </w:r>
      <w:r>
        <w:t xml:space="preserve"> standalone investment designs, </w:t>
      </w:r>
      <w:r w:rsidR="001E2685">
        <w:t>addressing</w:t>
      </w:r>
      <w:r>
        <w:t xml:space="preserve"> skills</w:t>
      </w:r>
      <w:r w:rsidR="001E2685">
        <w:t>, basic education, and scholarships</w:t>
      </w:r>
      <w:r>
        <w:t xml:space="preserve">. </w:t>
      </w:r>
      <w:r w:rsidR="2769EF58">
        <w:t>The design would be contracted to</w:t>
      </w:r>
      <w:r w:rsidR="6D86DC9C">
        <w:t xml:space="preserve"> separat</w:t>
      </w:r>
      <w:r w:rsidR="2769EF58">
        <w:t>e contractor</w:t>
      </w:r>
      <w:r w:rsidR="3279EBCF">
        <w:t>s</w:t>
      </w:r>
      <w:r w:rsidR="2769EF58">
        <w:t xml:space="preserve"> for implementation</w:t>
      </w:r>
      <w:r w:rsidR="39EDB0A6">
        <w:t xml:space="preserve"> in parallel</w:t>
      </w:r>
      <w:r w:rsidR="2769EF58">
        <w:t xml:space="preserve">. </w:t>
      </w:r>
      <w:r>
        <w:t>This would spread the risk</w:t>
      </w:r>
      <w:r w:rsidR="5BC5F580">
        <w:t xml:space="preserve"> </w:t>
      </w:r>
      <w:r w:rsidR="2A2F4A47">
        <w:t xml:space="preserve">which would be </w:t>
      </w:r>
      <w:r w:rsidR="5BC5F580">
        <w:t>posed by consolidating all activities into one program</w:t>
      </w:r>
      <w:r w:rsidR="53B2BA10">
        <w:t>,</w:t>
      </w:r>
      <w:r w:rsidR="5BC5F580">
        <w:t xml:space="preserve"> with one contractor. </w:t>
      </w:r>
      <w:proofErr w:type="gramStart"/>
      <w:r w:rsidR="5BC5F580">
        <w:t>However</w:t>
      </w:r>
      <w:proofErr w:type="gramEnd"/>
      <w:r w:rsidR="5BC5F580">
        <w:t xml:space="preserve"> this </w:t>
      </w:r>
      <w:r w:rsidR="38E80FDF">
        <w:t xml:space="preserve">structure </w:t>
      </w:r>
      <w:r w:rsidR="5BC5F580">
        <w:t>would not address the current challenges in coherence, coordination and collaboration and would also not deliver any efficiencies in the provision of common support services</w:t>
      </w:r>
      <w:r w:rsidR="0086E663">
        <w:t>, or management efficiencies for DFAT Post</w:t>
      </w:r>
      <w:r w:rsidR="5BC5F580">
        <w:t xml:space="preserve">. </w:t>
      </w:r>
    </w:p>
    <w:p w14:paraId="630A821A" w14:textId="6AFDAC9A" w:rsidR="5BC5F580" w:rsidRDefault="5BC5F580" w:rsidP="00F761A4">
      <w:pPr>
        <w:pStyle w:val="ListParagraph"/>
        <w:numPr>
          <w:ilvl w:val="0"/>
          <w:numId w:val="13"/>
        </w:numPr>
      </w:pPr>
      <w:r>
        <w:t>Preparing a single, integrated investment design</w:t>
      </w:r>
      <w:r w:rsidR="73884272">
        <w:t>, with</w:t>
      </w:r>
      <w:r w:rsidR="34F7A7AB">
        <w:t xml:space="preserve"> </w:t>
      </w:r>
      <w:r w:rsidR="72F505A1">
        <w:t>education</w:t>
      </w:r>
      <w:r w:rsidR="00243829">
        <w:t>, scholarships</w:t>
      </w:r>
      <w:r w:rsidR="72F505A1">
        <w:t xml:space="preserve"> and skills </w:t>
      </w:r>
      <w:r w:rsidR="5CAED77A">
        <w:t>incorporated</w:t>
      </w:r>
      <w:r w:rsidR="72F505A1">
        <w:t xml:space="preserve"> into a single design document</w:t>
      </w:r>
      <w:r w:rsidR="65083A58">
        <w:t xml:space="preserve"> and </w:t>
      </w:r>
      <w:r w:rsidR="009D77BF">
        <w:t>supported by a</w:t>
      </w:r>
      <w:r w:rsidR="65083A58">
        <w:t xml:space="preserve"> contractor</w:t>
      </w:r>
      <w:r w:rsidR="003238C4">
        <w:rPr>
          <w:rStyle w:val="FootnoteReference"/>
        </w:rPr>
        <w:footnoteReference w:id="50"/>
      </w:r>
      <w:r w:rsidR="65083A58">
        <w:t>. While there are some risks with assigning all contracted responsibility to a single entity (whereas current arrangements split risk between two contracts), this approach provides the opportunity to achieve efficiencies</w:t>
      </w:r>
      <w:r w:rsidR="4B9C4E54">
        <w:t xml:space="preserve"> in several areas. These would include</w:t>
      </w:r>
      <w:r w:rsidR="1E6E8FA3">
        <w:t>:</w:t>
      </w:r>
      <w:r w:rsidR="4B9C4E54">
        <w:t xml:space="preserve"> the provision of</w:t>
      </w:r>
      <w:r w:rsidR="65083A58">
        <w:t xml:space="preserve"> support services, access to technical inputs</w:t>
      </w:r>
      <w:r w:rsidR="67BD8C1B">
        <w:t>, operational and management systems</w:t>
      </w:r>
      <w:r w:rsidR="1E03612F">
        <w:t xml:space="preserve">; and would facilitate close cooperation and collaboration rather than competition between contractors. Importantly, this option would also enable more streamlined and clearer communication with </w:t>
      </w:r>
      <w:proofErr w:type="spellStart"/>
      <w:r w:rsidR="1E03612F">
        <w:t>MoET</w:t>
      </w:r>
      <w:proofErr w:type="spellEnd"/>
      <w:r w:rsidR="1E03612F">
        <w:t xml:space="preserve"> and other </w:t>
      </w:r>
      <w:proofErr w:type="spellStart"/>
      <w:r w:rsidR="64F1A8BA">
        <w:t>GoV</w:t>
      </w:r>
      <w:proofErr w:type="spellEnd"/>
      <w:r w:rsidR="64F1A8BA">
        <w:t xml:space="preserve"> partners</w:t>
      </w:r>
      <w:r w:rsidR="57476D85">
        <w:t>, which would lessen the burden on them while potentially also strengthening engagement and relationships</w:t>
      </w:r>
      <w:r w:rsidR="64F1A8BA">
        <w:t>.</w:t>
      </w:r>
      <w:r w:rsidR="2A8EB676">
        <w:t xml:space="preserve"> Contracting a single contractor for overall delivery of the design also does not preclude sub-contracting arrang</w:t>
      </w:r>
      <w:r w:rsidR="633E108B">
        <w:t xml:space="preserve">ements for </w:t>
      </w:r>
      <w:proofErr w:type="gramStart"/>
      <w:r w:rsidR="633E108B">
        <w:t>particular components</w:t>
      </w:r>
      <w:proofErr w:type="gramEnd"/>
      <w:r w:rsidR="633E108B">
        <w:t xml:space="preserve"> or the inclusion of grant-funding for </w:t>
      </w:r>
      <w:r w:rsidR="69A9DCDE">
        <w:t xml:space="preserve">non-government organisations </w:t>
      </w:r>
      <w:r w:rsidR="633E108B">
        <w:t>within the design.</w:t>
      </w:r>
    </w:p>
    <w:p w14:paraId="462433F0" w14:textId="496ACDAB" w:rsidR="32BEBA36" w:rsidRDefault="32BEBA36" w:rsidP="00F761A4">
      <w:r>
        <w:t xml:space="preserve">Across </w:t>
      </w:r>
      <w:r w:rsidR="27A068E2">
        <w:t xml:space="preserve">either </w:t>
      </w:r>
      <w:r>
        <w:t xml:space="preserve">option, an approach to effectively managing the mismatched contract end dates will need to be resolved during investment design. </w:t>
      </w:r>
    </w:p>
    <w:p w14:paraId="3567068C" w14:textId="69FD8D8D" w:rsidR="00243829" w:rsidRDefault="6D8E8B27" w:rsidP="3B0D9F72">
      <w:pPr>
        <w:spacing w:line="240" w:lineRule="auto"/>
        <w:rPr>
          <w:rStyle w:val="IntenseEmphasis"/>
        </w:rPr>
      </w:pPr>
      <w:r w:rsidRPr="2D65516E">
        <w:rPr>
          <w:rStyle w:val="IntenseEmphasis"/>
        </w:rPr>
        <w:t>Based on</w:t>
      </w:r>
      <w:r w:rsidR="05A1EB21" w:rsidRPr="2D65516E">
        <w:rPr>
          <w:rStyle w:val="IntenseEmphasis"/>
        </w:rPr>
        <w:t xml:space="preserve"> document review, consultations and team discussions, the design team recommends that the next phase of Australian support to education and skills in Vanuatu be developed as a single investment design document</w:t>
      </w:r>
      <w:r w:rsidR="39C072A8" w:rsidRPr="2D65516E">
        <w:rPr>
          <w:rStyle w:val="IntenseEmphasis"/>
        </w:rPr>
        <w:t xml:space="preserve"> </w:t>
      </w:r>
      <w:r w:rsidR="009426EB" w:rsidRPr="2D65516E">
        <w:rPr>
          <w:rStyle w:val="IntenseEmphasis"/>
        </w:rPr>
        <w:t xml:space="preserve">which incorporates all the </w:t>
      </w:r>
      <w:r w:rsidR="0019722A" w:rsidRPr="2D65516E">
        <w:rPr>
          <w:rStyle w:val="IntenseEmphasis"/>
        </w:rPr>
        <w:t xml:space="preserve">components. </w:t>
      </w:r>
      <w:r w:rsidR="00243829" w:rsidRPr="2D65516E">
        <w:rPr>
          <w:rStyle w:val="IntenseEmphasis"/>
        </w:rPr>
        <w:t xml:space="preserve">This will deliver efficiencies, enable the expansion of support contractor approach, and will suit a significant investment which is wholly focused within a single sector. </w:t>
      </w:r>
    </w:p>
    <w:p w14:paraId="5F1AA4B5" w14:textId="0D4E50AE" w:rsidR="6D8E8B27" w:rsidRPr="00243829" w:rsidRDefault="0019722A" w:rsidP="00243829">
      <w:r>
        <w:t>With details to be determined and confirmed through the design process, the pillars or components are likely to include</w:t>
      </w:r>
      <w:r w:rsidR="30B5E93E">
        <w:t xml:space="preserve"> targeted inves</w:t>
      </w:r>
      <w:r w:rsidR="0E2E1BE3">
        <w:t>t</w:t>
      </w:r>
      <w:r w:rsidR="30B5E93E">
        <w:t xml:space="preserve">ments </w:t>
      </w:r>
      <w:proofErr w:type="gramStart"/>
      <w:r w:rsidR="30B5E93E">
        <w:t>in</w:t>
      </w:r>
      <w:r>
        <w:t>:</w:t>
      </w:r>
      <w:proofErr w:type="gramEnd"/>
      <w:r>
        <w:t xml:space="preserve"> </w:t>
      </w:r>
      <w:r w:rsidR="00B54925">
        <w:t xml:space="preserve">skills, </w:t>
      </w:r>
      <w:r>
        <w:t xml:space="preserve">basic education (including infrastructure), scholarships, and complementary support for </w:t>
      </w:r>
      <w:r w:rsidR="00F701D0">
        <w:t>any</w:t>
      </w:r>
      <w:r>
        <w:t xml:space="preserve"> future </w:t>
      </w:r>
      <w:r w:rsidR="00A91EA6">
        <w:t>direct funding arrangement</w:t>
      </w:r>
      <w:r w:rsidR="05A1EB21">
        <w:t xml:space="preserve">. </w:t>
      </w:r>
      <w:r>
        <w:t xml:space="preserve">The program logic should explicitly feature the ‘ways of working’ so that local developmental leadership, partnership, inclusion, and adaptive management are resourced appropriately and given sufficient priority. </w:t>
      </w:r>
    </w:p>
    <w:p w14:paraId="2AD2733D" w14:textId="69ED62DE" w:rsidR="00F86B44" w:rsidRDefault="05A1EB21" w:rsidP="00F86B44">
      <w:r>
        <w:t>T</w:t>
      </w:r>
      <w:r w:rsidR="634A014C">
        <w:t>he</w:t>
      </w:r>
      <w:r w:rsidR="7F81C692">
        <w:t xml:space="preserve"> </w:t>
      </w:r>
      <w:r w:rsidR="634A014C">
        <w:t xml:space="preserve">investment </w:t>
      </w:r>
      <w:r w:rsidR="7F81C692">
        <w:t>would be put to tender for a single contractor to provide support services</w:t>
      </w:r>
      <w:r w:rsidR="00F86B44">
        <w:t xml:space="preserve">. This approach is recommended based on the judgement that a combined </w:t>
      </w:r>
      <w:r w:rsidR="7C08A5D9">
        <w:t xml:space="preserve">multi-component </w:t>
      </w:r>
      <w:r w:rsidR="00F86B44">
        <w:t xml:space="preserve">investment </w:t>
      </w:r>
      <w:r w:rsidR="008C4C27">
        <w:t xml:space="preserve">supported by a </w:t>
      </w:r>
      <w:r w:rsidR="6E7FB9A6">
        <w:t>c</w:t>
      </w:r>
      <w:r w:rsidR="00F86B44">
        <w:t xml:space="preserve">ontractor will deliver the greatest gains in both efficiency and effectiveness, without significant additional risk. </w:t>
      </w:r>
    </w:p>
    <w:p w14:paraId="5F037ABC" w14:textId="0BF824F3" w:rsidR="0019722A" w:rsidRDefault="345B9B87" w:rsidP="00F761A4">
      <w:r>
        <w:t>T</w:t>
      </w:r>
      <w:r w:rsidR="0AF1E05D">
        <w:t>he design should address the forward vision for the DFA, so the contractor’s responsibilities include key</w:t>
      </w:r>
      <w:r w:rsidR="6994E3BD">
        <w:t xml:space="preserve"> activities to support implementation of DFA-funded activities</w:t>
      </w:r>
      <w:r w:rsidR="00F86B44">
        <w:t>, which are situated within the overall strategic vision for the investment</w:t>
      </w:r>
      <w:r w:rsidR="6994E3BD">
        <w:t xml:space="preserve">. </w:t>
      </w:r>
    </w:p>
    <w:p w14:paraId="219B594F" w14:textId="4FC14575" w:rsidR="05A1EB21" w:rsidRDefault="002E2F57" w:rsidP="00F761A4">
      <w:r>
        <w:t xml:space="preserve">Experience has shown that Post’s role has been instrumental in enabling the support contractor model to develop and become established. </w:t>
      </w:r>
      <w:proofErr w:type="gramStart"/>
      <w:r>
        <w:t>Therefore</w:t>
      </w:r>
      <w:proofErr w:type="gramEnd"/>
      <w:r>
        <w:t xml:space="preserve"> t</w:t>
      </w:r>
      <w:r w:rsidR="6994E3BD">
        <w:t xml:space="preserve">he design </w:t>
      </w:r>
      <w:r>
        <w:t xml:space="preserve">must </w:t>
      </w:r>
      <w:r w:rsidR="6994E3BD">
        <w:t>also address the required resources within DFAT to ensure the Post can provide the essential strategic and management input which will enable the greatest achievement of inv</w:t>
      </w:r>
      <w:r w:rsidR="1580953C">
        <w:t xml:space="preserve">estment outcomes. </w:t>
      </w:r>
    </w:p>
    <w:p w14:paraId="5E1D2D6D" w14:textId="6D866CF4" w:rsidR="65B4BE2E" w:rsidRDefault="65B4BE2E" w:rsidP="00F761A4">
      <w:r>
        <w:t xml:space="preserve">The detailed technical, operational, management and contracting details for the new investment will be addressed during Stage 2 of the design. The key considerations which will guide the design will </w:t>
      </w:r>
      <w:r w:rsidR="002E2F57">
        <w:t xml:space="preserve">be informed by the Investment Concept Note and likely </w:t>
      </w:r>
      <w:r>
        <w:t xml:space="preserve">include: </w:t>
      </w:r>
    </w:p>
    <w:p w14:paraId="6F741615" w14:textId="7D3125F7" w:rsidR="00F15637" w:rsidRPr="00F15637" w:rsidRDefault="4289773A" w:rsidP="00F761A4">
      <w:pPr>
        <w:pStyle w:val="ListParagraph"/>
        <w:numPr>
          <w:ilvl w:val="0"/>
          <w:numId w:val="82"/>
        </w:numPr>
      </w:pPr>
      <w:r>
        <w:t>Achieving</w:t>
      </w:r>
      <w:r w:rsidR="0267203C">
        <w:t xml:space="preserve"> e</w:t>
      </w:r>
      <w:r w:rsidR="2DEBFC71">
        <w:t xml:space="preserve">fficiency </w:t>
      </w:r>
      <w:r w:rsidR="57BAED73">
        <w:t>through s</w:t>
      </w:r>
      <w:r w:rsidR="2DEBFC71">
        <w:t xml:space="preserve">hared support resources </w:t>
      </w:r>
      <w:r w:rsidR="565F0A3F">
        <w:t>and a</w:t>
      </w:r>
      <w:r w:rsidR="2DEBFC71">
        <w:t xml:space="preserve"> support contractor modality</w:t>
      </w:r>
      <w:r w:rsidR="00F61A8C">
        <w:t>.</w:t>
      </w:r>
      <w:r w:rsidR="2DEBFC71">
        <w:t xml:space="preserve"> </w:t>
      </w:r>
    </w:p>
    <w:p w14:paraId="7FA6FD5F" w14:textId="5C3ECF8B" w:rsidR="00F15637" w:rsidRPr="00F15637" w:rsidRDefault="00F15637" w:rsidP="00F761A4">
      <w:pPr>
        <w:pStyle w:val="ListParagraph"/>
        <w:numPr>
          <w:ilvl w:val="0"/>
          <w:numId w:val="82"/>
        </w:numPr>
      </w:pPr>
      <w:r>
        <w:t xml:space="preserve">Increased attention to provincial-level work on the </w:t>
      </w:r>
      <w:r w:rsidR="00F61A8C">
        <w:t xml:space="preserve">basic </w:t>
      </w:r>
      <w:r>
        <w:t>education side</w:t>
      </w:r>
      <w:r w:rsidR="66C3B7C8">
        <w:t xml:space="preserve">, and in scholarships, and maintenance of the provincial-level focus for </w:t>
      </w:r>
      <w:r w:rsidR="04BCA6CA">
        <w:t>skills.</w:t>
      </w:r>
    </w:p>
    <w:p w14:paraId="3B145903" w14:textId="6E73CBCC" w:rsidR="54C9B0BD" w:rsidRDefault="54C9B0BD" w:rsidP="00F761A4">
      <w:pPr>
        <w:pStyle w:val="ListParagraph"/>
        <w:numPr>
          <w:ilvl w:val="0"/>
          <w:numId w:val="82"/>
        </w:numPr>
      </w:pPr>
      <w:r>
        <w:t>Greater integration of Australia Awards, including short courses</w:t>
      </w:r>
      <w:r w:rsidR="00F61A8C">
        <w:t>.</w:t>
      </w:r>
      <w:r>
        <w:t xml:space="preserve"> </w:t>
      </w:r>
    </w:p>
    <w:p w14:paraId="1C825379" w14:textId="79D07AAE" w:rsidR="023455D8" w:rsidRPr="00F761A4" w:rsidRDefault="023455D8" w:rsidP="00F761A4">
      <w:pPr>
        <w:pStyle w:val="ListParagraph"/>
        <w:numPr>
          <w:ilvl w:val="0"/>
          <w:numId w:val="82"/>
        </w:numPr>
        <w:rPr>
          <w:rFonts w:eastAsia="Calibri" w:cs="Calibri"/>
        </w:rPr>
      </w:pPr>
      <w:r w:rsidRPr="0C3CBE43">
        <w:rPr>
          <w:rFonts w:eastAsia="Calibri" w:cs="Calibri"/>
        </w:rPr>
        <w:t>A</w:t>
      </w:r>
      <w:r w:rsidR="54C9B0BD" w:rsidRPr="0C3CBE43">
        <w:rPr>
          <w:rFonts w:eastAsia="Calibri" w:cs="Calibri"/>
        </w:rPr>
        <w:t xml:space="preserve"> strategic and appropriately balanced approach </w:t>
      </w:r>
      <w:r w:rsidR="7A452650" w:rsidRPr="0C3CBE43">
        <w:rPr>
          <w:rFonts w:eastAsia="Calibri" w:cs="Calibri"/>
        </w:rPr>
        <w:t>in</w:t>
      </w:r>
      <w:r w:rsidR="54C9B0BD" w:rsidRPr="0C3CBE43">
        <w:rPr>
          <w:rFonts w:eastAsia="Calibri" w:cs="Calibri"/>
        </w:rPr>
        <w:t xml:space="preserve"> </w:t>
      </w:r>
      <w:r w:rsidR="00F61A8C" w:rsidRPr="0C3CBE43">
        <w:rPr>
          <w:rFonts w:eastAsia="Calibri" w:cs="Calibri"/>
        </w:rPr>
        <w:t xml:space="preserve">basic </w:t>
      </w:r>
      <w:r w:rsidR="54C9B0BD" w:rsidRPr="0C3CBE43">
        <w:rPr>
          <w:rFonts w:eastAsia="Calibri" w:cs="Calibri"/>
        </w:rPr>
        <w:t>education to advanc</w:t>
      </w:r>
      <w:r w:rsidR="04AD174C" w:rsidRPr="0C3CBE43">
        <w:rPr>
          <w:rFonts w:eastAsia="Calibri" w:cs="Calibri"/>
        </w:rPr>
        <w:t>e</w:t>
      </w:r>
      <w:r w:rsidR="54C9B0BD" w:rsidRPr="0C3CBE43">
        <w:rPr>
          <w:rFonts w:eastAsia="Calibri" w:cs="Calibri"/>
        </w:rPr>
        <w:t xml:space="preserve">: inclusive student participation and learning; public service delivery systems strengthening and improved efficiency; capacity for responses at the school/community level to external shocks such as </w:t>
      </w:r>
      <w:r w:rsidR="00F61A8C" w:rsidRPr="0C3CBE43">
        <w:rPr>
          <w:rFonts w:eastAsia="Calibri" w:cs="Calibri"/>
        </w:rPr>
        <w:t xml:space="preserve">environmental </w:t>
      </w:r>
      <w:r w:rsidR="54C9B0BD" w:rsidRPr="0C3CBE43">
        <w:rPr>
          <w:rFonts w:eastAsia="Calibri" w:cs="Calibri"/>
        </w:rPr>
        <w:t xml:space="preserve">disasters; and </w:t>
      </w:r>
      <w:proofErr w:type="spellStart"/>
      <w:r w:rsidR="54C9B0BD" w:rsidRPr="0C3CBE43">
        <w:rPr>
          <w:rFonts w:eastAsia="Calibri" w:cs="Calibri"/>
        </w:rPr>
        <w:t>GoA-GoV</w:t>
      </w:r>
      <w:proofErr w:type="spellEnd"/>
      <w:r w:rsidR="54C9B0BD" w:rsidRPr="0C3CBE43">
        <w:rPr>
          <w:rFonts w:eastAsia="Calibri" w:cs="Calibri"/>
        </w:rPr>
        <w:t xml:space="preserve"> policy dialogue that reinforces </w:t>
      </w:r>
      <w:proofErr w:type="spellStart"/>
      <w:r w:rsidR="54C9B0BD" w:rsidRPr="0C3CBE43">
        <w:rPr>
          <w:rFonts w:eastAsia="Calibri" w:cs="Calibri"/>
        </w:rPr>
        <w:t>GoV</w:t>
      </w:r>
      <w:proofErr w:type="spellEnd"/>
      <w:r w:rsidR="54C9B0BD" w:rsidRPr="0C3CBE43">
        <w:rPr>
          <w:rFonts w:eastAsia="Calibri" w:cs="Calibri"/>
        </w:rPr>
        <w:t xml:space="preserve"> as holding primary responsibility for policy and operations</w:t>
      </w:r>
      <w:r w:rsidR="00F61A8C" w:rsidRPr="0C3CBE43">
        <w:rPr>
          <w:rFonts w:eastAsia="Calibri" w:cs="Calibri"/>
        </w:rPr>
        <w:t>, but which recognises the role of development cooperation in influencing systemic reform</w:t>
      </w:r>
      <w:r w:rsidR="54C9B0BD" w:rsidRPr="0C3CBE43">
        <w:rPr>
          <w:rFonts w:eastAsia="Calibri" w:cs="Calibri"/>
        </w:rPr>
        <w:t xml:space="preserve">. </w:t>
      </w:r>
    </w:p>
    <w:p w14:paraId="35773CAD" w14:textId="57BA7E16" w:rsidR="00F15637" w:rsidRPr="00F15637" w:rsidRDefault="00F15637" w:rsidP="00F761A4">
      <w:pPr>
        <w:pStyle w:val="ListParagraph"/>
        <w:numPr>
          <w:ilvl w:val="0"/>
          <w:numId w:val="82"/>
        </w:numPr>
      </w:pPr>
      <w:r>
        <w:t>Build</w:t>
      </w:r>
      <w:r w:rsidR="15C5B264">
        <w:t>ing a</w:t>
      </w:r>
      <w:r>
        <w:t xml:space="preserve"> shared culture of partnership, collaboration, performance, adaptation, inclusion and responsiveness</w:t>
      </w:r>
      <w:r w:rsidR="746C23CD">
        <w:t xml:space="preserve">, that works across </w:t>
      </w:r>
      <w:r w:rsidR="25342425">
        <w:t>all components of the investment</w:t>
      </w:r>
      <w:r w:rsidR="00F61A8C">
        <w:t>.</w:t>
      </w:r>
    </w:p>
    <w:p w14:paraId="18A2C311" w14:textId="6C8E8997" w:rsidR="00F15637" w:rsidRPr="00F761A4" w:rsidRDefault="61FB896C" w:rsidP="00F761A4">
      <w:pPr>
        <w:pStyle w:val="ListParagraph"/>
        <w:numPr>
          <w:ilvl w:val="0"/>
          <w:numId w:val="82"/>
        </w:numPr>
        <w:rPr>
          <w:rFonts w:eastAsia="Calibri" w:cs="Calibri"/>
        </w:rPr>
      </w:pPr>
      <w:r>
        <w:t>Creating a meaningful</w:t>
      </w:r>
      <w:r w:rsidR="4192BAC8">
        <w:t xml:space="preserve"> program logic, theory of change and MEL framework</w:t>
      </w:r>
      <w:r w:rsidR="66FF7007">
        <w:t xml:space="preserve"> which provides clarity of purpose and intention, and a sound foundation for implementation and management.</w:t>
      </w:r>
      <w:r w:rsidR="4192BAC8">
        <w:t xml:space="preserve"> </w:t>
      </w:r>
    </w:p>
    <w:p w14:paraId="3A5F8760" w14:textId="0A80FEF2" w:rsidR="00F15637" w:rsidRDefault="00F15637" w:rsidP="00F761A4">
      <w:pPr>
        <w:pStyle w:val="ListParagraph"/>
        <w:numPr>
          <w:ilvl w:val="0"/>
          <w:numId w:val="82"/>
        </w:numPr>
      </w:pPr>
      <w:r>
        <w:t>Further strengthen</w:t>
      </w:r>
      <w:r w:rsidR="1E66DC3B">
        <w:t>ing</w:t>
      </w:r>
      <w:r>
        <w:t xml:space="preserve"> and enhanc</w:t>
      </w:r>
      <w:r w:rsidR="2C5930E3">
        <w:t>ing</w:t>
      </w:r>
      <w:r>
        <w:t xml:space="preserve"> local leadership with appropriate support from </w:t>
      </w:r>
      <w:r w:rsidR="1B575F20">
        <w:t>“</w:t>
      </w:r>
      <w:r>
        <w:t>useful outsiders</w:t>
      </w:r>
      <w:r w:rsidR="0C79AF4E">
        <w:t>” (as described in VSP reporting).</w:t>
      </w:r>
    </w:p>
    <w:p w14:paraId="2230A077" w14:textId="69382EB1" w:rsidR="00D85677" w:rsidRPr="00F15637" w:rsidRDefault="00B54925" w:rsidP="00D85677">
      <w:pPr>
        <w:pStyle w:val="ListParagraph"/>
        <w:numPr>
          <w:ilvl w:val="0"/>
          <w:numId w:val="82"/>
        </w:numPr>
      </w:pPr>
      <w:r w:rsidRPr="38E62D81">
        <w:rPr>
          <w:rFonts w:cs="Calibri"/>
          <w:color w:val="000000" w:themeColor="text1"/>
        </w:rPr>
        <w:t>Integrating a</w:t>
      </w:r>
      <w:r w:rsidR="00D85677" w:rsidRPr="38E62D81">
        <w:rPr>
          <w:rFonts w:cs="Calibri"/>
          <w:color w:val="000000" w:themeColor="text1"/>
        </w:rPr>
        <w:t xml:space="preserve"> DFA as one mechanism for the delivery of funds to the education </w:t>
      </w:r>
      <w:r w:rsidR="7C393802" w:rsidRPr="38E62D81">
        <w:rPr>
          <w:rFonts w:cs="Calibri"/>
          <w:color w:val="000000" w:themeColor="text1"/>
        </w:rPr>
        <w:t xml:space="preserve">and skills </w:t>
      </w:r>
      <w:r w:rsidR="00D85677" w:rsidRPr="38E62D81">
        <w:rPr>
          <w:rFonts w:cs="Calibri"/>
          <w:color w:val="000000" w:themeColor="text1"/>
        </w:rPr>
        <w:t>sector</w:t>
      </w:r>
      <w:r w:rsidRPr="38E62D81">
        <w:rPr>
          <w:rFonts w:cs="Calibri"/>
          <w:color w:val="000000" w:themeColor="text1"/>
        </w:rPr>
        <w:t>, and h</w:t>
      </w:r>
      <w:r w:rsidR="00D85677" w:rsidRPr="38E62D81">
        <w:rPr>
          <w:rFonts w:cs="Calibri"/>
          <w:color w:val="000000" w:themeColor="text1"/>
        </w:rPr>
        <w:t>ow to utilise the DFA to balance</w:t>
      </w:r>
      <w:r w:rsidR="00E34669" w:rsidRPr="38E62D81">
        <w:rPr>
          <w:rFonts w:cs="Calibri"/>
          <w:color w:val="000000" w:themeColor="text1"/>
        </w:rPr>
        <w:t>:</w:t>
      </w:r>
      <w:r w:rsidR="00D85677" w:rsidRPr="38E62D81">
        <w:rPr>
          <w:rFonts w:cs="Calibri"/>
          <w:color w:val="000000" w:themeColor="text1"/>
        </w:rPr>
        <w:t xml:space="preserve"> education effectiveness, system strengthening and improved efficiency, flexible responses to disaster</w:t>
      </w:r>
      <w:r w:rsidR="00E34669" w:rsidRPr="38E62D81">
        <w:rPr>
          <w:rFonts w:cs="Calibri"/>
          <w:color w:val="000000" w:themeColor="text1"/>
        </w:rPr>
        <w:t xml:space="preserve">s, policy dialogue in support of </w:t>
      </w:r>
      <w:proofErr w:type="spellStart"/>
      <w:r w:rsidR="00E34669" w:rsidRPr="38E62D81">
        <w:rPr>
          <w:rFonts w:cs="Calibri"/>
          <w:color w:val="000000" w:themeColor="text1"/>
        </w:rPr>
        <w:t>GoV</w:t>
      </w:r>
      <w:proofErr w:type="spellEnd"/>
      <w:r w:rsidR="00E34669" w:rsidRPr="38E62D81">
        <w:rPr>
          <w:rFonts w:cs="Calibri"/>
          <w:color w:val="000000" w:themeColor="text1"/>
        </w:rPr>
        <w:t xml:space="preserve"> priorities and leadership. </w:t>
      </w:r>
    </w:p>
    <w:p w14:paraId="7DD92F22" w14:textId="33415979" w:rsidR="00F15637" w:rsidRDefault="00F15637" w:rsidP="00F761A4">
      <w:pPr>
        <w:pStyle w:val="ListParagraph"/>
        <w:numPr>
          <w:ilvl w:val="0"/>
          <w:numId w:val="82"/>
        </w:numPr>
      </w:pPr>
      <w:r>
        <w:t>Ensur</w:t>
      </w:r>
      <w:r w:rsidR="37EC62FB">
        <w:t>ing</w:t>
      </w:r>
      <w:r>
        <w:t xml:space="preserve"> DFAT is resourced to provide strategic leadership and influence as </w:t>
      </w:r>
      <w:r w:rsidR="7F38E89E">
        <w:t xml:space="preserve">a </w:t>
      </w:r>
      <w:r>
        <w:t xml:space="preserve">partner to </w:t>
      </w:r>
      <w:proofErr w:type="spellStart"/>
      <w:r>
        <w:t>GoV</w:t>
      </w:r>
      <w:proofErr w:type="spellEnd"/>
      <w:r w:rsidR="0A68379E">
        <w:t xml:space="preserve"> and </w:t>
      </w:r>
      <w:r w:rsidR="623A6EF8">
        <w:t>as the manager of the investment, and to ensure it can proactively enable the expanded support contractor model</w:t>
      </w:r>
      <w:r w:rsidR="00F61A8C">
        <w:t>.</w:t>
      </w:r>
    </w:p>
    <w:p w14:paraId="46E1BEEF" w14:textId="39D76999" w:rsidR="00B54925" w:rsidRPr="00F15637" w:rsidRDefault="00B54925" w:rsidP="00F761A4">
      <w:pPr>
        <w:pStyle w:val="ListParagraph"/>
        <w:numPr>
          <w:ilvl w:val="0"/>
          <w:numId w:val="82"/>
        </w:numPr>
      </w:pPr>
      <w:r w:rsidRPr="2D65516E">
        <w:rPr>
          <w:rFonts w:cs="Calibri"/>
        </w:rPr>
        <w:t>Integrating gender equality, disability inclusion, and inclusive climate and disaster resilience in line with DFAT’s commitment</w:t>
      </w:r>
      <w:r w:rsidR="009A305D" w:rsidRPr="2D65516E">
        <w:rPr>
          <w:rFonts w:cs="Calibri"/>
        </w:rPr>
        <w:t xml:space="preserve">s, </w:t>
      </w:r>
      <w:r w:rsidRPr="2D65516E">
        <w:rPr>
          <w:rFonts w:cs="Calibri"/>
        </w:rPr>
        <w:t xml:space="preserve">building on existing </w:t>
      </w:r>
      <w:r w:rsidR="213FB6A2" w:rsidRPr="2D65516E">
        <w:rPr>
          <w:rFonts w:cs="Calibri"/>
        </w:rPr>
        <w:t xml:space="preserve">successful approaches </w:t>
      </w:r>
      <w:r w:rsidRPr="2D65516E">
        <w:rPr>
          <w:rFonts w:cs="Calibri"/>
        </w:rPr>
        <w:t xml:space="preserve">in </w:t>
      </w:r>
      <w:r w:rsidR="00993780">
        <w:rPr>
          <w:rFonts w:cs="Calibri"/>
        </w:rPr>
        <w:t>both programs</w:t>
      </w:r>
      <w:r w:rsidRPr="2D65516E">
        <w:rPr>
          <w:rFonts w:cs="Calibri"/>
        </w:rPr>
        <w:t xml:space="preserve"> and further alignment and partnerships with national government and at all levels and civil society, integration within systems, and strong MEL</w:t>
      </w:r>
      <w:r w:rsidR="6AE36A7B" w:rsidRPr="2D65516E">
        <w:rPr>
          <w:rFonts w:cs="Calibri"/>
        </w:rPr>
        <w:t>.</w:t>
      </w:r>
    </w:p>
    <w:bookmarkStart w:id="25" w:name="_Toc190268264"/>
    <w:p w14:paraId="69BF7402" w14:textId="51B60E44" w:rsidR="13B100CE" w:rsidRDefault="00D05718" w:rsidP="3B0D9F72">
      <w:pPr>
        <w:pStyle w:val="Heading1"/>
      </w:pPr>
      <w:r w:rsidRPr="0065380F">
        <w:rPr>
          <w:noProof/>
        </w:rPr>
        <mc:AlternateContent>
          <mc:Choice Requires="wps">
            <w:drawing>
              <wp:anchor distT="0" distB="0" distL="114300" distR="114300" simplePos="0" relativeHeight="251674624" behindDoc="0" locked="0" layoutInCell="1" allowOverlap="1" wp14:anchorId="2AD8EBC1" wp14:editId="2A73D0C2">
                <wp:simplePos x="0" y="0"/>
                <wp:positionH relativeFrom="column">
                  <wp:posOffset>-923925</wp:posOffset>
                </wp:positionH>
                <wp:positionV relativeFrom="paragraph">
                  <wp:posOffset>-46368</wp:posOffset>
                </wp:positionV>
                <wp:extent cx="541421" cy="475248"/>
                <wp:effectExtent l="0" t="0" r="5080" b="0"/>
                <wp:wrapNone/>
                <wp:docPr id="1905621596" name="Rectangle 19056215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60720" id="Rectangle 1905621596" o:spid="_x0000_s1026" alt="&quot;&quot;" style="position:absolute;margin-left:-72.75pt;margin-top:-3.65pt;width:42.65pt;height:37.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" fillcolor="#ffb200" stroked="f" strokeweight="2pt"/>
            </w:pict>
          </mc:Fallback>
        </mc:AlternateContent>
      </w:r>
      <w:r w:rsidR="13B100CE">
        <w:t>Next steps</w:t>
      </w:r>
      <w:bookmarkEnd w:id="25"/>
      <w:r w:rsidR="13B100CE">
        <w:t xml:space="preserve"> </w:t>
      </w:r>
    </w:p>
    <w:p w14:paraId="502E7D15" w14:textId="0402EC52" w:rsidR="00D1450E" w:rsidRDefault="13B100CE" w:rsidP="00D05718">
      <w:r>
        <w:t>Once DFAT has confirmed its preferred way forward for the design in response to these recommendations</w:t>
      </w:r>
      <w:r w:rsidR="59401025">
        <w:t xml:space="preserve">, the design team will work with Post to plan the second stage of the design in </w:t>
      </w:r>
      <w:r w:rsidR="0D5E63BF">
        <w:t>detail</w:t>
      </w:r>
      <w:r w:rsidR="59401025">
        <w:t xml:space="preserve">. The team will </w:t>
      </w:r>
      <w:r w:rsidR="00D1450E">
        <w:t>update</w:t>
      </w:r>
      <w:r w:rsidR="59401025">
        <w:t xml:space="preserve"> the Design Development Plan to reflect these plans and proceed to make </w:t>
      </w:r>
      <w:r w:rsidR="160F58DA">
        <w:t>necessary</w:t>
      </w:r>
      <w:r w:rsidR="59401025">
        <w:t xml:space="preserve"> arrangements for the planned two-week consultations and design development mission in March 2025.</w:t>
      </w:r>
      <w:r w:rsidR="616CC400">
        <w:t xml:space="preserve"> </w:t>
      </w:r>
      <w:r w:rsidR="4A8DD258">
        <w:t>The design team leader will also contribute, as required, to DFAT’s development of the Investment Concept Note for submission to the Development Programming Committee in January 2025. It is planned that the Investment Design Document will be finalised by 30 June 2025, ready for DFAT procurement and the commencement of a new contrac</w:t>
      </w:r>
      <w:r w:rsidR="31DF272E">
        <w:t xml:space="preserve">t at the start of 2026. </w:t>
      </w:r>
    </w:p>
    <w:p w14:paraId="31C15380" w14:textId="7D7A196E" w:rsidR="0069600A" w:rsidRPr="00D05718" w:rsidRDefault="0069600A" w:rsidP="00D05718">
      <w:r>
        <w:br w:type="page"/>
      </w:r>
    </w:p>
    <w:bookmarkStart w:id="26" w:name="_Toc190268265"/>
    <w:p w14:paraId="11874EE8" w14:textId="6F032511" w:rsidR="00047976" w:rsidRDefault="0095602B" w:rsidP="00F15637">
      <w:pPr>
        <w:pStyle w:val="Heading1"/>
        <w:numPr>
          <w:ilvl w:val="0"/>
          <w:numId w:val="0"/>
        </w:numPr>
      </w:pPr>
      <w:r w:rsidRPr="0065380F">
        <w:rPr>
          <w:noProof/>
        </w:rPr>
        <mc:AlternateContent>
          <mc:Choice Requires="wps">
            <w:drawing>
              <wp:anchor distT="0" distB="0" distL="114300" distR="114300" simplePos="0" relativeHeight="251676672" behindDoc="0" locked="0" layoutInCell="1" allowOverlap="1" wp14:anchorId="66B1EF24" wp14:editId="31184D9A">
                <wp:simplePos x="0" y="0"/>
                <wp:positionH relativeFrom="column">
                  <wp:posOffset>-942975</wp:posOffset>
                </wp:positionH>
                <wp:positionV relativeFrom="paragraph">
                  <wp:posOffset>-77470</wp:posOffset>
                </wp:positionV>
                <wp:extent cx="541421" cy="475248"/>
                <wp:effectExtent l="0" t="0" r="5080" b="0"/>
                <wp:wrapNone/>
                <wp:docPr id="2058828342" name="Rectangle 2058828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w:pict w14:anchorId="0D970C6C">
              <v:rect id="Rectangle 2058828342" style="position:absolute;margin-left:-74.25pt;margin-top:-6.1pt;width:42.65pt;height:37.4pt;z-index:25167667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fb200" stroked="f" strokeweight="2pt" w14:anchorId="33B42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"/>
            </w:pict>
          </mc:Fallback>
        </mc:AlternateContent>
      </w:r>
      <w:r w:rsidR="25EB3255">
        <w:t>Annex</w:t>
      </w:r>
      <w:r w:rsidR="614D1B49">
        <w:t xml:space="preserve"> 1: L</w:t>
      </w:r>
      <w:r w:rsidR="25EB3255">
        <w:t>ist of people consulted</w:t>
      </w:r>
      <w:bookmarkEnd w:id="26"/>
      <w:r w:rsidR="25EB3255">
        <w:t xml:space="preserve"> </w:t>
      </w:r>
    </w:p>
    <w:p w14:paraId="7689BCB0" w14:textId="594049EB" w:rsidR="001C365C" w:rsidRDefault="2314E0CB" w:rsidP="3B0D9F72">
      <w:pPr>
        <w:rPr>
          <w:b/>
          <w:bCs/>
        </w:rPr>
      </w:pPr>
      <w:r w:rsidRPr="3B0D9F72">
        <w:rPr>
          <w:b/>
          <w:bCs/>
        </w:rPr>
        <w:t>Government of Vanuatu</w:t>
      </w:r>
    </w:p>
    <w:tbl>
      <w:tblPr>
        <w:tblW w:w="934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336"/>
        <w:gridCol w:w="2348"/>
        <w:gridCol w:w="4664"/>
      </w:tblGrid>
      <w:tr w:rsidR="001C365C" w:rsidRPr="0069600A" w14:paraId="5A2E040B" w14:textId="77777777" w:rsidTr="3326E6A4">
        <w:trPr>
          <w:trHeight w:val="300"/>
          <w:tblHeader/>
        </w:trPr>
        <w:tc>
          <w:tcPr>
            <w:tcW w:w="2336"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25FA6EE" w14:textId="77777777" w:rsidR="001C365C" w:rsidRPr="0069600A" w:rsidRDefault="001C365C" w:rsidP="0069600A">
            <w:r w:rsidRPr="3B0D9F72">
              <w:rPr>
                <w:b/>
                <w:bCs/>
              </w:rPr>
              <w:t>Organisation</w:t>
            </w:r>
            <w:r>
              <w:t> </w:t>
            </w:r>
          </w:p>
        </w:tc>
        <w:tc>
          <w:tcPr>
            <w:tcW w:w="2348"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A93EBC7" w14:textId="77777777" w:rsidR="001C365C" w:rsidRPr="0069600A" w:rsidRDefault="001C365C" w:rsidP="0069600A">
            <w:r w:rsidRPr="3B0D9F72">
              <w:rPr>
                <w:b/>
                <w:bCs/>
              </w:rPr>
              <w:t>Name</w:t>
            </w:r>
            <w:r>
              <w:t> </w:t>
            </w:r>
          </w:p>
        </w:tc>
        <w:tc>
          <w:tcPr>
            <w:tcW w:w="466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67C8F9AC" w14:textId="77777777" w:rsidR="001C365C" w:rsidRPr="0069600A" w:rsidRDefault="001C365C" w:rsidP="0069600A">
            <w:r w:rsidRPr="3B0D9F72">
              <w:rPr>
                <w:b/>
                <w:bCs/>
              </w:rPr>
              <w:t>Position</w:t>
            </w:r>
            <w:r>
              <w:t> </w:t>
            </w:r>
          </w:p>
        </w:tc>
      </w:tr>
      <w:tr w:rsidR="001C365C" w:rsidRPr="0069600A" w14:paraId="7568A595"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D9F587" w14:textId="1D11F2B0" w:rsidR="001C365C" w:rsidRPr="0069600A" w:rsidRDefault="001C365C" w:rsidP="0064656C">
            <w:pPr>
              <w:pStyle w:val="listofpeople"/>
            </w:pPr>
            <w:proofErr w:type="spellStart"/>
            <w:r>
              <w:t>M</w:t>
            </w:r>
            <w:r w:rsidR="12430029">
              <w:t>o</w:t>
            </w:r>
            <w:r>
              <w:t>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AD1A87" w14:textId="77777777" w:rsidR="001C365C" w:rsidRPr="0069600A" w:rsidRDefault="001C365C" w:rsidP="0064656C">
            <w:pPr>
              <w:pStyle w:val="listofpeople"/>
            </w:pPr>
            <w:r>
              <w:t xml:space="preserve">John </w:t>
            </w:r>
            <w:proofErr w:type="spellStart"/>
            <w:r>
              <w:t>Kaltau</w:t>
            </w:r>
            <w:proofErr w:type="spellEnd"/>
            <w:r>
              <w:t>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DF88C1" w14:textId="4817BE29" w:rsidR="001C365C" w:rsidRPr="0069600A" w:rsidRDefault="001C365C" w:rsidP="0064656C">
            <w:pPr>
              <w:pStyle w:val="listofpeople"/>
            </w:pPr>
            <w:r>
              <w:t xml:space="preserve">Acting </w:t>
            </w:r>
            <w:r w:rsidR="00F761A4">
              <w:t xml:space="preserve">Director General/ </w:t>
            </w:r>
            <w:r>
              <w:t>Dir</w:t>
            </w:r>
            <w:r w:rsidR="03253D69">
              <w:t>ector,</w:t>
            </w:r>
            <w:r>
              <w:t xml:space="preserve"> Tertiary Education Directorate </w:t>
            </w:r>
          </w:p>
        </w:tc>
      </w:tr>
      <w:tr w:rsidR="00E544E7" w14:paraId="60148636"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AD7F8B" w14:textId="10314C69" w:rsidR="00E544E7"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CDF5A8" w14:textId="57888CE0" w:rsidR="00E544E7" w:rsidRDefault="00E544E7" w:rsidP="00E544E7">
            <w:pPr>
              <w:pStyle w:val="listofpeople"/>
            </w:pPr>
            <w:r>
              <w:t xml:space="preserve">Bergmans </w:t>
            </w:r>
            <w:proofErr w:type="spellStart"/>
            <w:r>
              <w:t>Iati</w:t>
            </w:r>
            <w:proofErr w:type="spellEnd"/>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6E8587" w14:textId="58A6E8FD" w:rsidR="00E544E7" w:rsidRDefault="00E544E7" w:rsidP="00E544E7">
            <w:pPr>
              <w:pStyle w:val="listofpeople"/>
            </w:pPr>
            <w:r>
              <w:t>Director-General</w:t>
            </w:r>
          </w:p>
        </w:tc>
      </w:tr>
      <w:tr w:rsidR="00E544E7" w:rsidRPr="0069600A" w14:paraId="16B570BF"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0B6381" w14:textId="4E4D0387" w:rsidR="00E544E7" w:rsidRPr="0069600A"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F534C3" w14:textId="77777777" w:rsidR="00E544E7" w:rsidRPr="0069600A" w:rsidRDefault="00E544E7" w:rsidP="00E544E7">
            <w:pPr>
              <w:pStyle w:val="listofpeople"/>
            </w:pPr>
            <w:r>
              <w:t>Gideon John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F60212" w14:textId="6E8523E3" w:rsidR="00E544E7" w:rsidRPr="0069600A" w:rsidRDefault="00E544E7" w:rsidP="00E544E7">
            <w:pPr>
              <w:pStyle w:val="listofpeople"/>
            </w:pPr>
            <w:r>
              <w:t xml:space="preserve">Director, Policy and Planning </w:t>
            </w:r>
          </w:p>
        </w:tc>
      </w:tr>
      <w:tr w:rsidR="00E544E7" w:rsidRPr="0069600A" w14:paraId="6598C71D"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DAA4EE" w14:textId="7B8D3266" w:rsidR="00E544E7" w:rsidRPr="0069600A"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F61D3F" w14:textId="56633ABB" w:rsidR="00E544E7" w:rsidRPr="0069600A" w:rsidRDefault="00E544E7" w:rsidP="00E544E7">
            <w:pPr>
              <w:pStyle w:val="listofpeople"/>
            </w:pPr>
            <w:r>
              <w:t>John Jacques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CCCB1B" w14:textId="647F3DC6" w:rsidR="00E544E7" w:rsidRPr="0069600A" w:rsidRDefault="00E544E7" w:rsidP="00E544E7">
            <w:pPr>
              <w:pStyle w:val="listofpeople"/>
            </w:pPr>
            <w:r>
              <w:t>Acting Director, Education Services </w:t>
            </w:r>
          </w:p>
        </w:tc>
      </w:tr>
      <w:tr w:rsidR="00E544E7" w14:paraId="0DFCF205"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47114E" w14:textId="72D36385" w:rsidR="00E544E7"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E87A48" w14:textId="75121599" w:rsidR="00E544E7" w:rsidRPr="0064656C" w:rsidRDefault="00E544E7" w:rsidP="00E544E7">
            <w:pPr>
              <w:pStyle w:val="listofpeople"/>
            </w:pPr>
            <w:r w:rsidRPr="0064656C">
              <w:t xml:space="preserve">Marcel </w:t>
            </w:r>
            <w:proofErr w:type="spellStart"/>
            <w:r w:rsidRPr="0064656C">
              <w:t>Yamsiu</w:t>
            </w:r>
            <w:proofErr w:type="spellEnd"/>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9E8AD9" w14:textId="5936FE47" w:rsidR="00E544E7" w:rsidRDefault="00E544E7" w:rsidP="00E544E7">
            <w:pPr>
              <w:pStyle w:val="listofpeople"/>
            </w:pPr>
            <w:r>
              <w:t>Principal Education Officer, Education Services</w:t>
            </w:r>
          </w:p>
        </w:tc>
      </w:tr>
      <w:tr w:rsidR="00E544E7" w:rsidRPr="0069600A" w14:paraId="424BBF22"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F65AE3" w14:textId="329DD7E2" w:rsidR="00E544E7" w:rsidRPr="0069600A"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09B1DF" w14:textId="01DC2C4D" w:rsidR="00E544E7" w:rsidRPr="0069600A" w:rsidRDefault="00E544E7" w:rsidP="00E544E7">
            <w:pPr>
              <w:pStyle w:val="listofpeople"/>
            </w:pPr>
            <w:r>
              <w:t>Annette Samuels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F99812" w14:textId="014AF685" w:rsidR="00E544E7" w:rsidRPr="0069600A" w:rsidRDefault="00E544E7" w:rsidP="00E544E7">
            <w:pPr>
              <w:pStyle w:val="listofpeople"/>
            </w:pPr>
            <w:r>
              <w:t>Acting Principal Education Officer, Exams and Assessment Unit </w:t>
            </w:r>
          </w:p>
        </w:tc>
      </w:tr>
      <w:tr w:rsidR="00E544E7" w:rsidRPr="0069600A" w14:paraId="1AAF9D69"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C40B26" w14:textId="6C6FC899" w:rsidR="00E544E7" w:rsidRPr="0069600A"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ECA611" w14:textId="30198C84" w:rsidR="00E544E7" w:rsidRPr="0069600A" w:rsidRDefault="00E544E7" w:rsidP="00E544E7">
            <w:pPr>
              <w:pStyle w:val="listofpeople"/>
            </w:pPr>
            <w:r>
              <w:t xml:space="preserve">Angelinah Eldad </w:t>
            </w:r>
            <w:proofErr w:type="spellStart"/>
            <w:r>
              <w:t>Virah</w:t>
            </w:r>
            <w:proofErr w:type="spellEnd"/>
            <w:r>
              <w:t>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ABBE48" w14:textId="350B3465" w:rsidR="00E544E7" w:rsidRPr="0069600A" w:rsidRDefault="00E544E7" w:rsidP="00E544E7">
            <w:pPr>
              <w:pStyle w:val="listofpeople"/>
            </w:pPr>
            <w:r>
              <w:t>Principal Education Officer, Curriculum Development Unit  </w:t>
            </w:r>
          </w:p>
        </w:tc>
      </w:tr>
      <w:tr w:rsidR="00E544E7" w:rsidRPr="0069600A" w14:paraId="37F386E3"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249C90" w14:textId="176F8B13" w:rsidR="00E544E7" w:rsidRPr="0069600A"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971C9F" w14:textId="0F8D8CC7" w:rsidR="00E544E7" w:rsidRPr="0069600A" w:rsidRDefault="00E544E7" w:rsidP="00E544E7">
            <w:pPr>
              <w:pStyle w:val="listofpeople"/>
            </w:pPr>
            <w:r>
              <w:t>Thomson Wari Paul</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31F793" w14:textId="0835C8E5" w:rsidR="00E544E7" w:rsidRPr="0069600A" w:rsidRDefault="00E544E7" w:rsidP="00E544E7">
            <w:pPr>
              <w:pStyle w:val="listofpeople"/>
            </w:pPr>
            <w:r>
              <w:t xml:space="preserve">Provincial Education Officer, SANMA   </w:t>
            </w:r>
          </w:p>
        </w:tc>
      </w:tr>
      <w:tr w:rsidR="00E544E7" w14:paraId="007F5EC4"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0EBA20" w14:textId="2D370430" w:rsidR="00E544E7"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530B74" w14:textId="2DE32512" w:rsidR="00E544E7" w:rsidRDefault="00E544E7" w:rsidP="00E544E7">
            <w:pPr>
              <w:pStyle w:val="listofpeople"/>
            </w:pPr>
            <w:r>
              <w:t xml:space="preserve">Carolyne Mahana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2F7F96" w14:textId="5E6690F2" w:rsidR="00E544E7" w:rsidRDefault="00E544E7" w:rsidP="00E544E7">
            <w:pPr>
              <w:pStyle w:val="listofpeople"/>
            </w:pPr>
            <w:r>
              <w:t xml:space="preserve">VEMIS Officer, PENAMA </w:t>
            </w:r>
          </w:p>
        </w:tc>
      </w:tr>
      <w:tr w:rsidR="00E544E7" w:rsidRPr="0069600A" w14:paraId="2EE9B9D5"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871665" w14:textId="32A86654" w:rsidR="00E544E7" w:rsidRPr="0069600A"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731E0D" w14:textId="32854D77" w:rsidR="00E544E7" w:rsidRPr="0069600A" w:rsidRDefault="00E544E7" w:rsidP="00E544E7">
            <w:pPr>
              <w:pStyle w:val="listofpeople"/>
            </w:pPr>
            <w:r>
              <w:t xml:space="preserve">Jerrol Joseph </w:t>
            </w:r>
            <w:proofErr w:type="spellStart"/>
            <w:r>
              <w:t>Arnhambat</w:t>
            </w:r>
            <w:proofErr w:type="spellEnd"/>
            <w:r>
              <w:t>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5487C6" w14:textId="2412D97F" w:rsidR="00E544E7" w:rsidRPr="0069600A" w:rsidRDefault="00E544E7" w:rsidP="00E544E7">
            <w:pPr>
              <w:pStyle w:val="listofpeople"/>
            </w:pPr>
            <w:r>
              <w:t>Principal Education Officer, Teacher Development </w:t>
            </w:r>
          </w:p>
        </w:tc>
      </w:tr>
      <w:tr w:rsidR="00E544E7" w:rsidRPr="0069600A" w14:paraId="27CB5013"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E5CB50" w14:textId="016A6389" w:rsidR="00E544E7" w:rsidRPr="0069600A"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B59348" w14:textId="25D19D63" w:rsidR="00E544E7" w:rsidRPr="0069600A" w:rsidRDefault="00E544E7" w:rsidP="00E544E7">
            <w:pPr>
              <w:pStyle w:val="listofpeople"/>
            </w:pPr>
            <w:r>
              <w:t>Joe Gideon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DFF51E" w14:textId="06FEEB93" w:rsidR="00E544E7" w:rsidRPr="0069600A" w:rsidRDefault="00E544E7" w:rsidP="00E544E7">
            <w:pPr>
              <w:pStyle w:val="listofpeople"/>
            </w:pPr>
            <w:r>
              <w:t>Principal Education Officer, Scholarships </w:t>
            </w:r>
          </w:p>
        </w:tc>
      </w:tr>
      <w:tr w:rsidR="00E544E7" w14:paraId="4743C315"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F4B984" w14:textId="69792907" w:rsidR="00E544E7"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B15C9D" w14:textId="0C464AAE" w:rsidR="00E544E7" w:rsidRDefault="00E544E7" w:rsidP="00E544E7">
            <w:pPr>
              <w:pStyle w:val="listofpeople"/>
            </w:pPr>
            <w:r>
              <w:t>Julia Whippy</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ED47AE" w14:textId="48233344" w:rsidR="00E544E7" w:rsidRDefault="00E544E7" w:rsidP="00E544E7">
            <w:pPr>
              <w:pStyle w:val="listofpeople"/>
            </w:pPr>
            <w:r>
              <w:t>Principal Education Officer, Finance</w:t>
            </w:r>
          </w:p>
        </w:tc>
      </w:tr>
      <w:tr w:rsidR="00E544E7" w14:paraId="58491518"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A66F09" w14:textId="6827DC77" w:rsidR="00E544E7" w:rsidRDefault="00E544E7" w:rsidP="00E544E7">
            <w:pPr>
              <w:pStyle w:val="listofpeople"/>
            </w:pPr>
            <w:proofErr w:type="spellStart"/>
            <w:r w:rsidRPr="00BD548C">
              <w:t>MoET</w:t>
            </w:r>
            <w:proofErr w:type="spellEnd"/>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91ADEA" w14:textId="332BF7B7" w:rsidR="00E544E7" w:rsidRDefault="00E544E7" w:rsidP="00E544E7">
            <w:pPr>
              <w:pStyle w:val="listofpeople"/>
            </w:pPr>
            <w:r>
              <w:t>John Tari</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7E9A01" w14:textId="7C3C8402" w:rsidR="00E544E7" w:rsidRDefault="00E544E7" w:rsidP="00E544E7">
            <w:pPr>
              <w:pStyle w:val="listofpeople"/>
            </w:pPr>
            <w:r>
              <w:t>Provincial Education Officer, PENAMA</w:t>
            </w:r>
          </w:p>
        </w:tc>
      </w:tr>
      <w:tr w:rsidR="001C365C" w:rsidRPr="0069600A" w14:paraId="6B159DF8"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83178E" w14:textId="2DD118A3" w:rsidR="001C365C" w:rsidRPr="0069600A" w:rsidRDefault="001C365C" w:rsidP="0064656C">
            <w:pPr>
              <w:pStyle w:val="listofpeople"/>
            </w:pPr>
            <w:r>
              <w:t>Vanuatu Qualifications Authority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2B59CF" w14:textId="49AAF34A" w:rsidR="001C365C" w:rsidRPr="0069600A" w:rsidRDefault="001C365C" w:rsidP="0064656C">
            <w:pPr>
              <w:pStyle w:val="listofpeople"/>
            </w:pPr>
            <w:proofErr w:type="spellStart"/>
            <w:r>
              <w:t>Lesbeth</w:t>
            </w:r>
            <w:proofErr w:type="spellEnd"/>
            <w:r>
              <w:t xml:space="preserve"> Jimmy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212F05" w14:textId="3E444210" w:rsidR="001C365C" w:rsidRPr="0069600A" w:rsidRDefault="001C365C" w:rsidP="0064656C">
            <w:pPr>
              <w:pStyle w:val="listofpeople"/>
            </w:pPr>
            <w:r>
              <w:t>Acting CEO (Assistant CEO) </w:t>
            </w:r>
          </w:p>
        </w:tc>
      </w:tr>
      <w:tr w:rsidR="00E544E7" w:rsidRPr="0069600A" w14:paraId="78DD8A9A" w14:textId="77777777" w:rsidTr="3326E6A4">
        <w:trPr>
          <w:trHeight w:val="788"/>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3746A" w14:textId="5E418934" w:rsidR="00E544E7" w:rsidRPr="0069600A" w:rsidRDefault="00E544E7" w:rsidP="00E544E7">
            <w:pPr>
              <w:pStyle w:val="listofpeople"/>
            </w:pPr>
            <w:r w:rsidRPr="00601DA0">
              <w:t>Vanuatu Qualifications Authority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25F194" w14:textId="02021ED2" w:rsidR="00E544E7" w:rsidRPr="0069600A" w:rsidRDefault="00E544E7" w:rsidP="00E544E7">
            <w:pPr>
              <w:pStyle w:val="listofpeople"/>
            </w:pPr>
            <w:r>
              <w:t xml:space="preserve">Talita </w:t>
            </w:r>
            <w:proofErr w:type="spellStart"/>
            <w:r>
              <w:t>Giyomatala-Tarileo</w:t>
            </w:r>
            <w:proofErr w:type="spellEnd"/>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B1AA42" w14:textId="26C554A8" w:rsidR="00E544E7" w:rsidRPr="0069600A" w:rsidRDefault="00E544E7" w:rsidP="00E544E7">
            <w:pPr>
              <w:pStyle w:val="listofpeople"/>
            </w:pPr>
            <w:r>
              <w:t>Principal Officer, Competency Development Unit </w:t>
            </w:r>
          </w:p>
        </w:tc>
      </w:tr>
      <w:tr w:rsidR="00E544E7" w:rsidRPr="0069600A" w14:paraId="1AA4CB92"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3E6662" w14:textId="133974E6" w:rsidR="00E544E7" w:rsidRPr="0069600A" w:rsidRDefault="00E544E7" w:rsidP="00E544E7">
            <w:pPr>
              <w:pStyle w:val="listofpeople"/>
            </w:pPr>
            <w:r w:rsidRPr="00601DA0">
              <w:t>Vanuatu Qualifications Authority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EA7ECA" w14:textId="24408DE8" w:rsidR="00E544E7" w:rsidRPr="0069600A" w:rsidRDefault="00E544E7" w:rsidP="00E544E7">
            <w:pPr>
              <w:pStyle w:val="listofpeople"/>
            </w:pPr>
            <w:r>
              <w:t>Adlyn Wesly</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0EE646" w14:textId="5BD96591" w:rsidR="00E544E7" w:rsidRPr="0069600A" w:rsidRDefault="00E544E7" w:rsidP="00E544E7">
            <w:pPr>
              <w:pStyle w:val="listofpeople"/>
            </w:pPr>
            <w:r>
              <w:t>Principal Officer, Standards and Qualifications Delivery  </w:t>
            </w:r>
          </w:p>
        </w:tc>
      </w:tr>
      <w:tr w:rsidR="001C365C" w:rsidRPr="0069600A" w14:paraId="3622D7C7"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B996C5" w14:textId="572552B9" w:rsidR="001C365C" w:rsidRPr="0069600A" w:rsidRDefault="28D05A79" w:rsidP="0064656C">
            <w:pPr>
              <w:pStyle w:val="listofpeople"/>
            </w:pPr>
            <w:r>
              <w:t>Ministry of Justice and Community Services</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D9D503" w14:textId="3F9300FC" w:rsidR="001C365C" w:rsidRPr="0069600A" w:rsidRDefault="28D05A79" w:rsidP="0064656C">
            <w:pPr>
              <w:pStyle w:val="listofpeople"/>
            </w:pPr>
            <w:r>
              <w:t xml:space="preserve">Ginette Morris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CDBEEF" w14:textId="1989CABE" w:rsidR="001C365C" w:rsidRPr="0069600A" w:rsidRDefault="28D05A79" w:rsidP="0064656C">
            <w:pPr>
              <w:pStyle w:val="listofpeople"/>
            </w:pPr>
            <w:r>
              <w:t xml:space="preserve">Disability Desk Officer </w:t>
            </w:r>
          </w:p>
        </w:tc>
      </w:tr>
      <w:tr w:rsidR="001C365C" w:rsidRPr="0069600A" w14:paraId="62F4E9EB"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0008AC" w14:textId="09930A9B" w:rsidR="001C365C" w:rsidRPr="0069600A" w:rsidRDefault="001C365C" w:rsidP="0064656C">
            <w:pPr>
              <w:pStyle w:val="listofpeople"/>
            </w:pPr>
            <w:r>
              <w:t>Department of Industry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59706C" w14:textId="1F618FA5" w:rsidR="001C365C" w:rsidRPr="0069600A" w:rsidRDefault="2FC37B24" w:rsidP="0064656C">
            <w:pPr>
              <w:pStyle w:val="listofpeople"/>
            </w:pPr>
            <w:r>
              <w:t>Margaret Alili</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3AB315" w14:textId="6915352B" w:rsidR="001C365C" w:rsidRPr="0069600A" w:rsidRDefault="001C365C" w:rsidP="0064656C">
            <w:pPr>
              <w:pStyle w:val="listofpeople"/>
            </w:pPr>
            <w:r>
              <w:t> </w:t>
            </w:r>
            <w:r w:rsidR="3C304895">
              <w:t>S</w:t>
            </w:r>
            <w:r w:rsidR="1B92A5CC">
              <w:t>e</w:t>
            </w:r>
            <w:r w:rsidR="3C304895">
              <w:t xml:space="preserve">nior creative industry officer </w:t>
            </w:r>
          </w:p>
        </w:tc>
      </w:tr>
      <w:tr w:rsidR="001C365C" w:rsidRPr="0069600A" w14:paraId="32F73CF5"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2CDC79" w14:textId="5C0E5376" w:rsidR="001C365C" w:rsidRPr="0069600A" w:rsidRDefault="001C365C" w:rsidP="0064656C">
            <w:pPr>
              <w:pStyle w:val="listofpeople"/>
            </w:pPr>
            <w:r>
              <w:t>Department of Women's Affairs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12F223" w14:textId="4C6BD7C9" w:rsidR="001C365C" w:rsidRPr="0069600A" w:rsidRDefault="1904AB5A" w:rsidP="0064656C">
            <w:pPr>
              <w:pStyle w:val="listofpeople"/>
            </w:pPr>
            <w:r>
              <w:t xml:space="preserve">Stephanie Mael </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DFFCEF" w14:textId="590469BF" w:rsidR="001C365C" w:rsidRPr="0069600A" w:rsidRDefault="001C365C" w:rsidP="0064656C">
            <w:pPr>
              <w:pStyle w:val="listofpeople"/>
            </w:pPr>
            <w:r>
              <w:t> </w:t>
            </w:r>
            <w:r w:rsidR="4A620424">
              <w:t xml:space="preserve">Gender Officer </w:t>
            </w:r>
          </w:p>
        </w:tc>
      </w:tr>
      <w:tr w:rsidR="001C365C" w:rsidRPr="0069600A" w14:paraId="26891522"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47F654" w14:textId="1F7BB213" w:rsidR="001C365C" w:rsidRPr="0069600A" w:rsidRDefault="001C365C" w:rsidP="0064656C">
            <w:pPr>
              <w:pStyle w:val="listofpeople"/>
            </w:pPr>
            <w:r>
              <w:t>Department of Agriculture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C1C644" w14:textId="3A35FE0C" w:rsidR="001C365C" w:rsidRPr="0069600A" w:rsidRDefault="509576FB" w:rsidP="0064656C">
            <w:pPr>
              <w:pStyle w:val="listofpeople"/>
            </w:pPr>
            <w:r>
              <w:t xml:space="preserve">Mark </w:t>
            </w:r>
            <w:proofErr w:type="spellStart"/>
            <w:r>
              <w:t>Vurabaravu</w:t>
            </w:r>
            <w:proofErr w:type="spellEnd"/>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DFD8B4" w14:textId="2A3F0F54" w:rsidR="001C365C" w:rsidRPr="0069600A" w:rsidRDefault="509576FB" w:rsidP="0064656C">
            <w:pPr>
              <w:pStyle w:val="listofpeople"/>
            </w:pPr>
            <w:r>
              <w:t xml:space="preserve">Deputy Director </w:t>
            </w:r>
          </w:p>
        </w:tc>
      </w:tr>
      <w:tr w:rsidR="001C365C" w:rsidRPr="0069600A" w14:paraId="44D37910"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0153E6" w14:textId="537EB47A" w:rsidR="001C365C" w:rsidRPr="0069600A" w:rsidRDefault="5CC4AD1B" w:rsidP="0064656C">
            <w:pPr>
              <w:pStyle w:val="listofpeople"/>
            </w:pPr>
            <w:r>
              <w:t xml:space="preserve">Vanuatu </w:t>
            </w:r>
            <w:r w:rsidR="001C365C">
              <w:t>Intellectual Property Office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FC5794" w14:textId="667EE2A5" w:rsidR="001C365C" w:rsidRPr="0069600A" w:rsidRDefault="0A2DD2A0" w:rsidP="0064656C">
            <w:pPr>
              <w:pStyle w:val="listofpeople"/>
            </w:pPr>
            <w:proofErr w:type="spellStart"/>
            <w:r>
              <w:t>Lorensize</w:t>
            </w:r>
            <w:proofErr w:type="spellEnd"/>
            <w:r>
              <w:t xml:space="preserve"> </w:t>
            </w:r>
            <w:proofErr w:type="spellStart"/>
            <w:r>
              <w:t>Lingtamat</w:t>
            </w:r>
            <w:proofErr w:type="spellEnd"/>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B88502" w14:textId="322E1312" w:rsidR="001C365C" w:rsidRPr="0069600A" w:rsidRDefault="001C365C" w:rsidP="0064656C">
            <w:pPr>
              <w:pStyle w:val="listofpeople"/>
            </w:pPr>
            <w:r>
              <w:t> </w:t>
            </w:r>
            <w:r w:rsidR="746AD896">
              <w:t xml:space="preserve">Copyright </w:t>
            </w:r>
            <w:r w:rsidR="0064656C">
              <w:t>O</w:t>
            </w:r>
            <w:r w:rsidR="746AD896">
              <w:t>fficer</w:t>
            </w:r>
          </w:p>
        </w:tc>
      </w:tr>
      <w:tr w:rsidR="001C365C" w:rsidRPr="0069600A" w14:paraId="5EED5B99"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2D24D7" w14:textId="68C877DE" w:rsidR="001C365C" w:rsidRPr="0069600A" w:rsidRDefault="001C365C" w:rsidP="0064656C">
            <w:pPr>
              <w:pStyle w:val="listofpeople"/>
            </w:pPr>
            <w:r>
              <w:t>Vanuatu Institute of Public Administration</w:t>
            </w:r>
            <w:r w:rsidR="005C131B">
              <w:t xml:space="preserve"> and Management</w:t>
            </w:r>
            <w:r>
              <w:t>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EB0282" w14:textId="3C771741" w:rsidR="001C365C" w:rsidRPr="0069600A" w:rsidRDefault="3C83F02F" w:rsidP="0064656C">
            <w:pPr>
              <w:pStyle w:val="listofpeople"/>
            </w:pPr>
            <w:r>
              <w:t>Pal</w:t>
            </w:r>
            <w:r w:rsidR="0744D1AD">
              <w:t>a</w:t>
            </w:r>
            <w:r>
              <w:t xml:space="preserve"> Luen</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CBE3C2" w14:textId="596D3281" w:rsidR="001C365C" w:rsidRPr="0069600A" w:rsidRDefault="5AA47697" w:rsidP="0064656C">
            <w:pPr>
              <w:pStyle w:val="listofpeople"/>
            </w:pPr>
            <w:r>
              <w:t>Manager of Vanuatu Institution of Public Administration and Management</w:t>
            </w:r>
          </w:p>
        </w:tc>
      </w:tr>
      <w:tr w:rsidR="001C365C" w:rsidRPr="0069600A" w14:paraId="1D7DBBE0" w14:textId="77777777" w:rsidTr="3326E6A4">
        <w:trPr>
          <w:trHeight w:val="300"/>
        </w:trPr>
        <w:tc>
          <w:tcPr>
            <w:tcW w:w="2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34DBA5" w14:textId="1FC3F094" w:rsidR="001C365C" w:rsidRPr="0069600A" w:rsidRDefault="001C365C" w:rsidP="0064656C">
            <w:pPr>
              <w:pStyle w:val="listofpeople"/>
            </w:pPr>
            <w:r>
              <w:t>Department of Tourism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DB2DDE" w14:textId="5262C65B" w:rsidR="001C365C" w:rsidRPr="0069600A" w:rsidRDefault="33A122B2" w:rsidP="0064656C">
            <w:pPr>
              <w:pStyle w:val="listofpeople"/>
            </w:pPr>
            <w:r>
              <w:t>Geraldine Tari</w:t>
            </w:r>
          </w:p>
        </w:tc>
        <w:tc>
          <w:tcPr>
            <w:tcW w:w="46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7B9131" w14:textId="6055776C" w:rsidR="001C365C" w:rsidRPr="0069600A" w:rsidRDefault="5186F86F" w:rsidP="0064656C">
            <w:pPr>
              <w:pStyle w:val="listofpeople"/>
            </w:pPr>
            <w:r>
              <w:t xml:space="preserve">Principal Accreditation </w:t>
            </w:r>
            <w:r w:rsidR="4F79180A">
              <w:t>O</w:t>
            </w:r>
            <w:r>
              <w:t xml:space="preserve">fficer </w:t>
            </w:r>
          </w:p>
        </w:tc>
      </w:tr>
    </w:tbl>
    <w:p w14:paraId="08B77473" w14:textId="77777777" w:rsidR="00B245A4" w:rsidRDefault="00B245A4" w:rsidP="00B245A4">
      <w:pPr>
        <w:pStyle w:val="NoSpacing"/>
      </w:pPr>
    </w:p>
    <w:p w14:paraId="3E7605F5" w14:textId="18477746" w:rsidR="659B2992" w:rsidRDefault="659B2992" w:rsidP="3B0D9F72">
      <w:pPr>
        <w:rPr>
          <w:b/>
          <w:bCs/>
        </w:rPr>
      </w:pPr>
      <w:r w:rsidRPr="3B0D9F72">
        <w:rPr>
          <w:b/>
          <w:bCs/>
        </w:rPr>
        <w:t>VAESP</w:t>
      </w:r>
    </w:p>
    <w:tbl>
      <w:tblPr>
        <w:tblW w:w="934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299"/>
        <w:gridCol w:w="2362"/>
        <w:gridCol w:w="4687"/>
      </w:tblGrid>
      <w:tr w:rsidR="3B0D9F72" w14:paraId="4F250659" w14:textId="77777777" w:rsidTr="00495488">
        <w:trPr>
          <w:trHeight w:val="458"/>
          <w:tblHeader/>
        </w:trPr>
        <w:tc>
          <w:tcPr>
            <w:tcW w:w="229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582B50" w14:textId="77777777" w:rsidR="3B0D9F72" w:rsidRDefault="3B0D9F72">
            <w:r w:rsidRPr="3B0D9F72">
              <w:rPr>
                <w:b/>
                <w:bCs/>
              </w:rPr>
              <w:t>Organisation</w:t>
            </w:r>
            <w:r>
              <w:t> </w:t>
            </w:r>
          </w:p>
        </w:tc>
        <w:tc>
          <w:tcPr>
            <w:tcW w:w="23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AC1302" w14:textId="77777777" w:rsidR="3B0D9F72" w:rsidRDefault="3B0D9F72">
            <w:r w:rsidRPr="3B0D9F72">
              <w:rPr>
                <w:b/>
                <w:bCs/>
              </w:rPr>
              <w:t>Name</w:t>
            </w:r>
            <w:r>
              <w:t> </w:t>
            </w:r>
          </w:p>
        </w:tc>
        <w:tc>
          <w:tcPr>
            <w:tcW w:w="468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758E25" w14:textId="77777777" w:rsidR="3B0D9F72" w:rsidRDefault="3B0D9F72">
            <w:r w:rsidRPr="3B0D9F72">
              <w:rPr>
                <w:b/>
                <w:bCs/>
              </w:rPr>
              <w:t>Position</w:t>
            </w:r>
            <w:r>
              <w:t> </w:t>
            </w:r>
          </w:p>
        </w:tc>
      </w:tr>
      <w:tr w:rsidR="001C365C" w:rsidRPr="0069600A" w14:paraId="2377159A" w14:textId="77777777" w:rsidTr="2D65516E">
        <w:trPr>
          <w:trHeight w:val="458"/>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1962894C" w14:textId="39C2EC01" w:rsidR="001C365C" w:rsidRPr="0069600A" w:rsidRDefault="001C365C" w:rsidP="0064656C">
            <w:pPr>
              <w:pStyle w:val="listofpeople"/>
            </w:pPr>
            <w:r>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7439ECF1" w14:textId="73D7A64D" w:rsidR="001C365C" w:rsidRPr="0069600A" w:rsidRDefault="001C365C" w:rsidP="0064656C">
            <w:pPr>
              <w:pStyle w:val="listofpeople"/>
            </w:pPr>
            <w:r>
              <w:t>Victoria Johnson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6D43CC90" w14:textId="569DBAAB" w:rsidR="001C365C" w:rsidRPr="0069600A" w:rsidRDefault="001C365C" w:rsidP="0064656C">
            <w:pPr>
              <w:pStyle w:val="listofpeople"/>
            </w:pPr>
            <w:r>
              <w:t>Interim Team Leader</w:t>
            </w:r>
            <w:r w:rsidR="005C131B">
              <w:t>/ Tetra Tech Contractor Representative</w:t>
            </w:r>
            <w:r>
              <w:t> </w:t>
            </w:r>
          </w:p>
        </w:tc>
      </w:tr>
      <w:tr w:rsidR="00E544E7" w:rsidRPr="0069600A" w14:paraId="5A796370"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6BA2A364" w14:textId="5A345D31" w:rsidR="00E544E7" w:rsidRPr="0069600A"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59632BF6" w14:textId="3DCA98F3" w:rsidR="00E544E7" w:rsidRPr="0069600A" w:rsidRDefault="00E544E7" w:rsidP="00E544E7">
            <w:pPr>
              <w:pStyle w:val="listofpeople"/>
            </w:pPr>
            <w:r>
              <w:t>Rebecca Pryor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4C9A674A" w14:textId="6ED43662" w:rsidR="00E544E7" w:rsidRPr="0069600A" w:rsidRDefault="00E544E7" w:rsidP="00E544E7">
            <w:pPr>
              <w:pStyle w:val="listofpeople"/>
            </w:pPr>
            <w:r>
              <w:t>Senior Program Manager (former Operations/ Deputy Team Leader) </w:t>
            </w:r>
          </w:p>
        </w:tc>
      </w:tr>
      <w:tr w:rsidR="00E544E7" w:rsidRPr="0069600A" w14:paraId="3BCB4B32"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440BEE27" w14:textId="25E8073B" w:rsidR="00E544E7" w:rsidRPr="0069600A"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18BC2B9B" w14:textId="49B1A412" w:rsidR="00E544E7" w:rsidRPr="0069600A" w:rsidRDefault="00E544E7" w:rsidP="00E544E7">
            <w:pPr>
              <w:pStyle w:val="listofpeople"/>
            </w:pPr>
            <w:r>
              <w:t xml:space="preserve">Herem </w:t>
            </w:r>
            <w:proofErr w:type="spellStart"/>
            <w:r>
              <w:t>Navat</w:t>
            </w:r>
            <w:proofErr w:type="spellEnd"/>
            <w:r>
              <w:t>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05E1A032" w14:textId="69CAD383" w:rsidR="00E544E7" w:rsidRPr="0069600A" w:rsidRDefault="00E544E7" w:rsidP="00E544E7">
            <w:pPr>
              <w:pStyle w:val="listofpeople"/>
            </w:pPr>
            <w:r>
              <w:t>Lead Education Officer</w:t>
            </w:r>
          </w:p>
        </w:tc>
      </w:tr>
      <w:tr w:rsidR="00E544E7" w:rsidRPr="0069600A" w14:paraId="6A87AE30"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149FBEAF" w14:textId="516A2186" w:rsidR="00E544E7" w:rsidRPr="0069600A"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4F630F13" w14:textId="1E58EC6E" w:rsidR="00E544E7" w:rsidRPr="0069600A" w:rsidRDefault="00E544E7" w:rsidP="00E544E7">
            <w:pPr>
              <w:pStyle w:val="listofpeople"/>
            </w:pPr>
            <w:r>
              <w:t>Denise Ng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26461B07" w14:textId="5472E9CA" w:rsidR="00E544E7" w:rsidRPr="0069600A" w:rsidRDefault="00E544E7" w:rsidP="00E544E7">
            <w:pPr>
              <w:pStyle w:val="listofpeople"/>
            </w:pPr>
            <w:r>
              <w:t>MEL analyst </w:t>
            </w:r>
          </w:p>
        </w:tc>
      </w:tr>
      <w:tr w:rsidR="00E544E7" w:rsidRPr="0069600A" w14:paraId="2D1F0A9A"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5C2030EA" w14:textId="6F94E945" w:rsidR="00E544E7" w:rsidRPr="0069600A"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5A016017" w14:textId="577FBC34" w:rsidR="00E544E7" w:rsidRPr="0069600A" w:rsidRDefault="00E544E7" w:rsidP="00E544E7">
            <w:pPr>
              <w:pStyle w:val="listofpeople"/>
            </w:pPr>
            <w:r>
              <w:t>Jill Wai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01D03F75" w14:textId="5A63FE37" w:rsidR="00E544E7" w:rsidRPr="0069600A" w:rsidRDefault="00E544E7" w:rsidP="00E544E7">
            <w:pPr>
              <w:pStyle w:val="listofpeople"/>
            </w:pPr>
            <w:r>
              <w:t>MEL Officer </w:t>
            </w:r>
          </w:p>
        </w:tc>
      </w:tr>
      <w:tr w:rsidR="00E544E7" w14:paraId="6DD3543F"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1BCCB211" w14:textId="3EC5E2DE" w:rsidR="00E544E7"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4B8937B8" w14:textId="0CECDA37" w:rsidR="00E544E7" w:rsidRDefault="00E544E7" w:rsidP="00E544E7">
            <w:pPr>
              <w:pStyle w:val="listofpeople"/>
            </w:pPr>
            <w:r>
              <w:t>Kaba Marcel</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3D2E0F39" w14:textId="6B219112" w:rsidR="00E544E7" w:rsidRDefault="00E544E7" w:rsidP="00E544E7">
            <w:pPr>
              <w:pStyle w:val="listofpeople"/>
            </w:pPr>
            <w:r>
              <w:t xml:space="preserve">MEL Specialist </w:t>
            </w:r>
          </w:p>
        </w:tc>
      </w:tr>
      <w:tr w:rsidR="00E544E7" w:rsidRPr="0069600A" w14:paraId="3578BF8A"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779EAEBA" w14:textId="489D4094" w:rsidR="00E544E7" w:rsidRPr="0069600A"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1DA219BF" w14:textId="491C7054" w:rsidR="00E544E7" w:rsidRPr="0069600A" w:rsidRDefault="00E544E7" w:rsidP="00E544E7">
            <w:pPr>
              <w:pStyle w:val="listofpeople"/>
            </w:pPr>
            <w:r>
              <w:t>Hopkins Dick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6EC277BF" w14:textId="630E1304" w:rsidR="00E544E7" w:rsidRPr="0069600A" w:rsidRDefault="00E544E7" w:rsidP="00E544E7">
            <w:pPr>
              <w:pStyle w:val="listofpeople"/>
            </w:pPr>
            <w:r>
              <w:t>Curriculum Improvement Coordinator </w:t>
            </w:r>
          </w:p>
        </w:tc>
      </w:tr>
      <w:tr w:rsidR="00E544E7" w:rsidRPr="0069600A" w14:paraId="452F7446"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144892C9" w14:textId="53C3571D" w:rsidR="00E544E7" w:rsidRPr="0069600A"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3F33D3CE" w14:textId="2DFC6BC0" w:rsidR="00E544E7" w:rsidRPr="0069600A" w:rsidRDefault="00E544E7" w:rsidP="00E544E7">
            <w:pPr>
              <w:pStyle w:val="listofpeople"/>
            </w:pPr>
            <w:r>
              <w:t>Roy Obed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425154CF" w14:textId="2FD3FD04" w:rsidR="00E544E7" w:rsidRPr="0069600A" w:rsidRDefault="00E544E7" w:rsidP="00E544E7">
            <w:pPr>
              <w:pStyle w:val="listofpeople"/>
            </w:pPr>
            <w:r>
              <w:t xml:space="preserve">Senior Education Program Officer </w:t>
            </w:r>
          </w:p>
        </w:tc>
      </w:tr>
      <w:tr w:rsidR="00E544E7" w:rsidRPr="0069600A" w14:paraId="1B2D9F77"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67695BE8" w14:textId="07F1DC37" w:rsidR="00E544E7" w:rsidRPr="0069600A"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4FF7C59F" w14:textId="72AC3148" w:rsidR="00E544E7" w:rsidRPr="0069600A" w:rsidRDefault="00E544E7" w:rsidP="00E544E7">
            <w:pPr>
              <w:pStyle w:val="listofpeople"/>
            </w:pPr>
            <w:r>
              <w:t xml:space="preserve">Sonia </w:t>
            </w:r>
            <w:proofErr w:type="spellStart"/>
            <w:r>
              <w:t>Wasi</w:t>
            </w:r>
            <w:proofErr w:type="spellEnd"/>
            <w:r>
              <w:t>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6F6545A4" w14:textId="52EB964F" w:rsidR="00E544E7" w:rsidRPr="0069600A" w:rsidRDefault="00E544E7" w:rsidP="00E544E7">
            <w:pPr>
              <w:pStyle w:val="listofpeople"/>
            </w:pPr>
            <w:r>
              <w:t>Gender and Inclusion </w:t>
            </w:r>
          </w:p>
        </w:tc>
      </w:tr>
      <w:tr w:rsidR="00E544E7" w14:paraId="04E42669"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5D1102D9" w14:textId="6499D3F0" w:rsidR="00E544E7"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19111A33" w14:textId="4F630C6D" w:rsidR="00E544E7" w:rsidRDefault="00E544E7" w:rsidP="00E544E7">
            <w:pPr>
              <w:pStyle w:val="listofpeople"/>
            </w:pPr>
            <w:r>
              <w:t>Joanne Mosen</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0AEA6DD5" w14:textId="556F8C89" w:rsidR="00E544E7" w:rsidRDefault="00E544E7" w:rsidP="00E544E7">
            <w:pPr>
              <w:pStyle w:val="listofpeople"/>
            </w:pPr>
            <w:r>
              <w:t>Disability Inclusion Adviser</w:t>
            </w:r>
          </w:p>
        </w:tc>
      </w:tr>
      <w:tr w:rsidR="00E544E7" w:rsidRPr="0069600A" w14:paraId="21D79D56"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477C5969" w14:textId="7C649399" w:rsidR="00E544E7" w:rsidRPr="0069600A"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087EFB06" w14:textId="32F237FB" w:rsidR="00E544E7" w:rsidRPr="0069600A" w:rsidRDefault="00E544E7" w:rsidP="00E544E7">
            <w:pPr>
              <w:pStyle w:val="listofpeople"/>
            </w:pPr>
            <w:r>
              <w:t>Jennifer James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0A70BB8C" w14:textId="0A6CA886" w:rsidR="00E544E7" w:rsidRPr="0069600A" w:rsidRDefault="00E544E7" w:rsidP="00E544E7">
            <w:pPr>
              <w:pStyle w:val="listofpeople"/>
            </w:pPr>
            <w:r>
              <w:t>ECCE Specialist</w:t>
            </w:r>
          </w:p>
        </w:tc>
      </w:tr>
      <w:tr w:rsidR="00E544E7" w:rsidRPr="0069600A" w14:paraId="1C79B89C"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7A311A14" w14:textId="397F46A0" w:rsidR="00E544E7" w:rsidRPr="0069600A"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48C26FBF" w14:textId="53F51773" w:rsidR="00E544E7" w:rsidRPr="0069600A" w:rsidRDefault="00E544E7" w:rsidP="00E544E7">
            <w:pPr>
              <w:pStyle w:val="listofpeople"/>
            </w:pPr>
            <w:r>
              <w:t>Michelle King </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6645BD3D" w14:textId="7544DB77" w:rsidR="00E544E7" w:rsidRPr="0069600A" w:rsidRDefault="00E544E7" w:rsidP="00E544E7">
            <w:pPr>
              <w:pStyle w:val="listofpeople"/>
            </w:pPr>
            <w:r>
              <w:t>Curriculum Improvement Adviser</w:t>
            </w:r>
          </w:p>
        </w:tc>
      </w:tr>
      <w:tr w:rsidR="00E544E7" w14:paraId="168C7E1D"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056F11F3" w14:textId="62C52D48" w:rsidR="00E544E7" w:rsidRDefault="00E544E7" w:rsidP="00E544E7">
            <w:pPr>
              <w:pStyle w:val="listofpeople"/>
            </w:pPr>
            <w:r w:rsidRPr="006F2E2B">
              <w:t>VAESP</w:t>
            </w:r>
          </w:p>
        </w:tc>
        <w:tc>
          <w:tcPr>
            <w:tcW w:w="2362" w:type="dxa"/>
            <w:tcBorders>
              <w:top w:val="single" w:sz="6" w:space="0" w:color="auto"/>
              <w:left w:val="single" w:sz="6" w:space="0" w:color="auto"/>
              <w:bottom w:val="single" w:sz="6" w:space="0" w:color="auto"/>
              <w:right w:val="single" w:sz="6" w:space="0" w:color="auto"/>
            </w:tcBorders>
            <w:shd w:val="clear" w:color="auto" w:fill="auto"/>
          </w:tcPr>
          <w:p w14:paraId="3CE0D7BC" w14:textId="5E2ABB97" w:rsidR="00E544E7" w:rsidRDefault="00E544E7" w:rsidP="00E544E7">
            <w:pPr>
              <w:pStyle w:val="listofpeople"/>
            </w:pPr>
            <w:r>
              <w:t>Barbara Thornton</w:t>
            </w:r>
          </w:p>
        </w:tc>
        <w:tc>
          <w:tcPr>
            <w:tcW w:w="4687" w:type="dxa"/>
            <w:tcBorders>
              <w:top w:val="single" w:sz="6" w:space="0" w:color="auto"/>
              <w:left w:val="single" w:sz="6" w:space="0" w:color="auto"/>
              <w:bottom w:val="single" w:sz="6" w:space="0" w:color="auto"/>
              <w:right w:val="single" w:sz="6" w:space="0" w:color="auto"/>
            </w:tcBorders>
            <w:shd w:val="clear" w:color="auto" w:fill="auto"/>
          </w:tcPr>
          <w:p w14:paraId="66E17C0E" w14:textId="5BA60314" w:rsidR="00E544E7" w:rsidRDefault="00E544E7" w:rsidP="00E544E7">
            <w:pPr>
              <w:pStyle w:val="listofpeople"/>
            </w:pPr>
            <w:r>
              <w:t xml:space="preserve">Independent Education Specialist </w:t>
            </w:r>
          </w:p>
        </w:tc>
      </w:tr>
      <w:tr w:rsidR="001C365C" w:rsidRPr="0069600A" w14:paraId="7ED0FF76"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hideMark/>
          </w:tcPr>
          <w:p w14:paraId="34F4656A" w14:textId="60AFB44F" w:rsidR="001C365C" w:rsidRPr="0069600A" w:rsidRDefault="001C365C" w:rsidP="0064656C">
            <w:pPr>
              <w:pStyle w:val="listofpeople"/>
            </w:pPr>
            <w:r>
              <w:t>Australia Awards Vanuatu</w:t>
            </w:r>
          </w:p>
        </w:tc>
        <w:tc>
          <w:tcPr>
            <w:tcW w:w="2362" w:type="dxa"/>
            <w:tcBorders>
              <w:top w:val="single" w:sz="6" w:space="0" w:color="auto"/>
              <w:left w:val="single" w:sz="6" w:space="0" w:color="auto"/>
              <w:bottom w:val="single" w:sz="6" w:space="0" w:color="auto"/>
              <w:right w:val="single" w:sz="6" w:space="0" w:color="auto"/>
            </w:tcBorders>
            <w:shd w:val="clear" w:color="auto" w:fill="auto"/>
            <w:hideMark/>
          </w:tcPr>
          <w:p w14:paraId="1EE370B9" w14:textId="04BEB9DF" w:rsidR="001C365C" w:rsidRPr="0069600A" w:rsidRDefault="00646E24" w:rsidP="0064656C">
            <w:pPr>
              <w:pStyle w:val="listofpeople"/>
            </w:pPr>
            <w:r>
              <w:t xml:space="preserve">Junilla </w:t>
            </w:r>
            <w:r w:rsidR="001C365C">
              <w:t>Sese  </w:t>
            </w:r>
          </w:p>
        </w:tc>
        <w:tc>
          <w:tcPr>
            <w:tcW w:w="4687" w:type="dxa"/>
            <w:tcBorders>
              <w:top w:val="single" w:sz="6" w:space="0" w:color="auto"/>
              <w:left w:val="single" w:sz="6" w:space="0" w:color="auto"/>
              <w:bottom w:val="single" w:sz="6" w:space="0" w:color="auto"/>
              <w:right w:val="single" w:sz="6" w:space="0" w:color="auto"/>
            </w:tcBorders>
            <w:shd w:val="clear" w:color="auto" w:fill="auto"/>
            <w:hideMark/>
          </w:tcPr>
          <w:p w14:paraId="16681B30" w14:textId="7B164A9C" w:rsidR="001C365C" w:rsidRPr="0069600A" w:rsidRDefault="693918C0" w:rsidP="0064656C">
            <w:pPr>
              <w:pStyle w:val="listofpeople"/>
            </w:pPr>
            <w:r>
              <w:t xml:space="preserve">Manager </w:t>
            </w:r>
          </w:p>
        </w:tc>
      </w:tr>
      <w:tr w:rsidR="00E544E7" w:rsidRPr="0069600A" w14:paraId="204D8287"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hideMark/>
          </w:tcPr>
          <w:p w14:paraId="1FAD4F31" w14:textId="67144925" w:rsidR="00E544E7" w:rsidRPr="0069600A" w:rsidRDefault="00E544E7" w:rsidP="00E544E7">
            <w:pPr>
              <w:pStyle w:val="listofpeople"/>
            </w:pPr>
            <w:r w:rsidRPr="00B4078E">
              <w:t>Australia Awards Vanuatu</w:t>
            </w:r>
          </w:p>
        </w:tc>
        <w:tc>
          <w:tcPr>
            <w:tcW w:w="2362" w:type="dxa"/>
            <w:tcBorders>
              <w:top w:val="single" w:sz="6" w:space="0" w:color="auto"/>
              <w:left w:val="single" w:sz="6" w:space="0" w:color="auto"/>
              <w:bottom w:val="single" w:sz="6" w:space="0" w:color="auto"/>
              <w:right w:val="single" w:sz="6" w:space="0" w:color="auto"/>
            </w:tcBorders>
            <w:shd w:val="clear" w:color="auto" w:fill="auto"/>
            <w:hideMark/>
          </w:tcPr>
          <w:p w14:paraId="56C3CCE3" w14:textId="4D36AF67" w:rsidR="00E544E7" w:rsidRPr="0069600A" w:rsidRDefault="00E544E7" w:rsidP="00E544E7">
            <w:pPr>
              <w:pStyle w:val="listofpeople"/>
            </w:pPr>
            <w:r>
              <w:t xml:space="preserve">Hansel </w:t>
            </w:r>
            <w:proofErr w:type="spellStart"/>
            <w:r>
              <w:t>Liunamel</w:t>
            </w:r>
            <w:proofErr w:type="spellEnd"/>
            <w:r>
              <w:t> </w:t>
            </w:r>
          </w:p>
        </w:tc>
        <w:tc>
          <w:tcPr>
            <w:tcW w:w="4687" w:type="dxa"/>
            <w:tcBorders>
              <w:top w:val="single" w:sz="6" w:space="0" w:color="auto"/>
              <w:left w:val="single" w:sz="6" w:space="0" w:color="auto"/>
              <w:bottom w:val="single" w:sz="6" w:space="0" w:color="auto"/>
              <w:right w:val="single" w:sz="6" w:space="0" w:color="auto"/>
            </w:tcBorders>
            <w:shd w:val="clear" w:color="auto" w:fill="auto"/>
            <w:hideMark/>
          </w:tcPr>
          <w:p w14:paraId="3098023F" w14:textId="624CDFC6" w:rsidR="00E544E7" w:rsidRPr="0069600A" w:rsidRDefault="00E544E7" w:rsidP="00E544E7">
            <w:pPr>
              <w:pStyle w:val="listofpeople"/>
            </w:pPr>
            <w:r>
              <w:t xml:space="preserve">Awards Officer </w:t>
            </w:r>
          </w:p>
        </w:tc>
      </w:tr>
      <w:tr w:rsidR="00E544E7" w14:paraId="2D1F674B" w14:textId="77777777" w:rsidTr="2D65516E">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hideMark/>
          </w:tcPr>
          <w:p w14:paraId="3A359703" w14:textId="1046F958" w:rsidR="00E544E7" w:rsidRDefault="00E544E7" w:rsidP="00E544E7">
            <w:pPr>
              <w:pStyle w:val="listofpeople"/>
            </w:pPr>
            <w:r w:rsidRPr="00B4078E">
              <w:t>Australia Awards Vanuatu</w:t>
            </w:r>
          </w:p>
        </w:tc>
        <w:tc>
          <w:tcPr>
            <w:tcW w:w="2362" w:type="dxa"/>
            <w:tcBorders>
              <w:top w:val="single" w:sz="6" w:space="0" w:color="auto"/>
              <w:left w:val="single" w:sz="6" w:space="0" w:color="auto"/>
              <w:bottom w:val="single" w:sz="6" w:space="0" w:color="auto"/>
              <w:right w:val="single" w:sz="6" w:space="0" w:color="auto"/>
            </w:tcBorders>
            <w:shd w:val="clear" w:color="auto" w:fill="auto"/>
            <w:hideMark/>
          </w:tcPr>
          <w:p w14:paraId="281E3310" w14:textId="52880A37" w:rsidR="00E544E7" w:rsidRDefault="00E544E7" w:rsidP="00E544E7">
            <w:pPr>
              <w:pStyle w:val="listofpeople"/>
            </w:pPr>
            <w:r>
              <w:t>Sara Freeman</w:t>
            </w:r>
          </w:p>
        </w:tc>
        <w:tc>
          <w:tcPr>
            <w:tcW w:w="4687" w:type="dxa"/>
            <w:tcBorders>
              <w:top w:val="single" w:sz="6" w:space="0" w:color="auto"/>
              <w:left w:val="single" w:sz="6" w:space="0" w:color="auto"/>
              <w:bottom w:val="single" w:sz="6" w:space="0" w:color="auto"/>
              <w:right w:val="single" w:sz="6" w:space="0" w:color="auto"/>
            </w:tcBorders>
            <w:shd w:val="clear" w:color="auto" w:fill="auto"/>
            <w:hideMark/>
          </w:tcPr>
          <w:p w14:paraId="6E5B9A0C" w14:textId="23ED63F9" w:rsidR="00E544E7" w:rsidRDefault="00E544E7" w:rsidP="00E544E7">
            <w:pPr>
              <w:pStyle w:val="listofpeople"/>
            </w:pPr>
            <w:r>
              <w:t>AAV Consultant</w:t>
            </w:r>
          </w:p>
        </w:tc>
      </w:tr>
    </w:tbl>
    <w:p w14:paraId="1C378073" w14:textId="77777777" w:rsidR="00B245A4" w:rsidRDefault="00B245A4" w:rsidP="00B245A4">
      <w:pPr>
        <w:pStyle w:val="NoSpacing"/>
      </w:pPr>
    </w:p>
    <w:p w14:paraId="63C3C8CF" w14:textId="4A438AFA" w:rsidR="0064656C" w:rsidRDefault="0064656C" w:rsidP="0064656C">
      <w:pPr>
        <w:rPr>
          <w:b/>
          <w:bCs/>
        </w:rPr>
      </w:pPr>
      <w:r w:rsidRPr="3B0D9F72">
        <w:rPr>
          <w:b/>
          <w:bCs/>
        </w:rPr>
        <w:t>VSP</w:t>
      </w:r>
    </w:p>
    <w:tbl>
      <w:tblPr>
        <w:tblW w:w="9347"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261"/>
        <w:gridCol w:w="2392"/>
        <w:gridCol w:w="4694"/>
      </w:tblGrid>
      <w:tr w:rsidR="0064656C" w14:paraId="591648C9" w14:textId="77777777" w:rsidTr="00495488">
        <w:trPr>
          <w:trHeight w:val="300"/>
          <w:tblHeader/>
        </w:trPr>
        <w:tc>
          <w:tcPr>
            <w:tcW w:w="226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8FB9C77" w14:textId="77777777" w:rsidR="0064656C" w:rsidRDefault="0064656C" w:rsidP="00F056C8">
            <w:r w:rsidRPr="3B0D9F72">
              <w:rPr>
                <w:b/>
                <w:bCs/>
              </w:rPr>
              <w:t>Organisation</w:t>
            </w:r>
            <w:r>
              <w:t> </w:t>
            </w:r>
          </w:p>
        </w:tc>
        <w:tc>
          <w:tcPr>
            <w:tcW w:w="239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7AE7752" w14:textId="77777777" w:rsidR="0064656C" w:rsidRDefault="0064656C" w:rsidP="00F056C8">
            <w:r w:rsidRPr="3B0D9F72">
              <w:rPr>
                <w:b/>
                <w:bCs/>
              </w:rPr>
              <w:t>Name</w:t>
            </w:r>
            <w:r>
              <w:t> </w:t>
            </w:r>
          </w:p>
        </w:tc>
        <w:tc>
          <w:tcPr>
            <w:tcW w:w="4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B244275" w14:textId="77777777" w:rsidR="0064656C" w:rsidRDefault="0064656C" w:rsidP="00F056C8">
            <w:r w:rsidRPr="3B0D9F72">
              <w:rPr>
                <w:b/>
                <w:bCs/>
              </w:rPr>
              <w:t>Position</w:t>
            </w:r>
            <w:r>
              <w:t> </w:t>
            </w:r>
          </w:p>
        </w:tc>
      </w:tr>
      <w:tr w:rsidR="0064656C" w:rsidRPr="0069600A" w14:paraId="0FC18750"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46F32F65" w14:textId="77777777" w:rsidR="0064656C" w:rsidRPr="0069600A" w:rsidRDefault="0064656C" w:rsidP="00F056C8">
            <w:pPr>
              <w:pStyle w:val="listofpeople"/>
            </w:pPr>
            <w:r>
              <w:t>Senior Management Team </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7A6E1080" w14:textId="77777777" w:rsidR="0064656C" w:rsidRPr="0069600A" w:rsidRDefault="0064656C" w:rsidP="00F056C8">
            <w:pPr>
              <w:pStyle w:val="listofpeople"/>
            </w:pPr>
            <w:proofErr w:type="spellStart"/>
            <w:r>
              <w:t>Fremden</w:t>
            </w:r>
            <w:proofErr w:type="spellEnd"/>
            <w:r>
              <w:t xml:space="preserve"> </w:t>
            </w:r>
            <w:proofErr w:type="spellStart"/>
            <w:r>
              <w:t>Yanhambath</w:t>
            </w:r>
            <w:proofErr w:type="spellEnd"/>
          </w:p>
        </w:tc>
        <w:tc>
          <w:tcPr>
            <w:tcW w:w="4694" w:type="dxa"/>
            <w:tcBorders>
              <w:top w:val="single" w:sz="6" w:space="0" w:color="auto"/>
              <w:left w:val="single" w:sz="6" w:space="0" w:color="auto"/>
              <w:bottom w:val="single" w:sz="6" w:space="0" w:color="auto"/>
              <w:right w:val="single" w:sz="6" w:space="0" w:color="auto"/>
            </w:tcBorders>
            <w:shd w:val="clear" w:color="auto" w:fill="auto"/>
            <w:hideMark/>
          </w:tcPr>
          <w:p w14:paraId="6B7C0465" w14:textId="77777777" w:rsidR="0064656C" w:rsidRPr="0069600A" w:rsidRDefault="0064656C" w:rsidP="00F056C8">
            <w:pPr>
              <w:pStyle w:val="listofpeople"/>
            </w:pPr>
            <w:r>
              <w:t>Director </w:t>
            </w:r>
          </w:p>
        </w:tc>
      </w:tr>
      <w:tr w:rsidR="004270F1" w:rsidRPr="0069600A" w14:paraId="48D3F61B"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0E70BBD7" w14:textId="27663912" w:rsidR="004270F1" w:rsidRPr="0069600A" w:rsidRDefault="004270F1" w:rsidP="004270F1">
            <w:pPr>
              <w:pStyle w:val="listofpeople"/>
            </w:pPr>
            <w:r w:rsidRPr="00B3622C">
              <w:t>Senior Management Team </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15E2EE4A" w14:textId="77777777" w:rsidR="004270F1" w:rsidRPr="0069600A" w:rsidRDefault="004270F1" w:rsidP="004270F1">
            <w:pPr>
              <w:pStyle w:val="listofpeople"/>
            </w:pPr>
            <w:r>
              <w:t>Ellis Silas </w:t>
            </w:r>
          </w:p>
        </w:tc>
        <w:tc>
          <w:tcPr>
            <w:tcW w:w="4694" w:type="dxa"/>
            <w:tcBorders>
              <w:top w:val="single" w:sz="6" w:space="0" w:color="auto"/>
              <w:left w:val="single" w:sz="6" w:space="0" w:color="auto"/>
              <w:bottom w:val="single" w:sz="6" w:space="0" w:color="auto"/>
              <w:right w:val="single" w:sz="6" w:space="0" w:color="auto"/>
            </w:tcBorders>
            <w:shd w:val="clear" w:color="auto" w:fill="auto"/>
            <w:hideMark/>
          </w:tcPr>
          <w:p w14:paraId="3DDC55CA" w14:textId="77777777" w:rsidR="004270F1" w:rsidRPr="0069600A" w:rsidRDefault="004270F1" w:rsidP="004270F1">
            <w:pPr>
              <w:pStyle w:val="listofpeople"/>
            </w:pPr>
            <w:r>
              <w:t>Deputy Director, Programs </w:t>
            </w:r>
          </w:p>
        </w:tc>
      </w:tr>
      <w:tr w:rsidR="004270F1" w:rsidRPr="0069600A" w14:paraId="5E4DD96B"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06954DD7" w14:textId="28604BC6" w:rsidR="004270F1" w:rsidRPr="0069600A" w:rsidRDefault="004270F1" w:rsidP="004270F1">
            <w:pPr>
              <w:pStyle w:val="listofpeople"/>
            </w:pPr>
            <w:r w:rsidRPr="00B3622C">
              <w:t>Senior Management Team </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28D7F764" w14:textId="77777777" w:rsidR="004270F1" w:rsidRPr="0069600A" w:rsidRDefault="004270F1" w:rsidP="004270F1">
            <w:pPr>
              <w:pStyle w:val="listofpeople"/>
            </w:pPr>
            <w:r>
              <w:t xml:space="preserve">May </w:t>
            </w:r>
            <w:proofErr w:type="spellStart"/>
            <w:r>
              <w:t>Garae</w:t>
            </w:r>
            <w:proofErr w:type="spellEnd"/>
            <w:r>
              <w:t> </w:t>
            </w:r>
          </w:p>
        </w:tc>
        <w:tc>
          <w:tcPr>
            <w:tcW w:w="4694" w:type="dxa"/>
            <w:tcBorders>
              <w:top w:val="single" w:sz="6" w:space="0" w:color="auto"/>
              <w:left w:val="single" w:sz="6" w:space="0" w:color="auto"/>
              <w:bottom w:val="single" w:sz="6" w:space="0" w:color="auto"/>
              <w:right w:val="single" w:sz="6" w:space="0" w:color="auto"/>
            </w:tcBorders>
            <w:shd w:val="clear" w:color="auto" w:fill="auto"/>
            <w:hideMark/>
          </w:tcPr>
          <w:p w14:paraId="003A7958" w14:textId="77777777" w:rsidR="004270F1" w:rsidRPr="0069600A" w:rsidRDefault="004270F1" w:rsidP="004270F1">
            <w:pPr>
              <w:pStyle w:val="listofpeople"/>
            </w:pPr>
            <w:r>
              <w:t>Deputy Director, Operations </w:t>
            </w:r>
          </w:p>
        </w:tc>
      </w:tr>
      <w:tr w:rsidR="004270F1" w14:paraId="7237FC50"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6B9ABD67" w14:textId="1147A0E2" w:rsidR="004270F1" w:rsidRDefault="004270F1" w:rsidP="004270F1">
            <w:pPr>
              <w:pStyle w:val="listofpeople"/>
            </w:pPr>
            <w:r w:rsidRPr="00B3622C">
              <w:t>Senior Management Team </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2A611759" w14:textId="77777777" w:rsidR="004270F1" w:rsidRDefault="004270F1" w:rsidP="004270F1">
            <w:pPr>
              <w:pStyle w:val="listofpeople"/>
            </w:pPr>
            <w:r>
              <w:t xml:space="preserve">Ruth </w:t>
            </w:r>
            <w:proofErr w:type="spellStart"/>
            <w:r>
              <w:t>Seketa</w:t>
            </w:r>
            <w:proofErr w:type="spellEnd"/>
          </w:p>
        </w:tc>
        <w:tc>
          <w:tcPr>
            <w:tcW w:w="4694" w:type="dxa"/>
            <w:tcBorders>
              <w:top w:val="single" w:sz="6" w:space="0" w:color="auto"/>
              <w:left w:val="single" w:sz="6" w:space="0" w:color="auto"/>
              <w:bottom w:val="single" w:sz="6" w:space="0" w:color="auto"/>
              <w:right w:val="single" w:sz="6" w:space="0" w:color="auto"/>
            </w:tcBorders>
            <w:shd w:val="clear" w:color="auto" w:fill="auto"/>
            <w:hideMark/>
          </w:tcPr>
          <w:p w14:paraId="69C97FC8" w14:textId="77777777" w:rsidR="004270F1" w:rsidRDefault="004270F1" w:rsidP="004270F1">
            <w:pPr>
              <w:pStyle w:val="listofpeople"/>
            </w:pPr>
            <w:r>
              <w:t xml:space="preserve">Finance Manager </w:t>
            </w:r>
          </w:p>
        </w:tc>
      </w:tr>
      <w:tr w:rsidR="0064656C" w:rsidRPr="0069600A" w14:paraId="049CCCDB"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68D76F0A" w14:textId="77777777" w:rsidR="0064656C" w:rsidRPr="0069600A" w:rsidRDefault="0064656C" w:rsidP="00F056C8">
            <w:pPr>
              <w:pStyle w:val="listofpeople"/>
            </w:pPr>
            <w:r>
              <w:t>National Managers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2BCBB4B7" w14:textId="77777777" w:rsidR="0064656C" w:rsidRPr="0069600A" w:rsidRDefault="0064656C" w:rsidP="00F056C8">
            <w:pPr>
              <w:pStyle w:val="listofpeople"/>
            </w:pPr>
            <w:r>
              <w:t>Wesley </w:t>
            </w:r>
            <w:proofErr w:type="spellStart"/>
            <w:r>
              <w:t>Jerethy</w:t>
            </w:r>
            <w:proofErr w:type="spellEnd"/>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40E0A167" w14:textId="77777777" w:rsidR="0064656C" w:rsidRPr="0069600A" w:rsidRDefault="0064656C" w:rsidP="00F056C8">
            <w:pPr>
              <w:pStyle w:val="listofpeople"/>
            </w:pPr>
            <w:r>
              <w:t>Training Provider Support</w:t>
            </w:r>
          </w:p>
        </w:tc>
      </w:tr>
      <w:tr w:rsidR="004270F1" w:rsidRPr="0069600A" w14:paraId="58A0C10D"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0E6B9845" w14:textId="16DB69AD" w:rsidR="004270F1" w:rsidRPr="0069600A" w:rsidRDefault="004270F1" w:rsidP="004270F1">
            <w:pPr>
              <w:pStyle w:val="listofpeople"/>
            </w:pPr>
            <w:r w:rsidRPr="00013423">
              <w:t>National Managers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50BD5712" w14:textId="77777777" w:rsidR="004270F1" w:rsidRPr="0069600A" w:rsidRDefault="004270F1" w:rsidP="004270F1">
            <w:pPr>
              <w:pStyle w:val="listofpeople"/>
            </w:pPr>
            <w:r>
              <w:t>Richie John</w:t>
            </w:r>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0AC23CBC" w14:textId="77777777" w:rsidR="004270F1" w:rsidRPr="0069600A" w:rsidRDefault="004270F1" w:rsidP="004270F1">
            <w:pPr>
              <w:pStyle w:val="listofpeople"/>
            </w:pPr>
            <w:r>
              <w:t xml:space="preserve">Creative Industries </w:t>
            </w:r>
          </w:p>
        </w:tc>
      </w:tr>
      <w:tr w:rsidR="004270F1" w:rsidRPr="0069600A" w14:paraId="66CC2224" w14:textId="77777777" w:rsidTr="00566740">
        <w:trPr>
          <w:trHeight w:val="275"/>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2A1AF7E0" w14:textId="78897FE2" w:rsidR="004270F1" w:rsidRPr="0069600A" w:rsidRDefault="004270F1" w:rsidP="004270F1">
            <w:pPr>
              <w:pStyle w:val="listofpeople"/>
            </w:pPr>
            <w:r w:rsidRPr="00013423">
              <w:t>National Managers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67A41248" w14:textId="77777777" w:rsidR="004270F1" w:rsidRPr="0069600A" w:rsidRDefault="004270F1" w:rsidP="004270F1">
            <w:pPr>
              <w:pStyle w:val="listofpeople"/>
            </w:pPr>
            <w:r>
              <w:t>Richard Simeon</w:t>
            </w:r>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1C5E400E" w14:textId="77777777" w:rsidR="004270F1" w:rsidRPr="0069600A" w:rsidRDefault="004270F1" w:rsidP="004270F1">
            <w:pPr>
              <w:pStyle w:val="listofpeople"/>
            </w:pPr>
            <w:r>
              <w:t>Agribusiness and Health</w:t>
            </w:r>
          </w:p>
        </w:tc>
      </w:tr>
      <w:tr w:rsidR="004270F1" w14:paraId="74EACA87"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40469CBD" w14:textId="4DFBFB29" w:rsidR="004270F1" w:rsidRDefault="004270F1" w:rsidP="004270F1">
            <w:pPr>
              <w:pStyle w:val="listofpeople"/>
            </w:pPr>
            <w:r w:rsidRPr="00013423">
              <w:t>National Managers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6FF7DA72" w14:textId="77777777" w:rsidR="004270F1" w:rsidRDefault="004270F1" w:rsidP="004270F1">
            <w:pPr>
              <w:pStyle w:val="listofpeople"/>
            </w:pPr>
            <w:r>
              <w:t>Sherol George</w:t>
            </w:r>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128434D0" w14:textId="77777777" w:rsidR="004270F1" w:rsidRDefault="004270F1" w:rsidP="004270F1">
            <w:pPr>
              <w:pStyle w:val="listofpeople"/>
            </w:pPr>
            <w:r>
              <w:t>Inclusion</w:t>
            </w:r>
          </w:p>
        </w:tc>
      </w:tr>
      <w:tr w:rsidR="004270F1" w14:paraId="521A646A"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6E689B5F" w14:textId="56DF29B0" w:rsidR="004270F1" w:rsidRDefault="004270F1" w:rsidP="004270F1">
            <w:pPr>
              <w:pStyle w:val="listofpeople"/>
            </w:pPr>
            <w:r w:rsidRPr="00013423">
              <w:t>National Managers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3E1D6EF1" w14:textId="77777777" w:rsidR="004270F1" w:rsidRDefault="004270F1" w:rsidP="004270F1">
            <w:pPr>
              <w:pStyle w:val="listofpeople"/>
            </w:pPr>
            <w:proofErr w:type="spellStart"/>
            <w:r>
              <w:t>Erinah</w:t>
            </w:r>
            <w:proofErr w:type="spellEnd"/>
            <w:r>
              <w:t xml:space="preserve"> Kalo </w:t>
            </w:r>
            <w:proofErr w:type="spellStart"/>
            <w:r>
              <w:t>Malres</w:t>
            </w:r>
            <w:proofErr w:type="spellEnd"/>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0A35EEE4" w14:textId="77777777" w:rsidR="004270F1" w:rsidRDefault="004270F1" w:rsidP="004270F1">
            <w:pPr>
              <w:pStyle w:val="listofpeople"/>
            </w:pPr>
            <w:r>
              <w:t>Tourism</w:t>
            </w:r>
          </w:p>
        </w:tc>
      </w:tr>
      <w:tr w:rsidR="004270F1" w14:paraId="519364B6"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598B0A34" w14:textId="4A4F1DF4" w:rsidR="004270F1" w:rsidRDefault="004270F1" w:rsidP="004270F1">
            <w:pPr>
              <w:pStyle w:val="listofpeople"/>
            </w:pPr>
            <w:r w:rsidRPr="00013423">
              <w:t>National Managers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4613429C" w14:textId="77777777" w:rsidR="004270F1" w:rsidRDefault="004270F1" w:rsidP="004270F1">
            <w:pPr>
              <w:pStyle w:val="listofpeople"/>
            </w:pPr>
            <w:r>
              <w:t>Tyson Jella</w:t>
            </w:r>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6BEF2CB7" w14:textId="77777777" w:rsidR="004270F1" w:rsidRDefault="004270F1" w:rsidP="004270F1">
            <w:pPr>
              <w:pStyle w:val="listofpeople"/>
            </w:pPr>
            <w:r>
              <w:t>Environmental Sustainability</w:t>
            </w:r>
          </w:p>
        </w:tc>
      </w:tr>
      <w:tr w:rsidR="0064656C" w:rsidRPr="0069600A" w14:paraId="0577386C"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1E8B7A41" w14:textId="77777777" w:rsidR="0064656C" w:rsidRPr="0069600A" w:rsidRDefault="0064656C" w:rsidP="00F056C8">
            <w:pPr>
              <w:pStyle w:val="listofpeople"/>
            </w:pPr>
            <w:r>
              <w:t xml:space="preserve">International Support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67DDC4CF" w14:textId="77777777" w:rsidR="0064656C" w:rsidRPr="0069600A" w:rsidRDefault="0064656C" w:rsidP="00F056C8">
            <w:pPr>
              <w:pStyle w:val="listofpeople"/>
            </w:pPr>
            <w:r>
              <w:t>Chris Delany </w:t>
            </w:r>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41D4380E" w14:textId="77777777" w:rsidR="0064656C" w:rsidRPr="0069600A" w:rsidRDefault="0064656C" w:rsidP="00F056C8">
            <w:pPr>
              <w:pStyle w:val="listofpeople"/>
            </w:pPr>
            <w:r>
              <w:t>Skills for Creative Industries Specialist </w:t>
            </w:r>
          </w:p>
        </w:tc>
      </w:tr>
      <w:tr w:rsidR="004270F1" w:rsidRPr="0069600A" w14:paraId="3CCE090B" w14:textId="77777777" w:rsidTr="004270F1">
        <w:trPr>
          <w:trHeight w:val="198"/>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49BC37B6" w14:textId="5C4F2BFF" w:rsidR="004270F1" w:rsidRPr="0069600A" w:rsidRDefault="004270F1" w:rsidP="004270F1">
            <w:pPr>
              <w:pStyle w:val="listofpeople"/>
            </w:pPr>
            <w:r w:rsidRPr="009334EB">
              <w:t xml:space="preserve">International Support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54B22EF6" w14:textId="77777777" w:rsidR="004270F1" w:rsidRPr="0069600A" w:rsidRDefault="004270F1" w:rsidP="004270F1">
            <w:pPr>
              <w:pStyle w:val="listofpeople"/>
            </w:pPr>
            <w:r>
              <w:t>Rosie Boylan </w:t>
            </w:r>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52C07825" w14:textId="77777777" w:rsidR="004270F1" w:rsidRPr="0069600A" w:rsidRDefault="004270F1" w:rsidP="004270F1">
            <w:pPr>
              <w:pStyle w:val="listofpeople"/>
            </w:pPr>
            <w:r>
              <w:t>Skills for Creative Industries Specialist </w:t>
            </w:r>
          </w:p>
        </w:tc>
      </w:tr>
      <w:tr w:rsidR="004270F1" w:rsidRPr="0069600A" w14:paraId="430C2369"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473DD086" w14:textId="6457CBB9" w:rsidR="004270F1" w:rsidRPr="0069600A" w:rsidRDefault="004270F1" w:rsidP="004270F1">
            <w:pPr>
              <w:pStyle w:val="listofpeople"/>
            </w:pPr>
            <w:r w:rsidRPr="009334EB">
              <w:t xml:space="preserve">International Support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2975833E" w14:textId="77777777" w:rsidR="004270F1" w:rsidRPr="0069600A" w:rsidRDefault="004270F1" w:rsidP="004270F1">
            <w:pPr>
              <w:pStyle w:val="listofpeople"/>
            </w:pPr>
            <w:r>
              <w:t>Anthony Bailey </w:t>
            </w:r>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1C389DD8" w14:textId="77777777" w:rsidR="004270F1" w:rsidRPr="0069600A" w:rsidRDefault="004270F1" w:rsidP="004270F1">
            <w:pPr>
              <w:pStyle w:val="listofpeople"/>
            </w:pPr>
            <w:r>
              <w:t>Training Provider Support Specialist </w:t>
            </w:r>
          </w:p>
        </w:tc>
      </w:tr>
      <w:tr w:rsidR="0064656C" w14:paraId="304CBD0A"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43B758F9" w14:textId="77777777" w:rsidR="0064656C" w:rsidRDefault="0064656C" w:rsidP="00F056C8">
            <w:pPr>
              <w:pStyle w:val="listofpeople"/>
            </w:pPr>
            <w:r>
              <w:t xml:space="preserve">Provincial Skills Centres Manager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6BDD1C86" w14:textId="77777777" w:rsidR="0064656C" w:rsidRDefault="0064656C" w:rsidP="00F056C8">
            <w:pPr>
              <w:pStyle w:val="listofpeople"/>
            </w:pPr>
            <w:r>
              <w:t>Jimmy Kelvin</w:t>
            </w:r>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1C9C393E" w14:textId="77777777" w:rsidR="0064656C" w:rsidRDefault="0064656C" w:rsidP="00F056C8">
            <w:pPr>
              <w:pStyle w:val="listofpeople"/>
            </w:pPr>
            <w:r>
              <w:t xml:space="preserve">Skills Coordinator, TORBA </w:t>
            </w:r>
          </w:p>
        </w:tc>
      </w:tr>
      <w:tr w:rsidR="004270F1" w:rsidRPr="0069600A" w14:paraId="43282D25"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tcPr>
          <w:p w14:paraId="0AFD0759" w14:textId="70274656" w:rsidR="004270F1" w:rsidRPr="0069600A" w:rsidRDefault="004270F1" w:rsidP="004270F1">
            <w:pPr>
              <w:pStyle w:val="listofpeople"/>
            </w:pPr>
            <w:r w:rsidRPr="00F40272">
              <w:t xml:space="preserve">Provincial Skills Centres Manager </w:t>
            </w:r>
          </w:p>
        </w:tc>
        <w:tc>
          <w:tcPr>
            <w:tcW w:w="2392" w:type="dxa"/>
            <w:tcBorders>
              <w:top w:val="single" w:sz="6" w:space="0" w:color="auto"/>
              <w:left w:val="single" w:sz="6" w:space="0" w:color="auto"/>
              <w:bottom w:val="single" w:sz="6" w:space="0" w:color="auto"/>
              <w:right w:val="single" w:sz="6" w:space="0" w:color="auto"/>
            </w:tcBorders>
            <w:shd w:val="clear" w:color="auto" w:fill="auto"/>
          </w:tcPr>
          <w:p w14:paraId="280F8539" w14:textId="77777777" w:rsidR="004270F1" w:rsidRPr="0069600A" w:rsidRDefault="004270F1" w:rsidP="004270F1">
            <w:pPr>
              <w:pStyle w:val="listofpeople"/>
            </w:pPr>
            <w:r>
              <w:t xml:space="preserve">Simeon Bage </w:t>
            </w:r>
          </w:p>
        </w:tc>
        <w:tc>
          <w:tcPr>
            <w:tcW w:w="4694" w:type="dxa"/>
            <w:tcBorders>
              <w:top w:val="single" w:sz="6" w:space="0" w:color="auto"/>
              <w:left w:val="single" w:sz="6" w:space="0" w:color="auto"/>
              <w:bottom w:val="single" w:sz="6" w:space="0" w:color="auto"/>
              <w:right w:val="single" w:sz="6" w:space="0" w:color="auto"/>
            </w:tcBorders>
            <w:shd w:val="clear" w:color="auto" w:fill="auto"/>
          </w:tcPr>
          <w:p w14:paraId="7676B5C5" w14:textId="77777777" w:rsidR="004270F1" w:rsidRPr="0069600A" w:rsidRDefault="004270F1" w:rsidP="004270F1">
            <w:pPr>
              <w:pStyle w:val="listofpeople"/>
            </w:pPr>
            <w:r>
              <w:t xml:space="preserve">Skills Coordinator, SANMA </w:t>
            </w:r>
          </w:p>
        </w:tc>
      </w:tr>
      <w:tr w:rsidR="004270F1" w14:paraId="043BF08A"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7758B18A" w14:textId="2DC249E1" w:rsidR="004270F1" w:rsidRDefault="004270F1" w:rsidP="004270F1">
            <w:pPr>
              <w:pStyle w:val="listofpeople"/>
            </w:pPr>
            <w:r w:rsidRPr="00F40272">
              <w:t xml:space="preserve">Provincial Skills Centres Manager </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209FF7D1" w14:textId="77777777" w:rsidR="004270F1" w:rsidRDefault="004270F1" w:rsidP="004270F1">
            <w:pPr>
              <w:pStyle w:val="listofpeople"/>
            </w:pPr>
            <w:r>
              <w:t xml:space="preserve">Willie </w:t>
            </w:r>
            <w:proofErr w:type="spellStart"/>
            <w:r>
              <w:t>Kiltop</w:t>
            </w:r>
            <w:proofErr w:type="spellEnd"/>
          </w:p>
        </w:tc>
        <w:tc>
          <w:tcPr>
            <w:tcW w:w="4694" w:type="dxa"/>
            <w:tcBorders>
              <w:top w:val="single" w:sz="6" w:space="0" w:color="auto"/>
              <w:left w:val="single" w:sz="6" w:space="0" w:color="auto"/>
              <w:bottom w:val="single" w:sz="6" w:space="0" w:color="auto"/>
              <w:right w:val="single" w:sz="6" w:space="0" w:color="auto"/>
            </w:tcBorders>
            <w:shd w:val="clear" w:color="auto" w:fill="auto"/>
            <w:hideMark/>
          </w:tcPr>
          <w:p w14:paraId="33F2C9FE" w14:textId="77777777" w:rsidR="004270F1" w:rsidRDefault="004270F1" w:rsidP="004270F1">
            <w:pPr>
              <w:pStyle w:val="listofpeople"/>
            </w:pPr>
            <w:r>
              <w:t>Skills Coordinator, MALAMPA</w:t>
            </w:r>
          </w:p>
        </w:tc>
      </w:tr>
      <w:tr w:rsidR="004270F1" w14:paraId="5A872C62"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0A879AC1" w14:textId="1199014D" w:rsidR="004270F1" w:rsidRDefault="004270F1" w:rsidP="004270F1">
            <w:pPr>
              <w:pStyle w:val="listofpeople"/>
            </w:pPr>
            <w:r w:rsidRPr="00F40272">
              <w:t xml:space="preserve">Provincial Skills Centres Manager </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0F488F92" w14:textId="77777777" w:rsidR="004270F1" w:rsidRDefault="004270F1" w:rsidP="004270F1">
            <w:pPr>
              <w:pStyle w:val="listofpeople"/>
            </w:pPr>
            <w:r>
              <w:t>Amos Talu</w:t>
            </w:r>
          </w:p>
        </w:tc>
        <w:tc>
          <w:tcPr>
            <w:tcW w:w="4694" w:type="dxa"/>
            <w:tcBorders>
              <w:top w:val="single" w:sz="6" w:space="0" w:color="auto"/>
              <w:left w:val="single" w:sz="6" w:space="0" w:color="auto"/>
              <w:bottom w:val="single" w:sz="6" w:space="0" w:color="auto"/>
              <w:right w:val="single" w:sz="6" w:space="0" w:color="auto"/>
            </w:tcBorders>
            <w:shd w:val="clear" w:color="auto" w:fill="auto"/>
            <w:hideMark/>
          </w:tcPr>
          <w:p w14:paraId="6DB88304" w14:textId="77777777" w:rsidR="004270F1" w:rsidRDefault="004270F1" w:rsidP="004270F1">
            <w:pPr>
              <w:pStyle w:val="listofpeople"/>
            </w:pPr>
            <w:r>
              <w:t>Skills Coordinator, PENAMA</w:t>
            </w:r>
          </w:p>
        </w:tc>
      </w:tr>
      <w:tr w:rsidR="004270F1" w:rsidRPr="0069600A" w14:paraId="230F4C3B"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0EBE963A" w14:textId="35D3A22B" w:rsidR="004270F1" w:rsidRPr="0069600A" w:rsidRDefault="004270F1" w:rsidP="004270F1">
            <w:pPr>
              <w:pStyle w:val="listofpeople"/>
            </w:pPr>
            <w:r w:rsidRPr="00F40272">
              <w:t xml:space="preserve">Provincial Skills Centres Manager </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4095F4C1" w14:textId="77777777" w:rsidR="004270F1" w:rsidRPr="0069600A" w:rsidRDefault="004270F1" w:rsidP="004270F1">
            <w:pPr>
              <w:pStyle w:val="listofpeople"/>
            </w:pPr>
            <w:r>
              <w:t xml:space="preserve">Charlie </w:t>
            </w:r>
            <w:proofErr w:type="spellStart"/>
            <w:r>
              <w:t>Kitchikitchi</w:t>
            </w:r>
            <w:proofErr w:type="spellEnd"/>
          </w:p>
        </w:tc>
        <w:tc>
          <w:tcPr>
            <w:tcW w:w="4694" w:type="dxa"/>
            <w:tcBorders>
              <w:top w:val="single" w:sz="6" w:space="0" w:color="auto"/>
              <w:left w:val="single" w:sz="6" w:space="0" w:color="auto"/>
              <w:bottom w:val="single" w:sz="6" w:space="0" w:color="auto"/>
              <w:right w:val="single" w:sz="6" w:space="0" w:color="auto"/>
            </w:tcBorders>
            <w:shd w:val="clear" w:color="auto" w:fill="auto"/>
            <w:hideMark/>
          </w:tcPr>
          <w:p w14:paraId="53DB671B" w14:textId="77777777" w:rsidR="004270F1" w:rsidRPr="0069600A" w:rsidRDefault="004270F1" w:rsidP="004270F1">
            <w:pPr>
              <w:pStyle w:val="listofpeople"/>
            </w:pPr>
            <w:r>
              <w:t xml:space="preserve">Skills Coordinator, TAFEA </w:t>
            </w:r>
          </w:p>
        </w:tc>
      </w:tr>
      <w:tr w:rsidR="0064656C" w:rsidRPr="0069600A" w14:paraId="59F64D73"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1CEC299C" w14:textId="77777777" w:rsidR="0064656C" w:rsidRPr="0069600A" w:rsidRDefault="0064656C" w:rsidP="00F056C8">
            <w:pPr>
              <w:pStyle w:val="listofpeople"/>
            </w:pPr>
            <w:r>
              <w:t>Quality Systems</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2B0505AA" w14:textId="77777777" w:rsidR="0064656C" w:rsidRPr="0069600A" w:rsidRDefault="0064656C" w:rsidP="00F056C8">
            <w:pPr>
              <w:pStyle w:val="listofpeople"/>
            </w:pPr>
            <w:r>
              <w:t xml:space="preserve">Lucy </w:t>
            </w:r>
            <w:proofErr w:type="spellStart"/>
            <w:r>
              <w:t>Battaglene</w:t>
            </w:r>
            <w:proofErr w:type="spellEnd"/>
            <w:r>
              <w:t> </w:t>
            </w:r>
          </w:p>
        </w:tc>
        <w:tc>
          <w:tcPr>
            <w:tcW w:w="4694" w:type="dxa"/>
            <w:tcBorders>
              <w:top w:val="single" w:sz="6" w:space="0" w:color="auto"/>
              <w:left w:val="single" w:sz="6" w:space="0" w:color="auto"/>
              <w:bottom w:val="single" w:sz="6" w:space="0" w:color="auto"/>
              <w:right w:val="single" w:sz="6" w:space="0" w:color="000000" w:themeColor="text1"/>
            </w:tcBorders>
            <w:shd w:val="clear" w:color="auto" w:fill="auto"/>
            <w:hideMark/>
          </w:tcPr>
          <w:p w14:paraId="7AB702E0" w14:textId="77777777" w:rsidR="0064656C" w:rsidRPr="0069600A" w:rsidRDefault="0064656C" w:rsidP="00F056C8">
            <w:pPr>
              <w:pStyle w:val="listofpeople"/>
            </w:pPr>
            <w:r>
              <w:t>Quality Systems Support </w:t>
            </w:r>
          </w:p>
        </w:tc>
      </w:tr>
      <w:tr w:rsidR="0064656C" w:rsidRPr="0069600A" w14:paraId="6D0596C0"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59061B34" w14:textId="60DFD4BE" w:rsidR="0064656C" w:rsidRPr="0069600A" w:rsidRDefault="0064656C" w:rsidP="00F056C8">
            <w:pPr>
              <w:pStyle w:val="listofpeople"/>
            </w:pPr>
            <w:r>
              <w:t> </w:t>
            </w:r>
            <w:r w:rsidR="004270F1">
              <w:t>Quality Systems</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5A4E7F58" w14:textId="77777777" w:rsidR="0064656C" w:rsidRPr="0069600A" w:rsidRDefault="0064656C" w:rsidP="00F056C8">
            <w:pPr>
              <w:pStyle w:val="listofpeople"/>
            </w:pPr>
            <w:r>
              <w:t>Stuart Kinsella  </w:t>
            </w:r>
          </w:p>
        </w:tc>
        <w:tc>
          <w:tcPr>
            <w:tcW w:w="4694" w:type="dxa"/>
            <w:tcBorders>
              <w:top w:val="single" w:sz="6" w:space="0" w:color="auto"/>
              <w:left w:val="single" w:sz="6" w:space="0" w:color="auto"/>
              <w:bottom w:val="single" w:sz="6" w:space="0" w:color="auto"/>
              <w:right w:val="single" w:sz="6" w:space="0" w:color="000000" w:themeColor="text1"/>
            </w:tcBorders>
            <w:shd w:val="clear" w:color="auto" w:fill="auto"/>
            <w:hideMark/>
          </w:tcPr>
          <w:p w14:paraId="10782A90" w14:textId="77777777" w:rsidR="0064656C" w:rsidRPr="0069600A" w:rsidRDefault="0064656C" w:rsidP="00F056C8">
            <w:pPr>
              <w:pStyle w:val="listofpeople"/>
            </w:pPr>
            <w:r>
              <w:t>Quality Systems Support  </w:t>
            </w:r>
          </w:p>
        </w:tc>
      </w:tr>
      <w:tr w:rsidR="0064656C" w14:paraId="53820757"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0A7525AF" w14:textId="77777777" w:rsidR="0064656C" w:rsidRDefault="0064656C" w:rsidP="00F056C8">
            <w:pPr>
              <w:pStyle w:val="listofpeople"/>
            </w:pPr>
            <w:r>
              <w:t>Support Hub</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4B336DA2" w14:textId="77777777" w:rsidR="0064656C" w:rsidRDefault="0064656C" w:rsidP="00F056C8">
            <w:pPr>
              <w:pStyle w:val="listofpeople"/>
            </w:pPr>
            <w:r>
              <w:t>Alison Wells</w:t>
            </w:r>
          </w:p>
        </w:tc>
        <w:tc>
          <w:tcPr>
            <w:tcW w:w="4694" w:type="dxa"/>
            <w:tcBorders>
              <w:top w:val="single" w:sz="6" w:space="0" w:color="auto"/>
              <w:left w:val="single" w:sz="6" w:space="0" w:color="auto"/>
              <w:bottom w:val="single" w:sz="6" w:space="0" w:color="auto"/>
              <w:right w:val="single" w:sz="6" w:space="0" w:color="000000" w:themeColor="text1"/>
            </w:tcBorders>
            <w:shd w:val="clear" w:color="auto" w:fill="auto"/>
            <w:hideMark/>
          </w:tcPr>
          <w:p w14:paraId="0F01CF7F" w14:textId="77777777" w:rsidR="0064656C" w:rsidRDefault="0064656C" w:rsidP="00F056C8">
            <w:pPr>
              <w:pStyle w:val="listofpeople"/>
            </w:pPr>
            <w:r>
              <w:t>Support Coordinator</w:t>
            </w:r>
          </w:p>
        </w:tc>
      </w:tr>
      <w:tr w:rsidR="004270F1" w14:paraId="79DEE7A4"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3E606408" w14:textId="46422162" w:rsidR="004270F1" w:rsidRDefault="004270F1" w:rsidP="004270F1">
            <w:pPr>
              <w:pStyle w:val="listofpeople"/>
            </w:pPr>
            <w:r w:rsidRPr="00C56E0A">
              <w:t>Support Hub</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12EA4F11" w14:textId="77777777" w:rsidR="004270F1" w:rsidRDefault="004270F1" w:rsidP="004270F1">
            <w:pPr>
              <w:pStyle w:val="listofpeople"/>
            </w:pPr>
            <w:r>
              <w:t xml:space="preserve">Robbie Gillespie </w:t>
            </w:r>
          </w:p>
        </w:tc>
        <w:tc>
          <w:tcPr>
            <w:tcW w:w="4694" w:type="dxa"/>
            <w:tcBorders>
              <w:top w:val="single" w:sz="6" w:space="0" w:color="auto"/>
              <w:left w:val="single" w:sz="6" w:space="0" w:color="auto"/>
              <w:bottom w:val="single" w:sz="6" w:space="0" w:color="auto"/>
              <w:right w:val="single" w:sz="6" w:space="0" w:color="000000" w:themeColor="text1"/>
            </w:tcBorders>
            <w:shd w:val="clear" w:color="auto" w:fill="auto"/>
            <w:hideMark/>
          </w:tcPr>
          <w:p w14:paraId="41E7EF94" w14:textId="77777777" w:rsidR="004270F1" w:rsidRDefault="004270F1" w:rsidP="004270F1">
            <w:pPr>
              <w:pStyle w:val="listofpeople"/>
            </w:pPr>
            <w:r>
              <w:t xml:space="preserve">Support Coordinator </w:t>
            </w:r>
          </w:p>
        </w:tc>
      </w:tr>
      <w:tr w:rsidR="004270F1" w14:paraId="736E6650" w14:textId="77777777" w:rsidTr="00F056C8">
        <w:trPr>
          <w:trHeight w:val="300"/>
        </w:trPr>
        <w:tc>
          <w:tcPr>
            <w:tcW w:w="2261" w:type="dxa"/>
            <w:tcBorders>
              <w:top w:val="single" w:sz="6" w:space="0" w:color="auto"/>
              <w:left w:val="single" w:sz="6" w:space="0" w:color="auto"/>
              <w:bottom w:val="single" w:sz="6" w:space="0" w:color="auto"/>
              <w:right w:val="single" w:sz="6" w:space="0" w:color="auto"/>
            </w:tcBorders>
            <w:shd w:val="clear" w:color="auto" w:fill="auto"/>
            <w:hideMark/>
          </w:tcPr>
          <w:p w14:paraId="7769677A" w14:textId="72078A2F" w:rsidR="004270F1" w:rsidRDefault="004270F1" w:rsidP="004270F1">
            <w:pPr>
              <w:pStyle w:val="listofpeople"/>
            </w:pPr>
            <w:r w:rsidRPr="00C56E0A">
              <w:t>Support Hub</w:t>
            </w:r>
          </w:p>
        </w:tc>
        <w:tc>
          <w:tcPr>
            <w:tcW w:w="2392" w:type="dxa"/>
            <w:tcBorders>
              <w:top w:val="single" w:sz="6" w:space="0" w:color="auto"/>
              <w:left w:val="single" w:sz="6" w:space="0" w:color="auto"/>
              <w:bottom w:val="single" w:sz="6" w:space="0" w:color="auto"/>
              <w:right w:val="single" w:sz="6" w:space="0" w:color="auto"/>
            </w:tcBorders>
            <w:shd w:val="clear" w:color="auto" w:fill="auto"/>
            <w:hideMark/>
          </w:tcPr>
          <w:p w14:paraId="21B3988D" w14:textId="77777777" w:rsidR="004270F1" w:rsidRDefault="004270F1" w:rsidP="004270F1">
            <w:pPr>
              <w:pStyle w:val="listofpeople"/>
            </w:pPr>
            <w:r>
              <w:t xml:space="preserve">Rachel </w:t>
            </w:r>
            <w:proofErr w:type="spellStart"/>
            <w:r>
              <w:t>Pynor</w:t>
            </w:r>
            <w:proofErr w:type="spellEnd"/>
            <w:r>
              <w:t xml:space="preserve"> </w:t>
            </w:r>
          </w:p>
        </w:tc>
        <w:tc>
          <w:tcPr>
            <w:tcW w:w="4694" w:type="dxa"/>
            <w:tcBorders>
              <w:top w:val="single" w:sz="6" w:space="0" w:color="auto"/>
              <w:left w:val="single" w:sz="6" w:space="0" w:color="auto"/>
              <w:bottom w:val="single" w:sz="6" w:space="0" w:color="auto"/>
              <w:right w:val="single" w:sz="6" w:space="0" w:color="000000" w:themeColor="text1"/>
            </w:tcBorders>
            <w:shd w:val="clear" w:color="auto" w:fill="auto"/>
            <w:hideMark/>
          </w:tcPr>
          <w:p w14:paraId="01F01BFD" w14:textId="77777777" w:rsidR="004270F1" w:rsidRDefault="004270F1" w:rsidP="004270F1">
            <w:pPr>
              <w:pStyle w:val="listofpeople"/>
            </w:pPr>
            <w:r>
              <w:t>Senior Support Officer</w:t>
            </w:r>
          </w:p>
        </w:tc>
      </w:tr>
    </w:tbl>
    <w:p w14:paraId="2E067F04" w14:textId="77777777" w:rsidR="00B245A4" w:rsidRDefault="00B245A4" w:rsidP="00B245A4">
      <w:pPr>
        <w:pStyle w:val="NoSpacing"/>
      </w:pPr>
    </w:p>
    <w:p w14:paraId="2CBEF3F1" w14:textId="2B2E65DC" w:rsidR="1FF15902" w:rsidRDefault="1FF15902" w:rsidP="3B0D9F72">
      <w:pPr>
        <w:rPr>
          <w:b/>
          <w:bCs/>
        </w:rPr>
      </w:pPr>
      <w:r w:rsidRPr="3B0D9F72">
        <w:rPr>
          <w:b/>
          <w:bCs/>
        </w:rPr>
        <w:t>Tertiary education and training</w:t>
      </w:r>
      <w:r w:rsidR="004C0880">
        <w:rPr>
          <w:b/>
          <w:bCs/>
        </w:rPr>
        <w:t xml:space="preserve"> institutions</w:t>
      </w:r>
    </w:p>
    <w:tbl>
      <w:tblPr>
        <w:tblW w:w="934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280"/>
        <w:gridCol w:w="2359"/>
        <w:gridCol w:w="4709"/>
      </w:tblGrid>
      <w:tr w:rsidR="3B0D9F72" w14:paraId="611B350D" w14:textId="77777777" w:rsidTr="3326E6A4">
        <w:trPr>
          <w:trHeight w:val="300"/>
        </w:trPr>
        <w:tc>
          <w:tcPr>
            <w:tcW w:w="2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DE4C8D0" w14:textId="77777777" w:rsidR="3B0D9F72" w:rsidRDefault="3B0D9F72">
            <w:r w:rsidRPr="3B0D9F72">
              <w:rPr>
                <w:b/>
                <w:bCs/>
              </w:rPr>
              <w:t>Organisation</w:t>
            </w:r>
            <w:r>
              <w:t> </w:t>
            </w:r>
          </w:p>
        </w:tc>
        <w:tc>
          <w:tcPr>
            <w:tcW w:w="235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1DE6F13" w14:textId="77777777" w:rsidR="3B0D9F72" w:rsidRDefault="3B0D9F72">
            <w:r w:rsidRPr="3B0D9F72">
              <w:rPr>
                <w:b/>
                <w:bCs/>
              </w:rPr>
              <w:t>Name</w:t>
            </w:r>
            <w:r>
              <w:t> </w:t>
            </w:r>
          </w:p>
        </w:tc>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19AD9B3" w14:textId="77777777" w:rsidR="3B0D9F72" w:rsidRDefault="3B0D9F72">
            <w:r w:rsidRPr="3B0D9F72">
              <w:rPr>
                <w:b/>
                <w:bCs/>
              </w:rPr>
              <w:t>Position</w:t>
            </w:r>
            <w:r>
              <w:t> </w:t>
            </w:r>
          </w:p>
        </w:tc>
      </w:tr>
      <w:tr w:rsidR="001C365C" w:rsidRPr="0069600A" w14:paraId="4666260C" w14:textId="77777777" w:rsidTr="3326E6A4">
        <w:trPr>
          <w:trHeight w:val="300"/>
        </w:trPr>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7176377D" w14:textId="7232BA12" w:rsidR="001C365C" w:rsidRPr="0069600A" w:rsidRDefault="001C365C" w:rsidP="0064656C">
            <w:pPr>
              <w:pStyle w:val="listofpeople"/>
            </w:pPr>
            <w:r>
              <w:t>National University of Vanuatu </w:t>
            </w:r>
          </w:p>
        </w:tc>
        <w:tc>
          <w:tcPr>
            <w:tcW w:w="2359" w:type="dxa"/>
            <w:tcBorders>
              <w:top w:val="single" w:sz="6" w:space="0" w:color="auto"/>
              <w:left w:val="single" w:sz="6" w:space="0" w:color="auto"/>
              <w:bottom w:val="single" w:sz="6" w:space="0" w:color="auto"/>
              <w:right w:val="single" w:sz="6" w:space="0" w:color="auto"/>
            </w:tcBorders>
            <w:shd w:val="clear" w:color="auto" w:fill="auto"/>
            <w:hideMark/>
          </w:tcPr>
          <w:p w14:paraId="5F3BAB4C" w14:textId="652117A1" w:rsidR="001C365C" w:rsidRPr="0069600A" w:rsidRDefault="00646E24" w:rsidP="0064656C">
            <w:pPr>
              <w:pStyle w:val="listofpeople"/>
            </w:pPr>
            <w:r>
              <w:t>Jean-</w:t>
            </w:r>
            <w:r w:rsidR="001C365C">
              <w:t xml:space="preserve">Pierre </w:t>
            </w:r>
            <w:proofErr w:type="spellStart"/>
            <w:r w:rsidR="001C365C">
              <w:t>Nirua</w:t>
            </w:r>
            <w:proofErr w:type="spellEnd"/>
            <w:r w:rsidR="001C365C">
              <w:t> </w:t>
            </w:r>
          </w:p>
        </w:tc>
        <w:tc>
          <w:tcPr>
            <w:tcW w:w="4709" w:type="dxa"/>
            <w:tcBorders>
              <w:top w:val="single" w:sz="6" w:space="0" w:color="auto"/>
              <w:left w:val="single" w:sz="6" w:space="0" w:color="auto"/>
              <w:bottom w:val="single" w:sz="6" w:space="0" w:color="auto"/>
              <w:right w:val="single" w:sz="6" w:space="0" w:color="auto"/>
            </w:tcBorders>
            <w:shd w:val="clear" w:color="auto" w:fill="auto"/>
            <w:hideMark/>
          </w:tcPr>
          <w:p w14:paraId="0F276A3D" w14:textId="65D856AF" w:rsidR="001C365C" w:rsidRPr="0069600A" w:rsidRDefault="001C365C" w:rsidP="0064656C">
            <w:pPr>
              <w:pStyle w:val="listofpeople"/>
            </w:pPr>
            <w:r>
              <w:t>President/Vice Chancellor </w:t>
            </w:r>
          </w:p>
        </w:tc>
      </w:tr>
      <w:tr w:rsidR="004270F1" w:rsidRPr="0069600A" w14:paraId="07F35E76" w14:textId="77777777" w:rsidTr="3326E6A4">
        <w:trPr>
          <w:trHeight w:val="300"/>
        </w:trPr>
        <w:tc>
          <w:tcPr>
            <w:tcW w:w="2280" w:type="dxa"/>
            <w:tcBorders>
              <w:top w:val="single" w:sz="6" w:space="0" w:color="auto"/>
              <w:left w:val="single" w:sz="6" w:space="0" w:color="auto"/>
              <w:bottom w:val="single" w:sz="6" w:space="0" w:color="auto"/>
              <w:right w:val="single" w:sz="6" w:space="0" w:color="auto"/>
            </w:tcBorders>
            <w:shd w:val="clear" w:color="auto" w:fill="auto"/>
          </w:tcPr>
          <w:p w14:paraId="2926B95A" w14:textId="7F712745" w:rsidR="004270F1" w:rsidRPr="0069600A" w:rsidRDefault="004270F1" w:rsidP="004270F1">
            <w:pPr>
              <w:pStyle w:val="listofpeople"/>
            </w:pPr>
            <w:r w:rsidRPr="00D53DE7">
              <w:t>National University of Vanuatu </w:t>
            </w:r>
          </w:p>
        </w:tc>
        <w:tc>
          <w:tcPr>
            <w:tcW w:w="2359" w:type="dxa"/>
            <w:tcBorders>
              <w:top w:val="single" w:sz="6" w:space="0" w:color="auto"/>
              <w:left w:val="single" w:sz="6" w:space="0" w:color="auto"/>
              <w:bottom w:val="single" w:sz="6" w:space="0" w:color="auto"/>
              <w:right w:val="single" w:sz="6" w:space="0" w:color="auto"/>
            </w:tcBorders>
            <w:shd w:val="clear" w:color="auto" w:fill="auto"/>
          </w:tcPr>
          <w:p w14:paraId="4DA18025" w14:textId="1DEFFBE1" w:rsidR="004270F1" w:rsidRPr="0069600A" w:rsidRDefault="004270F1" w:rsidP="004270F1">
            <w:pPr>
              <w:pStyle w:val="listofpeople"/>
            </w:pPr>
            <w:r>
              <w:t xml:space="preserve">Ben </w:t>
            </w:r>
            <w:proofErr w:type="spellStart"/>
            <w:r>
              <w:t>Boulekouran</w:t>
            </w:r>
            <w:proofErr w:type="spellEnd"/>
            <w:r>
              <w:t> </w:t>
            </w:r>
          </w:p>
        </w:tc>
        <w:tc>
          <w:tcPr>
            <w:tcW w:w="4709" w:type="dxa"/>
            <w:tcBorders>
              <w:top w:val="single" w:sz="6" w:space="0" w:color="auto"/>
              <w:left w:val="single" w:sz="6" w:space="0" w:color="auto"/>
              <w:bottom w:val="single" w:sz="6" w:space="0" w:color="auto"/>
              <w:right w:val="single" w:sz="6" w:space="0" w:color="auto"/>
            </w:tcBorders>
            <w:shd w:val="clear" w:color="auto" w:fill="auto"/>
          </w:tcPr>
          <w:p w14:paraId="47BDEC19" w14:textId="1A9EB09F" w:rsidR="004270F1" w:rsidRPr="0069600A" w:rsidRDefault="004270F1" w:rsidP="004270F1">
            <w:pPr>
              <w:pStyle w:val="listofpeople"/>
            </w:pPr>
            <w:r>
              <w:t>Principal, School of Education </w:t>
            </w:r>
          </w:p>
        </w:tc>
      </w:tr>
      <w:tr w:rsidR="004270F1" w:rsidRPr="0069600A" w14:paraId="606CDE9A" w14:textId="77777777" w:rsidTr="3326E6A4">
        <w:trPr>
          <w:trHeight w:val="300"/>
        </w:trPr>
        <w:tc>
          <w:tcPr>
            <w:tcW w:w="2280" w:type="dxa"/>
            <w:tcBorders>
              <w:top w:val="single" w:sz="6" w:space="0" w:color="auto"/>
              <w:left w:val="single" w:sz="6" w:space="0" w:color="auto"/>
              <w:bottom w:val="single" w:sz="6" w:space="0" w:color="auto"/>
              <w:right w:val="single" w:sz="6" w:space="0" w:color="auto"/>
            </w:tcBorders>
            <w:shd w:val="clear" w:color="auto" w:fill="auto"/>
          </w:tcPr>
          <w:p w14:paraId="01C90510" w14:textId="32FC9048" w:rsidR="004270F1" w:rsidRPr="0069600A" w:rsidRDefault="004270F1" w:rsidP="004270F1">
            <w:pPr>
              <w:pStyle w:val="listofpeople"/>
            </w:pPr>
            <w:r w:rsidRPr="00D53DE7">
              <w:t>National University of Vanuatu </w:t>
            </w:r>
          </w:p>
        </w:tc>
        <w:tc>
          <w:tcPr>
            <w:tcW w:w="2359" w:type="dxa"/>
            <w:tcBorders>
              <w:top w:val="single" w:sz="6" w:space="0" w:color="auto"/>
              <w:left w:val="single" w:sz="6" w:space="0" w:color="auto"/>
              <w:bottom w:val="single" w:sz="6" w:space="0" w:color="auto"/>
              <w:right w:val="single" w:sz="6" w:space="0" w:color="auto"/>
            </w:tcBorders>
            <w:shd w:val="clear" w:color="auto" w:fill="auto"/>
          </w:tcPr>
          <w:p w14:paraId="17D3E126" w14:textId="427CEA5E" w:rsidR="004270F1" w:rsidRPr="0069600A" w:rsidRDefault="004270F1" w:rsidP="004270F1">
            <w:pPr>
              <w:pStyle w:val="listofpeople"/>
            </w:pPr>
            <w:r>
              <w:t xml:space="preserve">Christelle </w:t>
            </w:r>
            <w:proofErr w:type="spellStart"/>
            <w:r>
              <w:t>Thieffry</w:t>
            </w:r>
            <w:proofErr w:type="spellEnd"/>
            <w:r>
              <w:t> </w:t>
            </w:r>
          </w:p>
        </w:tc>
        <w:tc>
          <w:tcPr>
            <w:tcW w:w="4709" w:type="dxa"/>
            <w:tcBorders>
              <w:top w:val="single" w:sz="6" w:space="0" w:color="auto"/>
              <w:left w:val="single" w:sz="6" w:space="0" w:color="auto"/>
              <w:bottom w:val="single" w:sz="6" w:space="0" w:color="auto"/>
              <w:right w:val="single" w:sz="6" w:space="0" w:color="auto"/>
            </w:tcBorders>
            <w:shd w:val="clear" w:color="auto" w:fill="auto"/>
          </w:tcPr>
          <w:p w14:paraId="36713A56" w14:textId="419462F7" w:rsidR="004270F1" w:rsidRPr="0069600A" w:rsidRDefault="004270F1" w:rsidP="004270F1">
            <w:pPr>
              <w:pStyle w:val="listofpeople"/>
            </w:pPr>
            <w:r>
              <w:t>Team Leader </w:t>
            </w:r>
          </w:p>
        </w:tc>
      </w:tr>
      <w:tr w:rsidR="004270F1" w:rsidRPr="0069600A" w14:paraId="54D1CA5F" w14:textId="77777777" w:rsidTr="3326E6A4">
        <w:trPr>
          <w:trHeight w:val="300"/>
        </w:trPr>
        <w:tc>
          <w:tcPr>
            <w:tcW w:w="2280" w:type="dxa"/>
            <w:tcBorders>
              <w:top w:val="single" w:sz="6" w:space="0" w:color="auto"/>
              <w:left w:val="single" w:sz="6" w:space="0" w:color="auto"/>
              <w:bottom w:val="single" w:sz="6" w:space="0" w:color="auto"/>
              <w:right w:val="single" w:sz="6" w:space="0" w:color="auto"/>
            </w:tcBorders>
            <w:shd w:val="clear" w:color="auto" w:fill="auto"/>
          </w:tcPr>
          <w:p w14:paraId="08AE7F2E" w14:textId="1E37EAB5" w:rsidR="004270F1" w:rsidRPr="0069600A" w:rsidRDefault="004270F1" w:rsidP="004270F1">
            <w:pPr>
              <w:pStyle w:val="listofpeople"/>
            </w:pPr>
            <w:r w:rsidRPr="00D53DE7">
              <w:t>National University of Vanuatu </w:t>
            </w:r>
          </w:p>
        </w:tc>
        <w:tc>
          <w:tcPr>
            <w:tcW w:w="2359" w:type="dxa"/>
            <w:tcBorders>
              <w:top w:val="single" w:sz="6" w:space="0" w:color="auto"/>
              <w:left w:val="single" w:sz="6" w:space="0" w:color="auto"/>
              <w:bottom w:val="single" w:sz="6" w:space="0" w:color="auto"/>
              <w:right w:val="single" w:sz="6" w:space="0" w:color="auto"/>
            </w:tcBorders>
            <w:shd w:val="clear" w:color="auto" w:fill="auto"/>
          </w:tcPr>
          <w:p w14:paraId="3FC90F23" w14:textId="319A7A18" w:rsidR="004270F1" w:rsidRPr="0069600A" w:rsidRDefault="004270F1" w:rsidP="004270F1">
            <w:pPr>
              <w:pStyle w:val="listofpeople"/>
            </w:pPr>
            <w:r>
              <w:t xml:space="preserve">Gayleen </w:t>
            </w:r>
            <w:proofErr w:type="spellStart"/>
            <w:r>
              <w:t>Tarosa</w:t>
            </w:r>
            <w:proofErr w:type="spellEnd"/>
            <w:r>
              <w:t> </w:t>
            </w:r>
          </w:p>
        </w:tc>
        <w:tc>
          <w:tcPr>
            <w:tcW w:w="4709" w:type="dxa"/>
            <w:tcBorders>
              <w:top w:val="single" w:sz="6" w:space="0" w:color="auto"/>
              <w:left w:val="single" w:sz="6" w:space="0" w:color="auto"/>
              <w:bottom w:val="single" w:sz="6" w:space="0" w:color="auto"/>
              <w:right w:val="single" w:sz="6" w:space="0" w:color="auto"/>
            </w:tcBorders>
            <w:shd w:val="clear" w:color="auto" w:fill="auto"/>
          </w:tcPr>
          <w:p w14:paraId="1F56790D" w14:textId="0E4ABE44" w:rsidR="004270F1" w:rsidRPr="0069600A" w:rsidRDefault="004270F1" w:rsidP="004270F1">
            <w:pPr>
              <w:pStyle w:val="listofpeople"/>
            </w:pPr>
            <w:r>
              <w:t>Deputy Principal/ Senior lecturer, School of Education </w:t>
            </w:r>
          </w:p>
        </w:tc>
      </w:tr>
    </w:tbl>
    <w:p w14:paraId="300AD8DD" w14:textId="77777777" w:rsidR="00B245A4" w:rsidRDefault="00B245A4" w:rsidP="00B245A4">
      <w:pPr>
        <w:pStyle w:val="NoSpacing"/>
      </w:pPr>
    </w:p>
    <w:p w14:paraId="579E9EBA" w14:textId="19ECE49B" w:rsidR="778B80D2" w:rsidRDefault="778B80D2" w:rsidP="3B0D9F72">
      <w:pPr>
        <w:spacing w:line="240" w:lineRule="auto"/>
      </w:pPr>
      <w:r w:rsidRPr="3B0D9F72">
        <w:rPr>
          <w:b/>
          <w:bCs/>
        </w:rPr>
        <w:t>Provincial Government</w:t>
      </w:r>
    </w:p>
    <w:tbl>
      <w:tblPr>
        <w:tblW w:w="934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299"/>
        <w:gridCol w:w="2325"/>
        <w:gridCol w:w="4724"/>
      </w:tblGrid>
      <w:tr w:rsidR="3B0D9F72" w14:paraId="28661AF6" w14:textId="77777777" w:rsidTr="00B245A4">
        <w:trPr>
          <w:trHeight w:val="300"/>
          <w:tblHeader/>
        </w:trPr>
        <w:tc>
          <w:tcPr>
            <w:tcW w:w="22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7CC1FB5" w14:textId="77777777" w:rsidR="3B0D9F72" w:rsidRDefault="3B0D9F72">
            <w:r w:rsidRPr="3B0D9F72">
              <w:rPr>
                <w:b/>
                <w:bCs/>
              </w:rPr>
              <w:t>Organisation</w:t>
            </w:r>
            <w:r>
              <w:t> </w:t>
            </w:r>
          </w:p>
        </w:tc>
        <w:tc>
          <w:tcPr>
            <w:tcW w:w="232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83BFD1" w14:textId="77777777" w:rsidR="3B0D9F72" w:rsidRDefault="3B0D9F72">
            <w:r w:rsidRPr="3B0D9F72">
              <w:rPr>
                <w:b/>
                <w:bCs/>
              </w:rPr>
              <w:t>Name</w:t>
            </w:r>
            <w:r>
              <w:t> </w:t>
            </w:r>
          </w:p>
        </w:tc>
        <w:tc>
          <w:tcPr>
            <w:tcW w:w="472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6B1B87" w14:textId="77777777" w:rsidR="3B0D9F72" w:rsidRDefault="3B0D9F72">
            <w:r w:rsidRPr="3B0D9F72">
              <w:rPr>
                <w:b/>
                <w:bCs/>
              </w:rPr>
              <w:t>Position</w:t>
            </w:r>
            <w:r>
              <w:t> </w:t>
            </w:r>
          </w:p>
        </w:tc>
      </w:tr>
      <w:tr w:rsidR="001C365C" w:rsidRPr="0069600A" w14:paraId="5DFA607B" w14:textId="77777777" w:rsidTr="00F26B70">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hideMark/>
          </w:tcPr>
          <w:p w14:paraId="2BB2937D" w14:textId="5CE31573" w:rsidR="001C365C" w:rsidRPr="0069600A" w:rsidRDefault="35DFB3B0" w:rsidP="0064656C">
            <w:pPr>
              <w:pStyle w:val="listofpeople"/>
            </w:pPr>
            <w:proofErr w:type="spellStart"/>
            <w:r>
              <w:t>Tafea</w:t>
            </w:r>
            <w:proofErr w:type="spellEnd"/>
            <w:r>
              <w:t xml:space="preserve"> Province </w:t>
            </w:r>
            <w:r w:rsidR="001C365C">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7CD0E192" w14:textId="67489A8F" w:rsidR="001C365C" w:rsidRPr="0069600A" w:rsidRDefault="5204FD50" w:rsidP="0064656C">
            <w:pPr>
              <w:pStyle w:val="listofpeople"/>
            </w:pPr>
            <w:r>
              <w:t xml:space="preserve">Joe </w:t>
            </w:r>
            <w:proofErr w:type="spellStart"/>
            <w:r>
              <w:t>I</w:t>
            </w:r>
            <w:r w:rsidR="58C3E5F0">
              <w:t>autim</w:t>
            </w:r>
            <w:proofErr w:type="spellEnd"/>
          </w:p>
        </w:tc>
        <w:tc>
          <w:tcPr>
            <w:tcW w:w="4724" w:type="dxa"/>
            <w:tcBorders>
              <w:top w:val="single" w:sz="6" w:space="0" w:color="auto"/>
              <w:left w:val="single" w:sz="6" w:space="0" w:color="auto"/>
              <w:bottom w:val="single" w:sz="6" w:space="0" w:color="auto"/>
              <w:right w:val="single" w:sz="6" w:space="0" w:color="auto"/>
            </w:tcBorders>
            <w:shd w:val="clear" w:color="auto" w:fill="auto"/>
            <w:hideMark/>
          </w:tcPr>
          <w:p w14:paraId="746AA2F6" w14:textId="34C50003" w:rsidR="001C365C" w:rsidRPr="0069600A" w:rsidRDefault="35DFB3B0" w:rsidP="0064656C">
            <w:pPr>
              <w:pStyle w:val="listofpeople"/>
            </w:pPr>
            <w:proofErr w:type="spellStart"/>
            <w:r>
              <w:t>Tafea</w:t>
            </w:r>
            <w:proofErr w:type="spellEnd"/>
            <w:r>
              <w:t xml:space="preserve"> Provincial Secretary-General </w:t>
            </w:r>
          </w:p>
        </w:tc>
      </w:tr>
      <w:tr w:rsidR="001C365C" w:rsidRPr="0069600A" w14:paraId="295ABD4B" w14:textId="77777777" w:rsidTr="00F26B70">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hideMark/>
          </w:tcPr>
          <w:p w14:paraId="1D1A7267" w14:textId="4CD3D230" w:rsidR="001C365C" w:rsidRPr="0069600A" w:rsidRDefault="35DFB3B0" w:rsidP="0064656C">
            <w:pPr>
              <w:pStyle w:val="listofpeople"/>
            </w:pPr>
            <w:r>
              <w:t>Torba Province</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1AA3ADDD" w14:textId="675E5EE0" w:rsidR="001C365C" w:rsidRPr="0069600A" w:rsidRDefault="7BA79783" w:rsidP="0064656C">
            <w:pPr>
              <w:pStyle w:val="listofpeople"/>
            </w:pPr>
            <w:r>
              <w:t xml:space="preserve">Albert </w:t>
            </w:r>
            <w:proofErr w:type="spellStart"/>
            <w:r>
              <w:t>Ruddley</w:t>
            </w:r>
            <w:proofErr w:type="spellEnd"/>
            <w:r>
              <w:t xml:space="preserve"> </w:t>
            </w:r>
          </w:p>
        </w:tc>
        <w:tc>
          <w:tcPr>
            <w:tcW w:w="4724" w:type="dxa"/>
            <w:tcBorders>
              <w:top w:val="single" w:sz="6" w:space="0" w:color="auto"/>
              <w:left w:val="single" w:sz="6" w:space="0" w:color="auto"/>
              <w:bottom w:val="single" w:sz="6" w:space="0" w:color="auto"/>
              <w:right w:val="single" w:sz="6" w:space="0" w:color="auto"/>
            </w:tcBorders>
            <w:shd w:val="clear" w:color="auto" w:fill="auto"/>
            <w:hideMark/>
          </w:tcPr>
          <w:p w14:paraId="1451C5F6" w14:textId="77777777" w:rsidR="001C365C" w:rsidRPr="0069600A" w:rsidRDefault="001C365C" w:rsidP="0064656C">
            <w:pPr>
              <w:pStyle w:val="listofpeople"/>
            </w:pPr>
            <w:r>
              <w:t>Torba Provincial Secretary-General </w:t>
            </w:r>
          </w:p>
        </w:tc>
      </w:tr>
      <w:tr w:rsidR="001C365C" w:rsidRPr="0069600A" w14:paraId="1246F391" w14:textId="77777777" w:rsidTr="00F26B70">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hideMark/>
          </w:tcPr>
          <w:p w14:paraId="7AA68FD7" w14:textId="0203125C" w:rsidR="001C365C" w:rsidRPr="0069600A" w:rsidRDefault="35DFB3B0" w:rsidP="0064656C">
            <w:pPr>
              <w:pStyle w:val="listofpeople"/>
            </w:pPr>
            <w:proofErr w:type="spellStart"/>
            <w:r>
              <w:t>Sanma</w:t>
            </w:r>
            <w:proofErr w:type="spellEnd"/>
            <w:r>
              <w:t xml:space="preserve"> Province </w:t>
            </w:r>
            <w:r w:rsidR="001C365C">
              <w:t> </w:t>
            </w:r>
          </w:p>
        </w:tc>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62E91E91" w14:textId="10BD69A3" w:rsidR="001C365C" w:rsidRPr="0069600A" w:rsidRDefault="7F50D8F6" w:rsidP="0064656C">
            <w:pPr>
              <w:pStyle w:val="listofpeople"/>
            </w:pPr>
            <w:r>
              <w:t xml:space="preserve">Carol </w:t>
            </w:r>
            <w:proofErr w:type="spellStart"/>
            <w:r>
              <w:t>Rovo</w:t>
            </w:r>
            <w:proofErr w:type="spellEnd"/>
          </w:p>
        </w:tc>
        <w:tc>
          <w:tcPr>
            <w:tcW w:w="4724" w:type="dxa"/>
            <w:tcBorders>
              <w:top w:val="single" w:sz="6" w:space="0" w:color="auto"/>
              <w:left w:val="single" w:sz="6" w:space="0" w:color="auto"/>
              <w:bottom w:val="single" w:sz="6" w:space="0" w:color="auto"/>
              <w:right w:val="single" w:sz="6" w:space="0" w:color="auto"/>
            </w:tcBorders>
            <w:shd w:val="clear" w:color="auto" w:fill="auto"/>
            <w:hideMark/>
          </w:tcPr>
          <w:p w14:paraId="24469D6F" w14:textId="77777777" w:rsidR="001C365C" w:rsidRPr="0069600A" w:rsidRDefault="001C365C" w:rsidP="0064656C">
            <w:pPr>
              <w:pStyle w:val="listofpeople"/>
            </w:pPr>
            <w:proofErr w:type="spellStart"/>
            <w:r>
              <w:t>Sanma</w:t>
            </w:r>
            <w:proofErr w:type="spellEnd"/>
            <w:r>
              <w:t xml:space="preserve"> Provincial Secretary-General </w:t>
            </w:r>
          </w:p>
        </w:tc>
      </w:tr>
      <w:tr w:rsidR="001C365C" w:rsidRPr="0069600A" w14:paraId="033AB492" w14:textId="77777777" w:rsidTr="00F26B70">
        <w:trPr>
          <w:trHeight w:val="300"/>
        </w:trPr>
        <w:tc>
          <w:tcPr>
            <w:tcW w:w="2299" w:type="dxa"/>
            <w:tcBorders>
              <w:top w:val="single" w:sz="6" w:space="0" w:color="auto"/>
              <w:left w:val="single" w:sz="6" w:space="0" w:color="auto"/>
              <w:bottom w:val="single" w:sz="6" w:space="0" w:color="auto"/>
              <w:right w:val="single" w:sz="6" w:space="0" w:color="auto"/>
            </w:tcBorders>
            <w:shd w:val="clear" w:color="auto" w:fill="auto"/>
          </w:tcPr>
          <w:p w14:paraId="2F2EE4F7" w14:textId="5D0D05AA" w:rsidR="001C365C" w:rsidRPr="0069600A" w:rsidRDefault="001C365C" w:rsidP="0064656C">
            <w:pPr>
              <w:pStyle w:val="listofpeople"/>
            </w:pPr>
            <w:proofErr w:type="spellStart"/>
            <w:r>
              <w:t>Penama</w:t>
            </w:r>
            <w:proofErr w:type="spellEnd"/>
            <w:r>
              <w:t xml:space="preserve"> Province</w:t>
            </w:r>
          </w:p>
        </w:tc>
        <w:tc>
          <w:tcPr>
            <w:tcW w:w="2325" w:type="dxa"/>
            <w:tcBorders>
              <w:top w:val="single" w:sz="6" w:space="0" w:color="auto"/>
              <w:left w:val="single" w:sz="6" w:space="0" w:color="auto"/>
              <w:bottom w:val="single" w:sz="6" w:space="0" w:color="auto"/>
              <w:right w:val="single" w:sz="6" w:space="0" w:color="auto"/>
            </w:tcBorders>
            <w:shd w:val="clear" w:color="auto" w:fill="auto"/>
          </w:tcPr>
          <w:p w14:paraId="3512AAAD" w14:textId="0428FBAB" w:rsidR="001C365C" w:rsidRPr="0069600A" w:rsidRDefault="1D730006" w:rsidP="0064656C">
            <w:pPr>
              <w:pStyle w:val="listofpeople"/>
            </w:pPr>
            <w:r>
              <w:t>Moses Bani</w:t>
            </w:r>
          </w:p>
        </w:tc>
        <w:tc>
          <w:tcPr>
            <w:tcW w:w="4724" w:type="dxa"/>
            <w:tcBorders>
              <w:top w:val="single" w:sz="6" w:space="0" w:color="auto"/>
              <w:left w:val="single" w:sz="6" w:space="0" w:color="auto"/>
              <w:bottom w:val="single" w:sz="6" w:space="0" w:color="auto"/>
              <w:right w:val="single" w:sz="6" w:space="0" w:color="auto"/>
            </w:tcBorders>
            <w:shd w:val="clear" w:color="auto" w:fill="auto"/>
          </w:tcPr>
          <w:p w14:paraId="282A8B9C" w14:textId="63C91E21" w:rsidR="001C365C" w:rsidRPr="0069600A" w:rsidRDefault="35DFB3B0" w:rsidP="0064656C">
            <w:pPr>
              <w:pStyle w:val="listofpeople"/>
            </w:pPr>
            <w:proofErr w:type="spellStart"/>
            <w:r>
              <w:t>Pen</w:t>
            </w:r>
            <w:r w:rsidR="27F6F09E">
              <w:t>a</w:t>
            </w:r>
            <w:r>
              <w:t>ma</w:t>
            </w:r>
            <w:proofErr w:type="spellEnd"/>
            <w:r>
              <w:t xml:space="preserve"> Provincial Secretary-General </w:t>
            </w:r>
          </w:p>
        </w:tc>
      </w:tr>
    </w:tbl>
    <w:p w14:paraId="4B6918E5" w14:textId="77777777" w:rsidR="00B245A4" w:rsidRDefault="00B245A4" w:rsidP="00B245A4">
      <w:pPr>
        <w:pStyle w:val="NoSpacing"/>
      </w:pPr>
    </w:p>
    <w:p w14:paraId="31112676" w14:textId="77777777" w:rsidR="00B245A4" w:rsidRDefault="00B245A4" w:rsidP="00B245A4">
      <w:pPr>
        <w:pStyle w:val="NoSpacing"/>
      </w:pPr>
    </w:p>
    <w:p w14:paraId="6627443A" w14:textId="3B51C7C1" w:rsidR="195D9EAB" w:rsidRDefault="195D9EAB" w:rsidP="00B245A4">
      <w:pPr>
        <w:spacing w:line="240" w:lineRule="auto"/>
        <w:rPr>
          <w:b/>
          <w:bCs/>
        </w:rPr>
      </w:pPr>
      <w:r w:rsidRPr="3B0D9F72">
        <w:rPr>
          <w:b/>
          <w:bCs/>
        </w:rPr>
        <w:t>Civil society</w:t>
      </w:r>
    </w:p>
    <w:tbl>
      <w:tblPr>
        <w:tblW w:w="934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280"/>
        <w:gridCol w:w="2355"/>
        <w:gridCol w:w="4713"/>
      </w:tblGrid>
      <w:tr w:rsidR="3B0D9F72" w14:paraId="0AAB94B6" w14:textId="77777777" w:rsidTr="00B245A4">
        <w:trPr>
          <w:trHeight w:val="300"/>
          <w:tblHeader/>
        </w:trPr>
        <w:tc>
          <w:tcPr>
            <w:tcW w:w="2280"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7C9984B9" w14:textId="77777777" w:rsidR="3B0D9F72" w:rsidRDefault="3B0D9F72">
            <w:r w:rsidRPr="3B0D9F72">
              <w:rPr>
                <w:b/>
                <w:bCs/>
              </w:rPr>
              <w:t>Organisation</w:t>
            </w:r>
            <w:r>
              <w:t> </w:t>
            </w:r>
          </w:p>
        </w:tc>
        <w:tc>
          <w:tcPr>
            <w:tcW w:w="2355"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6C7517B8" w14:textId="77777777" w:rsidR="3B0D9F72" w:rsidRDefault="3B0D9F72">
            <w:r w:rsidRPr="3B0D9F72">
              <w:rPr>
                <w:b/>
                <w:bCs/>
              </w:rPr>
              <w:t>Name</w:t>
            </w:r>
            <w:r>
              <w:t> </w:t>
            </w:r>
          </w:p>
        </w:tc>
        <w:tc>
          <w:tcPr>
            <w:tcW w:w="4713"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030FED4C" w14:textId="77777777" w:rsidR="3B0D9F72" w:rsidRDefault="3B0D9F72">
            <w:r w:rsidRPr="3B0D9F72">
              <w:rPr>
                <w:b/>
                <w:bCs/>
              </w:rPr>
              <w:t>Position</w:t>
            </w:r>
            <w:r>
              <w:t> </w:t>
            </w:r>
          </w:p>
        </w:tc>
      </w:tr>
      <w:tr w:rsidR="001C365C" w:rsidRPr="0069600A" w14:paraId="22BB7F3B" w14:textId="77777777" w:rsidTr="00B245A4">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hideMark/>
          </w:tcPr>
          <w:p w14:paraId="1C717A6B" w14:textId="77777777" w:rsidR="001C365C" w:rsidRPr="0069600A" w:rsidRDefault="001C365C" w:rsidP="0064656C">
            <w:pPr>
              <w:pStyle w:val="listofpeople"/>
            </w:pPr>
            <w:r>
              <w:t>Save the Children </w:t>
            </w:r>
          </w:p>
        </w:tc>
        <w:tc>
          <w:tcPr>
            <w:tcW w:w="2355" w:type="dxa"/>
            <w:tcBorders>
              <w:top w:val="single" w:sz="4" w:space="0" w:color="auto"/>
              <w:left w:val="single" w:sz="4" w:space="0" w:color="auto"/>
              <w:bottom w:val="single" w:sz="4" w:space="0" w:color="auto"/>
              <w:right w:val="single" w:sz="4" w:space="0" w:color="auto"/>
            </w:tcBorders>
            <w:shd w:val="clear" w:color="auto" w:fill="auto"/>
            <w:hideMark/>
          </w:tcPr>
          <w:p w14:paraId="48721B9C" w14:textId="77777777" w:rsidR="001C365C" w:rsidRPr="0069600A" w:rsidRDefault="001C365C" w:rsidP="0064656C">
            <w:pPr>
              <w:pStyle w:val="listofpeople"/>
            </w:pPr>
            <w:r>
              <w:t>Polly Banks </w:t>
            </w:r>
          </w:p>
        </w:tc>
        <w:tc>
          <w:tcPr>
            <w:tcW w:w="4713" w:type="dxa"/>
            <w:tcBorders>
              <w:top w:val="single" w:sz="4" w:space="0" w:color="auto"/>
              <w:left w:val="single" w:sz="4" w:space="0" w:color="auto"/>
              <w:bottom w:val="single" w:sz="4" w:space="0" w:color="auto"/>
              <w:right w:val="single" w:sz="4" w:space="0" w:color="auto"/>
            </w:tcBorders>
            <w:shd w:val="clear" w:color="auto" w:fill="auto"/>
            <w:hideMark/>
          </w:tcPr>
          <w:p w14:paraId="5C9A071D" w14:textId="77777777" w:rsidR="001C365C" w:rsidRPr="0069600A" w:rsidRDefault="001C365C" w:rsidP="0064656C">
            <w:pPr>
              <w:pStyle w:val="listofpeople"/>
            </w:pPr>
            <w:r>
              <w:t>Country Director </w:t>
            </w:r>
          </w:p>
        </w:tc>
      </w:tr>
      <w:tr w:rsidR="001C365C" w:rsidRPr="0069600A" w14:paraId="42DF8E48" w14:textId="77777777" w:rsidTr="00B245A4">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hideMark/>
          </w:tcPr>
          <w:p w14:paraId="19AEDBD8" w14:textId="77777777" w:rsidR="001C365C" w:rsidRPr="0069600A" w:rsidRDefault="001C365C" w:rsidP="0064656C">
            <w:pPr>
              <w:pStyle w:val="listofpeople"/>
            </w:pPr>
            <w:r>
              <w:t>Save the Children </w:t>
            </w:r>
          </w:p>
        </w:tc>
        <w:tc>
          <w:tcPr>
            <w:tcW w:w="2355" w:type="dxa"/>
            <w:tcBorders>
              <w:top w:val="single" w:sz="4" w:space="0" w:color="auto"/>
              <w:left w:val="single" w:sz="4" w:space="0" w:color="auto"/>
              <w:bottom w:val="single" w:sz="4" w:space="0" w:color="auto"/>
              <w:right w:val="single" w:sz="4" w:space="0" w:color="auto"/>
            </w:tcBorders>
            <w:shd w:val="clear" w:color="auto" w:fill="auto"/>
            <w:hideMark/>
          </w:tcPr>
          <w:p w14:paraId="64349A46" w14:textId="77777777" w:rsidR="001C365C" w:rsidRPr="0069600A" w:rsidRDefault="001C365C" w:rsidP="0064656C">
            <w:pPr>
              <w:pStyle w:val="listofpeople"/>
            </w:pPr>
            <w:r>
              <w:t>Jack French </w:t>
            </w:r>
          </w:p>
        </w:tc>
        <w:tc>
          <w:tcPr>
            <w:tcW w:w="4713" w:type="dxa"/>
            <w:tcBorders>
              <w:top w:val="single" w:sz="4" w:space="0" w:color="auto"/>
              <w:left w:val="single" w:sz="4" w:space="0" w:color="auto"/>
              <w:bottom w:val="single" w:sz="4" w:space="0" w:color="auto"/>
              <w:right w:val="single" w:sz="4" w:space="0" w:color="auto"/>
            </w:tcBorders>
            <w:shd w:val="clear" w:color="auto" w:fill="auto"/>
            <w:hideMark/>
          </w:tcPr>
          <w:p w14:paraId="510F6118" w14:textId="77777777" w:rsidR="001C365C" w:rsidRPr="0069600A" w:rsidRDefault="001C365C" w:rsidP="0064656C">
            <w:pPr>
              <w:pStyle w:val="listofpeople"/>
            </w:pPr>
            <w:r>
              <w:t>Program Development &amp; Quality  </w:t>
            </w:r>
          </w:p>
        </w:tc>
      </w:tr>
      <w:tr w:rsidR="001C365C" w:rsidRPr="0069600A" w14:paraId="65DC84AD" w14:textId="77777777" w:rsidTr="00B245A4">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tcPr>
          <w:p w14:paraId="73356A5E" w14:textId="4A168405" w:rsidR="001C365C" w:rsidRPr="0069600A" w:rsidRDefault="001C365C" w:rsidP="0064656C">
            <w:pPr>
              <w:pStyle w:val="listofpeople"/>
            </w:pPr>
            <w:r>
              <w:t>ADRA </w:t>
            </w: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633E9221" w14:textId="0E09075E" w:rsidR="001C365C" w:rsidRPr="0069600A" w:rsidRDefault="7F9D1890" w:rsidP="0064656C">
            <w:pPr>
              <w:pStyle w:val="listofpeople"/>
            </w:pPr>
            <w:r>
              <w:t xml:space="preserve">Danny </w:t>
            </w:r>
            <w:proofErr w:type="spellStart"/>
            <w:r>
              <w:t>Masoe</w:t>
            </w:r>
            <w:proofErr w:type="spellEnd"/>
            <w:r>
              <w:t xml:space="preserve"> </w:t>
            </w:r>
          </w:p>
        </w:tc>
        <w:tc>
          <w:tcPr>
            <w:tcW w:w="4713" w:type="dxa"/>
            <w:tcBorders>
              <w:top w:val="single" w:sz="4" w:space="0" w:color="auto"/>
              <w:left w:val="single" w:sz="4" w:space="0" w:color="auto"/>
              <w:bottom w:val="single" w:sz="4" w:space="0" w:color="auto"/>
              <w:right w:val="single" w:sz="4" w:space="0" w:color="auto"/>
            </w:tcBorders>
            <w:shd w:val="clear" w:color="auto" w:fill="auto"/>
          </w:tcPr>
          <w:p w14:paraId="7278F119" w14:textId="1290ED07" w:rsidR="001C365C" w:rsidRPr="0069600A" w:rsidRDefault="27B27DBC" w:rsidP="0064656C">
            <w:pPr>
              <w:pStyle w:val="listofpeople"/>
            </w:pPr>
            <w:r>
              <w:t xml:space="preserve">Project Manager </w:t>
            </w:r>
          </w:p>
        </w:tc>
      </w:tr>
      <w:tr w:rsidR="001C365C" w:rsidRPr="0069600A" w14:paraId="7F2029AE" w14:textId="77777777" w:rsidTr="00B245A4">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tcPr>
          <w:p w14:paraId="00C23AE0" w14:textId="4AC2DA86" w:rsidR="001C365C" w:rsidRPr="0069600A" w:rsidRDefault="001C365C" w:rsidP="0064656C">
            <w:pPr>
              <w:pStyle w:val="listofpeople"/>
            </w:pPr>
            <w:r>
              <w:t>Vanuatu Society of People with Disabilit</w:t>
            </w:r>
            <w:r w:rsidR="005C131B">
              <w:t>ies</w:t>
            </w:r>
            <w:r>
              <w:t> </w:t>
            </w:r>
          </w:p>
        </w:tc>
        <w:tc>
          <w:tcPr>
            <w:tcW w:w="2355" w:type="dxa"/>
            <w:tcBorders>
              <w:top w:val="single" w:sz="4" w:space="0" w:color="auto"/>
              <w:left w:val="single" w:sz="4" w:space="0" w:color="auto"/>
              <w:bottom w:val="single" w:sz="4" w:space="0" w:color="auto"/>
              <w:right w:val="single" w:sz="4" w:space="0" w:color="auto"/>
            </w:tcBorders>
            <w:shd w:val="clear" w:color="auto" w:fill="auto"/>
          </w:tcPr>
          <w:p w14:paraId="36595C9F" w14:textId="4E49FDB1" w:rsidR="001C365C" w:rsidRPr="0069600A" w:rsidRDefault="1F798D23" w:rsidP="0064656C">
            <w:pPr>
              <w:pStyle w:val="listofpeople"/>
            </w:pPr>
            <w:r>
              <w:t xml:space="preserve">Judith </w:t>
            </w:r>
            <w:proofErr w:type="spellStart"/>
            <w:r>
              <w:t>Iakavai</w:t>
            </w:r>
            <w:proofErr w:type="spellEnd"/>
            <w:r>
              <w:t xml:space="preserve"> </w:t>
            </w:r>
          </w:p>
        </w:tc>
        <w:tc>
          <w:tcPr>
            <w:tcW w:w="4713" w:type="dxa"/>
            <w:tcBorders>
              <w:top w:val="single" w:sz="4" w:space="0" w:color="auto"/>
              <w:left w:val="single" w:sz="4" w:space="0" w:color="auto"/>
              <w:bottom w:val="single" w:sz="4" w:space="0" w:color="auto"/>
              <w:right w:val="single" w:sz="4" w:space="0" w:color="auto"/>
            </w:tcBorders>
            <w:shd w:val="clear" w:color="auto" w:fill="auto"/>
          </w:tcPr>
          <w:p w14:paraId="1D4310EA" w14:textId="6F31FB77" w:rsidR="001C365C" w:rsidRPr="0069600A" w:rsidRDefault="45A702EF" w:rsidP="0064656C">
            <w:pPr>
              <w:pStyle w:val="listofpeople"/>
            </w:pPr>
            <w:r>
              <w:t>Program Manager</w:t>
            </w:r>
          </w:p>
        </w:tc>
      </w:tr>
    </w:tbl>
    <w:p w14:paraId="273EEB6B" w14:textId="77777777" w:rsidR="00B245A4" w:rsidRDefault="00B245A4" w:rsidP="00B245A4">
      <w:pPr>
        <w:pStyle w:val="NoSpacing"/>
      </w:pPr>
    </w:p>
    <w:p w14:paraId="4EC919A5" w14:textId="669CC503" w:rsidR="50156C20" w:rsidRDefault="50156C20" w:rsidP="3B0D9F72">
      <w:pPr>
        <w:rPr>
          <w:b/>
          <w:bCs/>
        </w:rPr>
      </w:pPr>
      <w:r w:rsidRPr="3B0D9F72">
        <w:rPr>
          <w:b/>
          <w:bCs/>
        </w:rPr>
        <w:t>DFAT and other development partners</w:t>
      </w:r>
    </w:p>
    <w:tbl>
      <w:tblPr>
        <w:tblW w:w="9348" w:type="dxa"/>
        <w:tblBorders>
          <w:top w:val="outset" w:sz="6" w:space="0" w:color="auto"/>
          <w:left w:val="outset" w:sz="6" w:space="0" w:color="auto"/>
          <w:bottom w:val="outset" w:sz="6" w:space="0" w:color="auto"/>
          <w:right w:val="outset" w:sz="6" w:space="0" w:color="auto"/>
        </w:tblBorders>
        <w:tblCellMar>
          <w:top w:w="57" w:type="dxa"/>
          <w:left w:w="57" w:type="dxa"/>
          <w:bottom w:w="57" w:type="dxa"/>
          <w:right w:w="57" w:type="dxa"/>
        </w:tblCellMar>
        <w:tblLook w:val="04A0" w:firstRow="1" w:lastRow="0" w:firstColumn="1" w:lastColumn="0" w:noHBand="0" w:noVBand="1"/>
      </w:tblPr>
      <w:tblGrid>
        <w:gridCol w:w="2224"/>
        <w:gridCol w:w="2400"/>
        <w:gridCol w:w="4724"/>
      </w:tblGrid>
      <w:tr w:rsidR="3B0D9F72" w14:paraId="55F2E543"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9B1A18" w14:textId="77777777" w:rsidR="3B0D9F72" w:rsidRDefault="3B0D9F72">
            <w:r w:rsidRPr="3B0D9F72">
              <w:rPr>
                <w:b/>
                <w:bCs/>
              </w:rPr>
              <w:t>Organisation</w:t>
            </w:r>
            <w:r>
              <w:t> </w:t>
            </w:r>
          </w:p>
        </w:tc>
        <w:tc>
          <w:tcPr>
            <w:tcW w:w="24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4AE8F7E" w14:textId="77777777" w:rsidR="3B0D9F72" w:rsidRDefault="3B0D9F72">
            <w:r w:rsidRPr="3B0D9F72">
              <w:rPr>
                <w:b/>
                <w:bCs/>
              </w:rPr>
              <w:t>Name</w:t>
            </w:r>
            <w:r>
              <w:t> </w:t>
            </w:r>
          </w:p>
        </w:tc>
        <w:tc>
          <w:tcPr>
            <w:tcW w:w="47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E90FF1" w14:textId="77777777" w:rsidR="3B0D9F72" w:rsidRDefault="3B0D9F72">
            <w:r w:rsidRPr="3B0D9F72">
              <w:rPr>
                <w:b/>
                <w:bCs/>
              </w:rPr>
              <w:t>Position</w:t>
            </w:r>
            <w:r>
              <w:t> </w:t>
            </w:r>
          </w:p>
        </w:tc>
      </w:tr>
      <w:tr w:rsidR="001C365C" w:rsidRPr="0069600A" w14:paraId="1AD93993"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hideMark/>
          </w:tcPr>
          <w:p w14:paraId="4BCF523B" w14:textId="4A6FE1BC" w:rsidR="001C365C" w:rsidRPr="0069600A" w:rsidRDefault="257CD60A" w:rsidP="0064656C">
            <w:pPr>
              <w:pStyle w:val="listofpeople"/>
            </w:pPr>
            <w:r>
              <w:t xml:space="preserve">Australian High Commission </w:t>
            </w:r>
            <w:r w:rsidR="001C365C">
              <w:t xml:space="preserve">Vanuatu </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6B927773" w14:textId="7E990AEB" w:rsidR="001C365C" w:rsidRPr="0069600A" w:rsidRDefault="001C365C" w:rsidP="0064656C">
            <w:pPr>
              <w:pStyle w:val="listofpeople"/>
            </w:pPr>
            <w:r>
              <w:t>Emily Fisher </w:t>
            </w:r>
          </w:p>
        </w:tc>
        <w:tc>
          <w:tcPr>
            <w:tcW w:w="4724" w:type="dxa"/>
            <w:tcBorders>
              <w:top w:val="single" w:sz="6" w:space="0" w:color="auto"/>
              <w:left w:val="single" w:sz="6" w:space="0" w:color="auto"/>
              <w:bottom w:val="single" w:sz="6" w:space="0" w:color="auto"/>
              <w:right w:val="single" w:sz="6" w:space="0" w:color="auto"/>
            </w:tcBorders>
            <w:shd w:val="clear" w:color="auto" w:fill="auto"/>
          </w:tcPr>
          <w:p w14:paraId="6CFD64B2" w14:textId="5044E5F0" w:rsidR="001C365C" w:rsidRPr="0069600A" w:rsidRDefault="001C365C" w:rsidP="0064656C">
            <w:pPr>
              <w:pStyle w:val="listofpeople"/>
            </w:pPr>
            <w:r>
              <w:t>Deputy High Commissioner </w:t>
            </w:r>
          </w:p>
        </w:tc>
      </w:tr>
      <w:tr w:rsidR="004270F1" w:rsidRPr="0069600A" w14:paraId="7546A1A0"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tcPr>
          <w:p w14:paraId="52CECD50" w14:textId="5C9625C6" w:rsidR="004270F1" w:rsidRPr="0069600A" w:rsidRDefault="004270F1" w:rsidP="004270F1">
            <w:pPr>
              <w:pStyle w:val="listofpeople"/>
            </w:pPr>
            <w:r w:rsidRPr="00E844F7">
              <w:t xml:space="preserve">Australian High Commission Vanuatu </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62A74DBA" w14:textId="175B02A3" w:rsidR="004270F1" w:rsidRPr="0069600A" w:rsidRDefault="004270F1" w:rsidP="004270F1">
            <w:pPr>
              <w:pStyle w:val="listofpeople"/>
            </w:pPr>
            <w:r>
              <w:t>Stephanie Kimber </w:t>
            </w:r>
          </w:p>
        </w:tc>
        <w:tc>
          <w:tcPr>
            <w:tcW w:w="4724" w:type="dxa"/>
            <w:tcBorders>
              <w:top w:val="single" w:sz="6" w:space="0" w:color="auto"/>
              <w:left w:val="single" w:sz="6" w:space="0" w:color="auto"/>
              <w:bottom w:val="single" w:sz="6" w:space="0" w:color="auto"/>
              <w:right w:val="single" w:sz="6" w:space="0" w:color="auto"/>
            </w:tcBorders>
            <w:shd w:val="clear" w:color="auto" w:fill="auto"/>
          </w:tcPr>
          <w:p w14:paraId="475DD1CE" w14:textId="1980E6AF" w:rsidR="004270F1" w:rsidRPr="0069600A" w:rsidRDefault="004270F1" w:rsidP="004270F1">
            <w:pPr>
              <w:pStyle w:val="listofpeople"/>
            </w:pPr>
            <w:r>
              <w:t>First Secretary </w:t>
            </w:r>
          </w:p>
        </w:tc>
      </w:tr>
      <w:tr w:rsidR="004270F1" w:rsidRPr="0069600A" w14:paraId="25B2C6B0"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tcPr>
          <w:p w14:paraId="1B46E2AD" w14:textId="0734089B" w:rsidR="004270F1" w:rsidRPr="0069600A" w:rsidRDefault="004270F1" w:rsidP="004270F1">
            <w:pPr>
              <w:pStyle w:val="listofpeople"/>
            </w:pPr>
            <w:r w:rsidRPr="00E844F7">
              <w:t xml:space="preserve">Australian High Commission Vanuatu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972D1C8" w14:textId="74C42D9F" w:rsidR="004270F1" w:rsidRPr="0069600A" w:rsidRDefault="004270F1" w:rsidP="004270F1">
            <w:pPr>
              <w:pStyle w:val="listofpeople"/>
            </w:pPr>
            <w:r>
              <w:t>Yvette Andrews </w:t>
            </w:r>
          </w:p>
        </w:tc>
        <w:tc>
          <w:tcPr>
            <w:tcW w:w="4724" w:type="dxa"/>
            <w:tcBorders>
              <w:top w:val="single" w:sz="6" w:space="0" w:color="auto"/>
              <w:left w:val="single" w:sz="6" w:space="0" w:color="auto"/>
              <w:bottom w:val="single" w:sz="6" w:space="0" w:color="auto"/>
              <w:right w:val="single" w:sz="6" w:space="0" w:color="auto"/>
            </w:tcBorders>
            <w:shd w:val="clear" w:color="auto" w:fill="auto"/>
            <w:hideMark/>
          </w:tcPr>
          <w:p w14:paraId="14E68B59" w14:textId="013C7E7D" w:rsidR="004270F1" w:rsidRPr="0069600A" w:rsidRDefault="004270F1" w:rsidP="004270F1">
            <w:pPr>
              <w:pStyle w:val="listofpeople"/>
            </w:pPr>
            <w:r>
              <w:t>Senior Program Manager Education </w:t>
            </w:r>
          </w:p>
        </w:tc>
      </w:tr>
      <w:tr w:rsidR="004270F1" w:rsidRPr="0069600A" w14:paraId="44B8DAEA"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tcPr>
          <w:p w14:paraId="19DC156F" w14:textId="723AD675" w:rsidR="004270F1" w:rsidRPr="0069600A" w:rsidRDefault="004270F1" w:rsidP="004270F1">
            <w:pPr>
              <w:pStyle w:val="listofpeople"/>
            </w:pPr>
            <w:r w:rsidRPr="00E844F7">
              <w:t xml:space="preserve">Australian High Commission Vanuatu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B2F0497" w14:textId="40E077C1" w:rsidR="004270F1" w:rsidRPr="0069600A" w:rsidRDefault="004270F1" w:rsidP="004270F1">
            <w:pPr>
              <w:pStyle w:val="listofpeople"/>
            </w:pPr>
            <w:r>
              <w:t xml:space="preserve">Gina </w:t>
            </w:r>
            <w:proofErr w:type="spellStart"/>
            <w:r>
              <w:t>Dehinavanua</w:t>
            </w:r>
            <w:proofErr w:type="spellEnd"/>
            <w:r>
              <w:t> </w:t>
            </w:r>
          </w:p>
        </w:tc>
        <w:tc>
          <w:tcPr>
            <w:tcW w:w="4724" w:type="dxa"/>
            <w:tcBorders>
              <w:top w:val="single" w:sz="6" w:space="0" w:color="auto"/>
              <w:left w:val="single" w:sz="6" w:space="0" w:color="auto"/>
              <w:bottom w:val="single" w:sz="6" w:space="0" w:color="auto"/>
              <w:right w:val="single" w:sz="6" w:space="0" w:color="auto"/>
            </w:tcBorders>
            <w:shd w:val="clear" w:color="auto" w:fill="auto"/>
            <w:hideMark/>
          </w:tcPr>
          <w:p w14:paraId="45CFD059" w14:textId="15C68797" w:rsidR="004270F1" w:rsidRPr="0069600A" w:rsidRDefault="004270F1" w:rsidP="004270F1">
            <w:pPr>
              <w:pStyle w:val="listofpeople"/>
            </w:pPr>
            <w:r>
              <w:t>Program Manager, Education/ Skills/ Australia Awards </w:t>
            </w:r>
          </w:p>
        </w:tc>
      </w:tr>
      <w:tr w:rsidR="004270F1" w:rsidRPr="0069600A" w14:paraId="4CC310BE"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tcPr>
          <w:p w14:paraId="0FD7F067" w14:textId="56423087" w:rsidR="004270F1" w:rsidRPr="0069600A" w:rsidRDefault="004270F1" w:rsidP="004270F1">
            <w:pPr>
              <w:pStyle w:val="listofpeople"/>
            </w:pPr>
            <w:r w:rsidRPr="00E844F7">
              <w:t xml:space="preserve">Australian High Commission Vanuatu </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6A2E5A62" w14:textId="1A083886" w:rsidR="004270F1" w:rsidRPr="0069600A" w:rsidRDefault="004270F1" w:rsidP="004270F1">
            <w:pPr>
              <w:pStyle w:val="listofpeople"/>
            </w:pPr>
            <w:r>
              <w:t xml:space="preserve">Anna Gibert </w:t>
            </w:r>
          </w:p>
        </w:tc>
        <w:tc>
          <w:tcPr>
            <w:tcW w:w="4724" w:type="dxa"/>
            <w:tcBorders>
              <w:top w:val="single" w:sz="6" w:space="0" w:color="auto"/>
              <w:left w:val="single" w:sz="6" w:space="0" w:color="auto"/>
              <w:bottom w:val="single" w:sz="6" w:space="0" w:color="auto"/>
              <w:right w:val="single" w:sz="6" w:space="0" w:color="auto"/>
            </w:tcBorders>
            <w:shd w:val="clear" w:color="auto" w:fill="auto"/>
          </w:tcPr>
          <w:p w14:paraId="0F4E5FEF" w14:textId="3EB5D214" w:rsidR="004270F1" w:rsidRPr="0069600A" w:rsidRDefault="004270F1" w:rsidP="004270F1">
            <w:pPr>
              <w:pStyle w:val="listofpeople"/>
            </w:pPr>
            <w:r>
              <w:t xml:space="preserve">Education and Skills Adviser </w:t>
            </w:r>
          </w:p>
        </w:tc>
      </w:tr>
      <w:tr w:rsidR="001C365C" w:rsidRPr="0069600A" w14:paraId="6184EEF4"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tcPr>
          <w:p w14:paraId="1475703A" w14:textId="36047BA6" w:rsidR="001C365C" w:rsidRPr="0069600A" w:rsidRDefault="001C365C" w:rsidP="0064656C">
            <w:pPr>
              <w:pStyle w:val="listofpeople"/>
            </w:pPr>
            <w:r>
              <w:t>Governance for Growth </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785F27B9" w14:textId="2AE2F847" w:rsidR="001C365C" w:rsidRPr="0069600A" w:rsidRDefault="001C365C" w:rsidP="0064656C">
            <w:pPr>
              <w:pStyle w:val="listofpeople"/>
            </w:pPr>
            <w:r>
              <w:t>Cam</w:t>
            </w:r>
            <w:r w:rsidR="013954D6">
              <w:t>eron</w:t>
            </w:r>
            <w:r>
              <w:t xml:space="preserve"> Reid </w:t>
            </w:r>
          </w:p>
        </w:tc>
        <w:tc>
          <w:tcPr>
            <w:tcW w:w="4724" w:type="dxa"/>
            <w:tcBorders>
              <w:top w:val="single" w:sz="6" w:space="0" w:color="auto"/>
              <w:left w:val="single" w:sz="6" w:space="0" w:color="auto"/>
              <w:bottom w:val="single" w:sz="6" w:space="0" w:color="auto"/>
              <w:right w:val="single" w:sz="6" w:space="0" w:color="auto"/>
            </w:tcBorders>
            <w:shd w:val="clear" w:color="auto" w:fill="auto"/>
          </w:tcPr>
          <w:p w14:paraId="7583EF6C" w14:textId="166265ED" w:rsidR="001C365C" w:rsidRPr="0069600A" w:rsidRDefault="366E3EAB" w:rsidP="0064656C">
            <w:pPr>
              <w:pStyle w:val="listofpeople"/>
            </w:pPr>
            <w:r>
              <w:t>Director</w:t>
            </w:r>
          </w:p>
        </w:tc>
      </w:tr>
      <w:tr w:rsidR="001C365C" w:rsidRPr="0069600A" w14:paraId="7E5D77B7"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tcPr>
          <w:p w14:paraId="2906D677" w14:textId="27AF4B01" w:rsidR="001C365C" w:rsidRPr="0069600A" w:rsidRDefault="001C365C" w:rsidP="0064656C">
            <w:pPr>
              <w:pStyle w:val="listofpeople"/>
            </w:pPr>
            <w:r>
              <w:t xml:space="preserve">DFAT Canberra </w:t>
            </w:r>
            <w:r w:rsidR="002B1631">
              <w:t>DVS</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065E60EF" w14:textId="259A00BF" w:rsidR="001C365C" w:rsidRPr="0069600A" w:rsidRDefault="001C365C" w:rsidP="0064656C">
            <w:pPr>
              <w:pStyle w:val="listofpeople"/>
            </w:pPr>
            <w:r>
              <w:t>Belynda McNaught</w:t>
            </w:r>
            <w:r w:rsidR="6531DC3E">
              <w:t>o</w:t>
            </w:r>
            <w:r>
              <w:t>n</w:t>
            </w:r>
          </w:p>
        </w:tc>
        <w:tc>
          <w:tcPr>
            <w:tcW w:w="4724" w:type="dxa"/>
            <w:tcBorders>
              <w:top w:val="single" w:sz="6" w:space="0" w:color="auto"/>
              <w:left w:val="single" w:sz="6" w:space="0" w:color="auto"/>
              <w:bottom w:val="single" w:sz="6" w:space="0" w:color="auto"/>
              <w:right w:val="single" w:sz="6" w:space="0" w:color="auto"/>
            </w:tcBorders>
            <w:shd w:val="clear" w:color="auto" w:fill="auto"/>
          </w:tcPr>
          <w:p w14:paraId="6DB97229" w14:textId="64BAE193" w:rsidR="001C365C" w:rsidRPr="0069600A" w:rsidRDefault="002B1631" w:rsidP="0064656C">
            <w:pPr>
              <w:pStyle w:val="listofpeople"/>
            </w:pPr>
            <w:r>
              <w:t xml:space="preserve">Senior </w:t>
            </w:r>
            <w:r w:rsidR="001C365C">
              <w:t xml:space="preserve">Education Adviser </w:t>
            </w:r>
          </w:p>
        </w:tc>
      </w:tr>
      <w:tr w:rsidR="001C365C" w:rsidRPr="0069600A" w14:paraId="02ABAC51"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tcPr>
          <w:p w14:paraId="5DCBBD8D" w14:textId="484A3D69" w:rsidR="001C365C" w:rsidRPr="0069600A" w:rsidRDefault="001C365C" w:rsidP="0064656C">
            <w:pPr>
              <w:pStyle w:val="listofpeople"/>
            </w:pPr>
            <w:r>
              <w:t>New Zealand High Commission </w:t>
            </w:r>
            <w:r w:rsidR="58870ADF">
              <w:t>Vanuatu</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6C33AE79" w14:textId="2CA32893" w:rsidR="001C365C" w:rsidRPr="0069600A" w:rsidRDefault="001C365C" w:rsidP="0064656C">
            <w:pPr>
              <w:pStyle w:val="listofpeople"/>
            </w:pPr>
            <w:r>
              <w:t>Holly Peacock </w:t>
            </w:r>
          </w:p>
        </w:tc>
        <w:tc>
          <w:tcPr>
            <w:tcW w:w="4724" w:type="dxa"/>
            <w:tcBorders>
              <w:top w:val="single" w:sz="6" w:space="0" w:color="auto"/>
              <w:left w:val="single" w:sz="6" w:space="0" w:color="auto"/>
              <w:bottom w:val="single" w:sz="6" w:space="0" w:color="auto"/>
              <w:right w:val="single" w:sz="6" w:space="0" w:color="auto"/>
            </w:tcBorders>
            <w:shd w:val="clear" w:color="auto" w:fill="auto"/>
          </w:tcPr>
          <w:p w14:paraId="15B95983" w14:textId="29D8E65B" w:rsidR="001C365C" w:rsidRPr="0069600A" w:rsidRDefault="001C365C" w:rsidP="0064656C">
            <w:pPr>
              <w:pStyle w:val="listofpeople"/>
            </w:pPr>
            <w:r>
              <w:t>Second Secretary, Development </w:t>
            </w:r>
          </w:p>
        </w:tc>
      </w:tr>
      <w:tr w:rsidR="001C365C" w:rsidRPr="0069600A" w14:paraId="09332A39"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tcPr>
          <w:p w14:paraId="7A2B347E" w14:textId="557F3946" w:rsidR="001C365C" w:rsidRPr="0069600A" w:rsidRDefault="001C365C" w:rsidP="0064656C">
            <w:pPr>
              <w:pStyle w:val="listofpeople"/>
            </w:pPr>
            <w:r>
              <w:t>New Zealand High Commission </w:t>
            </w:r>
            <w:r w:rsidR="5C016415">
              <w:t>Vanuatu</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6689C47A" w14:textId="5F03EC77" w:rsidR="001C365C" w:rsidRPr="0069600A" w:rsidRDefault="001C365C" w:rsidP="0064656C">
            <w:pPr>
              <w:pStyle w:val="listofpeople"/>
            </w:pPr>
            <w:r>
              <w:t xml:space="preserve">Minnie </w:t>
            </w:r>
            <w:proofErr w:type="spellStart"/>
            <w:r>
              <w:t>Takaro</w:t>
            </w:r>
            <w:proofErr w:type="spellEnd"/>
            <w:r>
              <w:t> </w:t>
            </w:r>
          </w:p>
        </w:tc>
        <w:tc>
          <w:tcPr>
            <w:tcW w:w="4724" w:type="dxa"/>
            <w:tcBorders>
              <w:top w:val="single" w:sz="6" w:space="0" w:color="auto"/>
              <w:left w:val="single" w:sz="6" w:space="0" w:color="auto"/>
              <w:bottom w:val="single" w:sz="6" w:space="0" w:color="auto"/>
              <w:right w:val="single" w:sz="6" w:space="0" w:color="auto"/>
            </w:tcBorders>
            <w:shd w:val="clear" w:color="auto" w:fill="auto"/>
          </w:tcPr>
          <w:p w14:paraId="4E435C27" w14:textId="349379C2" w:rsidR="001C365C" w:rsidRPr="0069600A" w:rsidRDefault="001C365C" w:rsidP="0064656C">
            <w:pPr>
              <w:pStyle w:val="listofpeople"/>
            </w:pPr>
            <w:r>
              <w:t>Senior Program Manager </w:t>
            </w:r>
          </w:p>
        </w:tc>
      </w:tr>
      <w:tr w:rsidR="3B0D9F72" w14:paraId="5335BB04" w14:textId="77777777" w:rsidTr="00F26B70">
        <w:trPr>
          <w:trHeight w:val="300"/>
        </w:trPr>
        <w:tc>
          <w:tcPr>
            <w:tcW w:w="2224" w:type="dxa"/>
            <w:tcBorders>
              <w:top w:val="single" w:sz="6" w:space="0" w:color="auto"/>
              <w:left w:val="single" w:sz="6" w:space="0" w:color="auto"/>
              <w:bottom w:val="single" w:sz="6" w:space="0" w:color="auto"/>
              <w:right w:val="single" w:sz="6" w:space="0" w:color="auto"/>
            </w:tcBorders>
            <w:shd w:val="clear" w:color="auto" w:fill="auto"/>
          </w:tcPr>
          <w:p w14:paraId="55C0550B" w14:textId="52E48440" w:rsidR="5B2B518B" w:rsidRDefault="5B2B518B" w:rsidP="0064656C">
            <w:pPr>
              <w:pStyle w:val="listofpeople"/>
            </w:pPr>
            <w:r>
              <w:t>UNICEF</w:t>
            </w:r>
          </w:p>
        </w:tc>
        <w:tc>
          <w:tcPr>
            <w:tcW w:w="2400" w:type="dxa"/>
            <w:tcBorders>
              <w:top w:val="single" w:sz="6" w:space="0" w:color="auto"/>
              <w:left w:val="single" w:sz="6" w:space="0" w:color="auto"/>
              <w:bottom w:val="single" w:sz="6" w:space="0" w:color="auto"/>
              <w:right w:val="single" w:sz="6" w:space="0" w:color="auto"/>
            </w:tcBorders>
            <w:shd w:val="clear" w:color="auto" w:fill="auto"/>
          </w:tcPr>
          <w:p w14:paraId="00DE93E9" w14:textId="55504F83" w:rsidR="5B2B518B" w:rsidRDefault="5B2B518B" w:rsidP="0064656C">
            <w:pPr>
              <w:pStyle w:val="listofpeople"/>
            </w:pPr>
            <w:r>
              <w:t>Fabiola Bibi</w:t>
            </w:r>
          </w:p>
        </w:tc>
        <w:tc>
          <w:tcPr>
            <w:tcW w:w="4724" w:type="dxa"/>
            <w:tcBorders>
              <w:top w:val="single" w:sz="6" w:space="0" w:color="auto"/>
              <w:left w:val="single" w:sz="6" w:space="0" w:color="auto"/>
              <w:bottom w:val="single" w:sz="6" w:space="0" w:color="auto"/>
              <w:right w:val="single" w:sz="6" w:space="0" w:color="auto"/>
            </w:tcBorders>
            <w:shd w:val="clear" w:color="auto" w:fill="auto"/>
          </w:tcPr>
          <w:p w14:paraId="5960240B" w14:textId="4C0035DC" w:rsidR="257301DF" w:rsidRDefault="257301DF" w:rsidP="0064656C">
            <w:pPr>
              <w:pStyle w:val="listofpeople"/>
            </w:pPr>
            <w:r>
              <w:t>EIE and Infrastructure</w:t>
            </w:r>
          </w:p>
        </w:tc>
      </w:tr>
    </w:tbl>
    <w:bookmarkStart w:id="27" w:name="_Toc190268266"/>
    <w:p w14:paraId="4EF1F05E" w14:textId="0C65CD9D" w:rsidR="00B7796B" w:rsidRDefault="0095602B" w:rsidP="00F15637">
      <w:pPr>
        <w:pStyle w:val="Heading1"/>
        <w:numPr>
          <w:ilvl w:val="0"/>
          <w:numId w:val="0"/>
        </w:numPr>
      </w:pPr>
      <w:r w:rsidRPr="0065380F">
        <w:rPr>
          <w:noProof/>
        </w:rPr>
        <mc:AlternateContent>
          <mc:Choice Requires="wps">
            <w:drawing>
              <wp:anchor distT="0" distB="0" distL="114300" distR="114300" simplePos="0" relativeHeight="251678720" behindDoc="0" locked="0" layoutInCell="1" allowOverlap="1" wp14:anchorId="388DAA25" wp14:editId="13A0082E">
                <wp:simplePos x="0" y="0"/>
                <wp:positionH relativeFrom="column">
                  <wp:posOffset>-963038</wp:posOffset>
                </wp:positionH>
                <wp:positionV relativeFrom="paragraph">
                  <wp:posOffset>-48801</wp:posOffset>
                </wp:positionV>
                <wp:extent cx="541421" cy="475248"/>
                <wp:effectExtent l="0" t="0" r="5080" b="0"/>
                <wp:wrapNone/>
                <wp:docPr id="1241144924" name="Rectangle 12411449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w:pict w14:anchorId="66FDCE1B">
              <v:rect id="Rectangle 1241144924" style="position:absolute;margin-left:-75.85pt;margin-top:-3.85pt;width:42.65pt;height:37.4pt;z-index:25167872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fb200" stroked="f" strokeweight="2pt" w14:anchorId="3EFEB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"/>
            </w:pict>
          </mc:Fallback>
        </mc:AlternateContent>
      </w:r>
      <w:r w:rsidR="00B7796B">
        <w:t xml:space="preserve">Annex 2: Documents </w:t>
      </w:r>
      <w:r w:rsidR="0048771E">
        <w:t>consulted</w:t>
      </w:r>
      <w:bookmarkEnd w:id="27"/>
      <w:r w:rsidR="00B7796B">
        <w:t xml:space="preserve"> </w:t>
      </w:r>
    </w:p>
    <w:p w14:paraId="150511C8" w14:textId="682DADE4" w:rsidR="00A44138" w:rsidRPr="00A44138" w:rsidRDefault="00A44138" w:rsidP="00A44138">
      <w:r>
        <w:t xml:space="preserve">The team was provided with an extensive body of documentation, and given the short timeframes, particularly in preparation for the in-Vanuatu consultations, took a selective and targeted approach to document review. Prioritised documents consulted are listed here, with many more held for continued referenced for the remainder of the design process. </w:t>
      </w:r>
    </w:p>
    <w:p w14:paraId="253727BC" w14:textId="5689DFB5" w:rsidR="00DF2B43" w:rsidRPr="00677937" w:rsidRDefault="00DF2B43" w:rsidP="00DF2B43">
      <w:pPr>
        <w:pStyle w:val="Heading3"/>
        <w:numPr>
          <w:ilvl w:val="0"/>
          <w:numId w:val="0"/>
        </w:numPr>
      </w:pPr>
      <w:proofErr w:type="spellStart"/>
      <w:r w:rsidRPr="00461D50">
        <w:t>G</w:t>
      </w:r>
      <w:r>
        <w:t>o</w:t>
      </w:r>
      <w:r w:rsidRPr="00461D50">
        <w:t>V</w:t>
      </w:r>
      <w:proofErr w:type="spellEnd"/>
      <w:r w:rsidRPr="00461D50">
        <w:t xml:space="preserve"> Policies and Strategic Doc</w:t>
      </w:r>
      <w:r>
        <w:t>ument</w:t>
      </w:r>
      <w:r w:rsidRPr="00461D50">
        <w:t>s</w:t>
      </w:r>
    </w:p>
    <w:p w14:paraId="4FFC2C91" w14:textId="77777777" w:rsidR="00DF2B43" w:rsidRPr="00DF2B43" w:rsidRDefault="00DF2B43" w:rsidP="00DF2B43">
      <w:pPr>
        <w:spacing w:line="240" w:lineRule="auto"/>
        <w:rPr>
          <w:rFonts w:cs="Calibri"/>
        </w:rPr>
      </w:pPr>
      <w:r w:rsidRPr="00DF2B43">
        <w:rPr>
          <w:rFonts w:cs="Calibri"/>
        </w:rPr>
        <w:t>Government of The Republic of Vanuatu</w:t>
      </w:r>
      <w:r w:rsidRPr="00DF2B43">
        <w:rPr>
          <w:rFonts w:cs="Calibri"/>
          <w:i/>
          <w:iCs/>
        </w:rPr>
        <w:t>, National Disability Inclusive Development Policy</w:t>
      </w:r>
      <w:r w:rsidRPr="00DF2B43">
        <w:rPr>
          <w:rFonts w:cs="Calibri"/>
        </w:rPr>
        <w:t>, 2018</w:t>
      </w:r>
    </w:p>
    <w:p w14:paraId="18468547" w14:textId="77777777" w:rsidR="00DF2B43" w:rsidRPr="00DF2B43" w:rsidRDefault="00DF2B43" w:rsidP="00DF2B43">
      <w:pPr>
        <w:spacing w:line="240" w:lineRule="auto"/>
        <w:rPr>
          <w:rFonts w:cs="Calibri"/>
        </w:rPr>
      </w:pPr>
      <w:r w:rsidRPr="00DF2B43">
        <w:rPr>
          <w:rFonts w:cs="Calibri"/>
        </w:rPr>
        <w:t xml:space="preserve">Pacific Islands Forum, </w:t>
      </w:r>
      <w:r w:rsidRPr="00DF2B43">
        <w:rPr>
          <w:rFonts w:cs="Calibri"/>
          <w:i/>
          <w:iCs/>
        </w:rPr>
        <w:t>Pacific Regional Education Framework</w:t>
      </w:r>
      <w:r w:rsidRPr="00DF2B43">
        <w:rPr>
          <w:rFonts w:cs="Calibri"/>
        </w:rPr>
        <w:t>, 2018</w:t>
      </w:r>
    </w:p>
    <w:p w14:paraId="6473BD06" w14:textId="77777777" w:rsidR="00DF2B43" w:rsidRPr="00DF2B43" w:rsidRDefault="00DF2B43" w:rsidP="00DF2B43">
      <w:pPr>
        <w:spacing w:line="240" w:lineRule="auto"/>
        <w:rPr>
          <w:rFonts w:cs="Calibri"/>
        </w:rPr>
      </w:pPr>
      <w:r w:rsidRPr="00DF2B43">
        <w:rPr>
          <w:rFonts w:cs="Calibri"/>
        </w:rPr>
        <w:t xml:space="preserve">Pacific Islands Forum, </w:t>
      </w:r>
      <w:r w:rsidRPr="00DF2B43">
        <w:rPr>
          <w:rFonts w:cs="Calibri"/>
          <w:i/>
          <w:iCs/>
        </w:rPr>
        <w:t>2050 Strategy for the Blue Pacific Continent</w:t>
      </w:r>
      <w:r w:rsidRPr="00DF2B43">
        <w:rPr>
          <w:rFonts w:cs="Calibri"/>
        </w:rPr>
        <w:t>, 2018</w:t>
      </w:r>
    </w:p>
    <w:p w14:paraId="47276CEA" w14:textId="77777777" w:rsidR="00DF2B43" w:rsidRPr="00DF2B43" w:rsidRDefault="00DF2B43" w:rsidP="00DF2B43">
      <w:pPr>
        <w:spacing w:line="240" w:lineRule="auto"/>
        <w:rPr>
          <w:rFonts w:cs="Calibri"/>
        </w:rPr>
      </w:pPr>
      <w:r w:rsidRPr="00DF2B43">
        <w:rPr>
          <w:rFonts w:cs="Calibri"/>
        </w:rPr>
        <w:t xml:space="preserve">Government of The Republic of Vanuatu, </w:t>
      </w:r>
      <w:r w:rsidRPr="00DF2B43">
        <w:rPr>
          <w:rFonts w:cs="Calibri"/>
          <w:i/>
          <w:iCs/>
        </w:rPr>
        <w:t xml:space="preserve">Vanuatu National Skills Development Policy, </w:t>
      </w:r>
      <w:r w:rsidRPr="00DF2B43">
        <w:rPr>
          <w:rFonts w:cs="Calibri"/>
        </w:rPr>
        <w:t>2024</w:t>
      </w:r>
    </w:p>
    <w:p w14:paraId="4E8A2FC3" w14:textId="77777777" w:rsidR="00DF2B43" w:rsidRPr="00DF2B43" w:rsidRDefault="00DF2B43" w:rsidP="00DF2B43">
      <w:pPr>
        <w:spacing w:line="240" w:lineRule="auto"/>
        <w:rPr>
          <w:rFonts w:cs="Calibri"/>
        </w:rPr>
      </w:pPr>
      <w:r w:rsidRPr="00DF2B43">
        <w:rPr>
          <w:rFonts w:cs="Calibri"/>
        </w:rPr>
        <w:t xml:space="preserve">Government of The Republic of Vanuatu, </w:t>
      </w:r>
      <w:r w:rsidRPr="00DF2B43">
        <w:rPr>
          <w:rFonts w:cs="Calibri"/>
          <w:i/>
          <w:iCs/>
        </w:rPr>
        <w:t xml:space="preserve">Vanuatu 2030 The People’s Plan, </w:t>
      </w:r>
      <w:r w:rsidRPr="00DF2B43">
        <w:rPr>
          <w:rFonts w:cs="Calibri"/>
        </w:rPr>
        <w:t>2016</w:t>
      </w:r>
    </w:p>
    <w:p w14:paraId="68D4A12F" w14:textId="42226ADF" w:rsidR="3B0D9F72" w:rsidRPr="00DF2B43" w:rsidRDefault="00DF2B43" w:rsidP="00DF2B43">
      <w:pPr>
        <w:spacing w:line="240" w:lineRule="auto"/>
        <w:rPr>
          <w:rFonts w:cs="Calibri"/>
        </w:rPr>
      </w:pPr>
      <w:r w:rsidRPr="00DF2B43">
        <w:rPr>
          <w:rFonts w:cs="Calibri"/>
        </w:rPr>
        <w:t xml:space="preserve">Government of The Republic of Vanuatu, </w:t>
      </w:r>
      <w:r w:rsidRPr="00DF2B43">
        <w:rPr>
          <w:rFonts w:cs="Calibri"/>
          <w:i/>
          <w:iCs/>
        </w:rPr>
        <w:t xml:space="preserve">Vanuatu Human Resources Development Plan, </w:t>
      </w:r>
      <w:r w:rsidRPr="00DF2B43">
        <w:rPr>
          <w:rFonts w:cs="Calibri"/>
        </w:rPr>
        <w:t>2020</w:t>
      </w:r>
    </w:p>
    <w:p w14:paraId="178E8501" w14:textId="77777777" w:rsidR="00DD0CB8" w:rsidRPr="00633BE3" w:rsidRDefault="00DD0CB8" w:rsidP="00DD0CB8">
      <w:pPr>
        <w:pStyle w:val="Heading2"/>
        <w:numPr>
          <w:ilvl w:val="0"/>
          <w:numId w:val="0"/>
        </w:numPr>
        <w:rPr>
          <w:rFonts w:cs="Arial"/>
          <w:sz w:val="22"/>
          <w:szCs w:val="22"/>
        </w:rPr>
      </w:pPr>
      <w:bookmarkStart w:id="28" w:name="_Toc185784622"/>
      <w:bookmarkStart w:id="29" w:name="_Toc190268267"/>
      <w:r w:rsidRPr="00633BE3">
        <w:rPr>
          <w:rFonts w:cs="Arial"/>
          <w:sz w:val="22"/>
          <w:szCs w:val="22"/>
        </w:rPr>
        <w:t>Vanuatu Australia Education Sector Program (VAESP)</w:t>
      </w:r>
      <w:bookmarkEnd w:id="28"/>
      <w:bookmarkEnd w:id="29"/>
    </w:p>
    <w:p w14:paraId="310AFC5A" w14:textId="5F173EF5" w:rsidR="00F478AA" w:rsidRDefault="00F478AA" w:rsidP="00F478AA">
      <w:pPr>
        <w:pStyle w:val="Heading3"/>
        <w:numPr>
          <w:ilvl w:val="0"/>
          <w:numId w:val="0"/>
        </w:numPr>
      </w:pPr>
      <w:r>
        <w:t>Reports and design</w:t>
      </w:r>
    </w:p>
    <w:p w14:paraId="167A3F26" w14:textId="10B10379" w:rsidR="00F478AA" w:rsidRPr="00DF2B43" w:rsidRDefault="2E526B80" w:rsidP="00F478AA">
      <w:pPr>
        <w:spacing w:line="240" w:lineRule="auto"/>
        <w:rPr>
          <w:rFonts w:cs="Calibri"/>
        </w:rPr>
      </w:pPr>
      <w:r w:rsidRPr="3326E6A4">
        <w:rPr>
          <w:rFonts w:cs="Calibri"/>
          <w:i/>
          <w:iCs/>
        </w:rPr>
        <w:t xml:space="preserve">Strengthening Public Financial Management in the Education Sector, </w:t>
      </w:r>
      <w:r w:rsidRPr="3326E6A4">
        <w:rPr>
          <w:rFonts w:cs="Calibri"/>
        </w:rPr>
        <w:t>2024</w:t>
      </w:r>
    </w:p>
    <w:p w14:paraId="60C56503" w14:textId="3B2751C2" w:rsidR="05A5D1EF" w:rsidRDefault="59C69BF4" w:rsidP="3326E6A4">
      <w:pPr>
        <w:spacing w:line="240" w:lineRule="auto"/>
        <w:rPr>
          <w:rFonts w:cs="Calibri"/>
        </w:rPr>
      </w:pPr>
      <w:r w:rsidRPr="3326E6A4">
        <w:rPr>
          <w:rFonts w:cs="Calibri"/>
        </w:rPr>
        <w:t>Vanuatu Australia Education Support Program,</w:t>
      </w:r>
      <w:r w:rsidRPr="00CC10CC">
        <w:rPr>
          <w:rFonts w:cs="Calibri"/>
          <w:i/>
          <w:iCs/>
        </w:rPr>
        <w:t xml:space="preserve"> Annual Plan</w:t>
      </w:r>
      <w:r w:rsidRPr="3326E6A4">
        <w:rPr>
          <w:rFonts w:cs="Calibri"/>
        </w:rPr>
        <w:t>, 2024</w:t>
      </w:r>
      <w:r w:rsidR="05A5D1EF" w:rsidRPr="3326E6A4">
        <w:rPr>
          <w:rFonts w:cs="Calibri"/>
        </w:rPr>
        <w:t xml:space="preserve">Vanuatu Australia Education Support Program, </w:t>
      </w:r>
      <w:r w:rsidR="05A5D1EF" w:rsidRPr="00CC10CC">
        <w:rPr>
          <w:rFonts w:cs="Calibri"/>
          <w:i/>
          <w:iCs/>
        </w:rPr>
        <w:t>VAESP II 2023 Annual Report</w:t>
      </w:r>
      <w:r w:rsidR="05A5D1EF" w:rsidRPr="3326E6A4">
        <w:rPr>
          <w:rFonts w:cs="Calibri"/>
        </w:rPr>
        <w:t>, 2023</w:t>
      </w:r>
    </w:p>
    <w:p w14:paraId="12B8CA0A" w14:textId="77777777" w:rsidR="00F478AA" w:rsidRPr="00DF2B43" w:rsidRDefault="00F478AA" w:rsidP="00F478AA">
      <w:pPr>
        <w:spacing w:line="240" w:lineRule="auto"/>
        <w:rPr>
          <w:rFonts w:cs="Calibri"/>
        </w:rPr>
      </w:pPr>
      <w:r w:rsidRPr="00DF2B43">
        <w:rPr>
          <w:rFonts w:cs="Calibri"/>
        </w:rPr>
        <w:t xml:space="preserve">Vanuatu Education Support Program, </w:t>
      </w:r>
      <w:r w:rsidRPr="00DF2B43">
        <w:rPr>
          <w:rFonts w:cs="Calibri"/>
          <w:i/>
          <w:iCs/>
        </w:rPr>
        <w:t>VESP II 2022 Annual Report</w:t>
      </w:r>
      <w:r w:rsidRPr="00DF2B43">
        <w:rPr>
          <w:rFonts w:cs="Calibri"/>
        </w:rPr>
        <w:t>, 2023</w:t>
      </w:r>
    </w:p>
    <w:p w14:paraId="562B9ACD" w14:textId="77777777" w:rsidR="00F478AA" w:rsidRPr="00DF2B43" w:rsidRDefault="2E526B80" w:rsidP="00F478AA">
      <w:pPr>
        <w:spacing w:line="240" w:lineRule="auto"/>
        <w:rPr>
          <w:rFonts w:cs="Calibri"/>
        </w:rPr>
      </w:pPr>
      <w:r w:rsidRPr="3326E6A4">
        <w:rPr>
          <w:rFonts w:cs="Calibri"/>
        </w:rPr>
        <w:t xml:space="preserve">Vanuatu Education Support Program, </w:t>
      </w:r>
      <w:r w:rsidRPr="3326E6A4">
        <w:rPr>
          <w:rFonts w:cs="Calibri"/>
          <w:i/>
          <w:iCs/>
        </w:rPr>
        <w:t xml:space="preserve">Monitoring, Evaluation, Reporting and Learning Framework 2022-2026, </w:t>
      </w:r>
      <w:r w:rsidRPr="3326E6A4">
        <w:rPr>
          <w:rFonts w:cs="Calibri"/>
        </w:rPr>
        <w:t>2022</w:t>
      </w:r>
    </w:p>
    <w:p w14:paraId="43273B8C" w14:textId="18CAECBA" w:rsidR="00F478AA" w:rsidRPr="00DF2B43" w:rsidRDefault="0BA5AE3F" w:rsidP="3326E6A4">
      <w:pPr>
        <w:spacing w:line="240" w:lineRule="auto"/>
        <w:rPr>
          <w:rFonts w:cs="Calibri"/>
        </w:rPr>
      </w:pPr>
      <w:r w:rsidRPr="3326E6A4">
        <w:rPr>
          <w:rFonts w:cs="Calibri"/>
        </w:rPr>
        <w:t xml:space="preserve">Vanuatu Education Support Program, </w:t>
      </w:r>
      <w:r w:rsidRPr="3326E6A4">
        <w:rPr>
          <w:rFonts w:cs="Calibri"/>
          <w:i/>
          <w:iCs/>
        </w:rPr>
        <w:t xml:space="preserve">VESP II – Mid-Year Context Analysis, </w:t>
      </w:r>
      <w:r w:rsidRPr="3326E6A4">
        <w:rPr>
          <w:rFonts w:cs="Calibri"/>
        </w:rPr>
        <w:t>2022</w:t>
      </w:r>
      <w:r w:rsidRPr="3326E6A4">
        <w:rPr>
          <w:rFonts w:cs="Calibri"/>
          <w:i/>
          <w:iCs/>
        </w:rPr>
        <w:t xml:space="preserve"> </w:t>
      </w:r>
    </w:p>
    <w:p w14:paraId="1895CD24" w14:textId="576FE6F3" w:rsidR="00F478AA" w:rsidRPr="00DF2B43" w:rsidRDefault="2E526B80" w:rsidP="3326E6A4">
      <w:pPr>
        <w:spacing w:line="240" w:lineRule="auto"/>
        <w:rPr>
          <w:rFonts w:cs="Calibri"/>
        </w:rPr>
      </w:pPr>
      <w:r w:rsidRPr="3326E6A4">
        <w:rPr>
          <w:rFonts w:cs="Calibri"/>
          <w:i/>
          <w:iCs/>
        </w:rPr>
        <w:t>Vanuatu Education Support Program Phase II Investment Design Document</w:t>
      </w:r>
      <w:r w:rsidR="4048650D" w:rsidRPr="3326E6A4">
        <w:rPr>
          <w:rFonts w:cs="Calibri"/>
        </w:rPr>
        <w:t xml:space="preserve"> </w:t>
      </w:r>
    </w:p>
    <w:p w14:paraId="61DE9B03" w14:textId="2179BBA0" w:rsidR="00F478AA" w:rsidRPr="00857C1E" w:rsidRDefault="4048650D" w:rsidP="3326E6A4">
      <w:pPr>
        <w:spacing w:line="240" w:lineRule="auto"/>
        <w:rPr>
          <w:rFonts w:cs="Calibri"/>
        </w:rPr>
      </w:pPr>
      <w:r w:rsidRPr="3326E6A4">
        <w:rPr>
          <w:rFonts w:cs="Calibri"/>
        </w:rPr>
        <w:t xml:space="preserve">Vanuatu Education Support Program, </w:t>
      </w:r>
      <w:r w:rsidRPr="3326E6A4">
        <w:rPr>
          <w:rFonts w:cs="Calibri"/>
          <w:i/>
          <w:iCs/>
        </w:rPr>
        <w:t xml:space="preserve">VESP Phase 1 Completion Report, </w:t>
      </w:r>
      <w:r w:rsidRPr="3326E6A4">
        <w:rPr>
          <w:rFonts w:cs="Calibri"/>
        </w:rPr>
        <w:t>2018</w:t>
      </w:r>
    </w:p>
    <w:p w14:paraId="51912B83" w14:textId="77777777" w:rsidR="00DD0CB8" w:rsidRDefault="00DD0CB8" w:rsidP="00DD0CB8">
      <w:pPr>
        <w:pStyle w:val="Heading3"/>
        <w:numPr>
          <w:ilvl w:val="0"/>
          <w:numId w:val="0"/>
        </w:numPr>
      </w:pPr>
      <w:r>
        <w:t>Australia Awards</w:t>
      </w:r>
    </w:p>
    <w:p w14:paraId="7F7F31E4" w14:textId="77777777" w:rsidR="00DD0CB8" w:rsidRPr="00DF2B43" w:rsidRDefault="515A574D" w:rsidP="00DF2B43">
      <w:pPr>
        <w:spacing w:line="240" w:lineRule="auto"/>
        <w:rPr>
          <w:rFonts w:cs="Calibri"/>
        </w:rPr>
      </w:pPr>
      <w:r w:rsidRPr="3326E6A4">
        <w:rPr>
          <w:rFonts w:cs="Calibri"/>
        </w:rPr>
        <w:t xml:space="preserve">Australia Awards Vanuatu, </w:t>
      </w:r>
      <w:r w:rsidRPr="3326E6A4">
        <w:rPr>
          <w:rFonts w:cs="Calibri"/>
          <w:i/>
          <w:iCs/>
        </w:rPr>
        <w:t>Annual Report</w:t>
      </w:r>
      <w:r w:rsidRPr="3326E6A4">
        <w:rPr>
          <w:rFonts w:cs="Calibri"/>
        </w:rPr>
        <w:t>, 2023</w:t>
      </w:r>
    </w:p>
    <w:p w14:paraId="6BD7C528" w14:textId="79722A35" w:rsidR="00DD0CB8" w:rsidRPr="00DF2B43" w:rsidRDefault="42B78A03" w:rsidP="3326E6A4">
      <w:pPr>
        <w:spacing w:line="240" w:lineRule="auto"/>
        <w:rPr>
          <w:rFonts w:cs="Calibri"/>
        </w:rPr>
      </w:pPr>
      <w:r w:rsidRPr="3326E6A4">
        <w:rPr>
          <w:rFonts w:cs="Calibri"/>
        </w:rPr>
        <w:t xml:space="preserve">Australia Awards Vanuatu, </w:t>
      </w:r>
      <w:r w:rsidRPr="3326E6A4">
        <w:rPr>
          <w:rFonts w:cs="Calibri"/>
          <w:i/>
          <w:iCs/>
        </w:rPr>
        <w:t>Reflection Workshop,</w:t>
      </w:r>
      <w:r w:rsidRPr="3326E6A4">
        <w:rPr>
          <w:rFonts w:cs="Calibri"/>
        </w:rPr>
        <w:t xml:space="preserve"> 2023 </w:t>
      </w:r>
    </w:p>
    <w:p w14:paraId="4DA9F7CE" w14:textId="7B4FE32F" w:rsidR="00DD0CB8" w:rsidRPr="00DF2B43" w:rsidRDefault="515A574D" w:rsidP="00DF2B43">
      <w:pPr>
        <w:spacing w:line="240" w:lineRule="auto"/>
        <w:rPr>
          <w:rFonts w:cs="Calibri"/>
        </w:rPr>
      </w:pPr>
      <w:r w:rsidRPr="3326E6A4">
        <w:rPr>
          <w:rFonts w:cs="Calibri"/>
        </w:rPr>
        <w:t xml:space="preserve">Australia Awards Vanuatu, </w:t>
      </w:r>
      <w:r w:rsidRPr="3326E6A4">
        <w:rPr>
          <w:rFonts w:cs="Calibri"/>
          <w:i/>
          <w:iCs/>
        </w:rPr>
        <w:t>Completion Report</w:t>
      </w:r>
      <w:r w:rsidRPr="3326E6A4">
        <w:rPr>
          <w:rFonts w:cs="Calibri"/>
        </w:rPr>
        <w:t>, 2019</w:t>
      </w:r>
    </w:p>
    <w:p w14:paraId="68F86325" w14:textId="77777777" w:rsidR="00DD0CB8" w:rsidRDefault="00DD0CB8" w:rsidP="00DD0CB8">
      <w:pPr>
        <w:pStyle w:val="Heading3"/>
        <w:numPr>
          <w:ilvl w:val="0"/>
          <w:numId w:val="0"/>
        </w:numPr>
      </w:pPr>
      <w:r>
        <w:t>Evaluations and Reviews</w:t>
      </w:r>
    </w:p>
    <w:p w14:paraId="1C007F20" w14:textId="63AE5BED" w:rsidR="00DD0CB8" w:rsidRPr="00DF2B43" w:rsidRDefault="00DD0CB8" w:rsidP="00DF2B43">
      <w:pPr>
        <w:spacing w:line="240" w:lineRule="auto"/>
        <w:rPr>
          <w:rFonts w:cs="Calibri"/>
        </w:rPr>
      </w:pPr>
      <w:r w:rsidRPr="00DF2B43">
        <w:rPr>
          <w:rFonts w:cs="Calibri"/>
        </w:rPr>
        <w:t xml:space="preserve">Department of Foreign Affairs, </w:t>
      </w:r>
      <w:r w:rsidRPr="00DF2B43">
        <w:rPr>
          <w:rFonts w:cs="Calibri"/>
          <w:i/>
          <w:iCs/>
        </w:rPr>
        <w:t xml:space="preserve">DFAT Management Response: Mid-Term Review </w:t>
      </w:r>
      <w:r w:rsidR="0048771E" w:rsidRPr="00DF2B43">
        <w:rPr>
          <w:rFonts w:cs="Calibri"/>
          <w:i/>
          <w:iCs/>
        </w:rPr>
        <w:t>of</w:t>
      </w:r>
      <w:r w:rsidRPr="00DF2B43">
        <w:rPr>
          <w:rFonts w:cs="Calibri"/>
          <w:i/>
          <w:iCs/>
        </w:rPr>
        <w:t xml:space="preserve"> The Vanuatu Education Support Program II</w:t>
      </w:r>
      <w:r w:rsidRPr="00DF2B43">
        <w:rPr>
          <w:rFonts w:cs="Calibri"/>
        </w:rPr>
        <w:t>, 2022</w:t>
      </w:r>
    </w:p>
    <w:p w14:paraId="5A19ABB1" w14:textId="77777777" w:rsidR="00DD0CB8" w:rsidRPr="00DF2B43" w:rsidRDefault="00DD0CB8" w:rsidP="00DF2B43">
      <w:pPr>
        <w:spacing w:line="240" w:lineRule="auto"/>
        <w:rPr>
          <w:rFonts w:cs="Calibri"/>
        </w:rPr>
      </w:pPr>
      <w:r w:rsidRPr="00DF2B43">
        <w:rPr>
          <w:rFonts w:cs="Calibri"/>
        </w:rPr>
        <w:t xml:space="preserve">Department of Foreign Affairs, </w:t>
      </w:r>
      <w:r w:rsidRPr="00DF2B43">
        <w:rPr>
          <w:rFonts w:cs="Calibri"/>
          <w:i/>
          <w:iCs/>
        </w:rPr>
        <w:t>Mid-Term Evaluation Vanuatu Education Support Program</w:t>
      </w:r>
      <w:r w:rsidRPr="00DF2B43">
        <w:rPr>
          <w:rFonts w:cs="Calibri"/>
        </w:rPr>
        <w:t>, 2022</w:t>
      </w:r>
    </w:p>
    <w:p w14:paraId="25DC8091" w14:textId="77777777" w:rsidR="00DD0CB8" w:rsidRPr="00DF2B43" w:rsidRDefault="00DD0CB8" w:rsidP="00DF2B43">
      <w:pPr>
        <w:spacing w:line="240" w:lineRule="auto"/>
        <w:rPr>
          <w:rFonts w:cs="Calibri"/>
        </w:rPr>
      </w:pPr>
      <w:r w:rsidRPr="00DF2B43">
        <w:rPr>
          <w:rFonts w:cs="Calibri"/>
        </w:rPr>
        <w:t>Department of Foreign Affairs,</w:t>
      </w:r>
      <w:r w:rsidRPr="00DF2B43">
        <w:rPr>
          <w:rFonts w:cs="Calibri"/>
          <w:i/>
          <w:iCs/>
        </w:rPr>
        <w:t xml:space="preserve"> Vanuatu Education Support Program Management Response</w:t>
      </w:r>
      <w:r w:rsidRPr="00DF2B43">
        <w:rPr>
          <w:rFonts w:cs="Calibri"/>
        </w:rPr>
        <w:t>, 2019</w:t>
      </w:r>
    </w:p>
    <w:p w14:paraId="173CF74C" w14:textId="77777777" w:rsidR="00DD0CB8" w:rsidRPr="00DF2B43" w:rsidRDefault="00DD0CB8" w:rsidP="00DF2B43">
      <w:pPr>
        <w:spacing w:line="240" w:lineRule="auto"/>
        <w:rPr>
          <w:rFonts w:cs="Calibri"/>
        </w:rPr>
      </w:pPr>
      <w:r w:rsidRPr="00DF2B43">
        <w:rPr>
          <w:rFonts w:cs="Calibri"/>
        </w:rPr>
        <w:t>Department of Foreign Affairs,</w:t>
      </w:r>
      <w:r w:rsidRPr="00DF2B43">
        <w:rPr>
          <w:rFonts w:cs="Calibri"/>
          <w:i/>
          <w:iCs/>
        </w:rPr>
        <w:t xml:space="preserve"> Vanuatu Education Support Program Mid-Term Review</w:t>
      </w:r>
      <w:r w:rsidRPr="00DF2B43">
        <w:rPr>
          <w:rFonts w:cs="Calibri"/>
        </w:rPr>
        <w:t>, 2016</w:t>
      </w:r>
    </w:p>
    <w:p w14:paraId="14EF931A" w14:textId="77777777" w:rsidR="00DD0CB8" w:rsidRDefault="00DD0CB8" w:rsidP="00DD0CB8">
      <w:pPr>
        <w:pStyle w:val="Heading3"/>
        <w:numPr>
          <w:ilvl w:val="0"/>
          <w:numId w:val="0"/>
        </w:numPr>
      </w:pPr>
      <w:r>
        <w:t>VAESP Steering Committee</w:t>
      </w:r>
    </w:p>
    <w:p w14:paraId="65E6F5B2" w14:textId="74A571A6" w:rsidR="00DD0CB8" w:rsidRPr="00DF2B43" w:rsidRDefault="00DD0CB8" w:rsidP="00DF2B43">
      <w:pPr>
        <w:spacing w:line="240" w:lineRule="auto"/>
        <w:rPr>
          <w:rFonts w:cs="Calibri"/>
        </w:rPr>
      </w:pPr>
      <w:r w:rsidRPr="00DF2B43">
        <w:rPr>
          <w:rFonts w:cs="Calibri"/>
        </w:rPr>
        <w:t xml:space="preserve">Ministry of Education and Training, </w:t>
      </w:r>
      <w:r w:rsidRPr="00DF2B43">
        <w:rPr>
          <w:rFonts w:cs="Calibri"/>
          <w:i/>
          <w:iCs/>
        </w:rPr>
        <w:t xml:space="preserve">VESP Steering Committee Direct Funding </w:t>
      </w:r>
      <w:r w:rsidR="00A91EA6">
        <w:rPr>
          <w:rFonts w:cs="Calibri"/>
          <w:i/>
          <w:iCs/>
        </w:rPr>
        <w:t>Arrangement</w:t>
      </w:r>
      <w:r w:rsidR="00A91EA6" w:rsidRPr="00DF2B43">
        <w:rPr>
          <w:rFonts w:cs="Calibri"/>
          <w:i/>
          <w:iCs/>
        </w:rPr>
        <w:t xml:space="preserve"> </w:t>
      </w:r>
      <w:r w:rsidRPr="00DF2B43">
        <w:rPr>
          <w:rFonts w:cs="Calibri"/>
          <w:i/>
          <w:iCs/>
        </w:rPr>
        <w:t>Update</w:t>
      </w:r>
      <w:r w:rsidRPr="00DF2B43">
        <w:rPr>
          <w:rFonts w:cs="Calibri"/>
        </w:rPr>
        <w:t>, 2024</w:t>
      </w:r>
    </w:p>
    <w:p w14:paraId="686C8CE5" w14:textId="77777777" w:rsidR="00DD0CB8" w:rsidRPr="00DF2B43" w:rsidRDefault="00DD0CB8" w:rsidP="00DF2B43">
      <w:pPr>
        <w:spacing w:line="240" w:lineRule="auto"/>
        <w:rPr>
          <w:rFonts w:cs="Calibri"/>
        </w:rPr>
      </w:pPr>
      <w:r w:rsidRPr="00DF2B43">
        <w:rPr>
          <w:rFonts w:cs="Calibri"/>
        </w:rPr>
        <w:t xml:space="preserve">Ministry of Education and </w:t>
      </w:r>
      <w:proofErr w:type="gramStart"/>
      <w:r w:rsidRPr="00DF2B43">
        <w:rPr>
          <w:rFonts w:cs="Calibri"/>
        </w:rPr>
        <w:t xml:space="preserve">Training, </w:t>
      </w:r>
      <w:r w:rsidRPr="00DF2B43">
        <w:rPr>
          <w:rFonts w:cs="Calibri"/>
          <w:i/>
          <w:iCs/>
        </w:rPr>
        <w:t xml:space="preserve"> VESP</w:t>
      </w:r>
      <w:proofErr w:type="gramEnd"/>
      <w:r w:rsidRPr="00DF2B43">
        <w:rPr>
          <w:rFonts w:cs="Calibri"/>
          <w:i/>
          <w:iCs/>
        </w:rPr>
        <w:t xml:space="preserve"> 2024 Annual Plan, </w:t>
      </w:r>
      <w:r w:rsidRPr="00DF2B43">
        <w:rPr>
          <w:rFonts w:cs="Calibri"/>
        </w:rPr>
        <w:t>2024</w:t>
      </w:r>
    </w:p>
    <w:p w14:paraId="2766283A" w14:textId="77777777" w:rsidR="00DD0CB8" w:rsidRDefault="00DD0CB8" w:rsidP="00DF2B43">
      <w:pPr>
        <w:spacing w:line="240" w:lineRule="auto"/>
        <w:rPr>
          <w:rFonts w:cs="Calibri"/>
        </w:rPr>
      </w:pPr>
      <w:r w:rsidRPr="00DF2B43">
        <w:rPr>
          <w:rFonts w:cs="Calibri"/>
        </w:rPr>
        <w:t xml:space="preserve">Ministry of Education and Training, </w:t>
      </w:r>
      <w:r w:rsidRPr="00DF2B43">
        <w:rPr>
          <w:rFonts w:cs="Calibri"/>
          <w:i/>
          <w:iCs/>
        </w:rPr>
        <w:t xml:space="preserve">VSCM – Pausing and Reflecting, and a few more things, </w:t>
      </w:r>
      <w:r w:rsidRPr="00DF2B43">
        <w:rPr>
          <w:rFonts w:cs="Calibri"/>
        </w:rPr>
        <w:t>2024</w:t>
      </w:r>
    </w:p>
    <w:p w14:paraId="194AAAD0" w14:textId="3A4D6E5D" w:rsidR="0048771E" w:rsidRPr="0048771E" w:rsidRDefault="0048771E" w:rsidP="0048771E">
      <w:pPr>
        <w:pStyle w:val="Heading3"/>
        <w:numPr>
          <w:ilvl w:val="0"/>
          <w:numId w:val="0"/>
        </w:numPr>
      </w:pPr>
      <w:proofErr w:type="spellStart"/>
      <w:r w:rsidRPr="0048771E">
        <w:t>MoET</w:t>
      </w:r>
      <w:proofErr w:type="spellEnd"/>
    </w:p>
    <w:p w14:paraId="0D908EBF" w14:textId="58CFB0E3" w:rsidR="0048771E" w:rsidRPr="004C0880" w:rsidRDefault="0B952A9E" w:rsidP="004C0880">
      <w:r>
        <w:t>Ministry of Education and Training,</w:t>
      </w:r>
      <w:r w:rsidR="00857C1E">
        <w:t xml:space="preserve"> </w:t>
      </w:r>
      <w:r w:rsidR="1D6A8106">
        <w:t>Disability Inclusive Education Resource Mid-Point Review Report</w:t>
      </w:r>
      <w:r w:rsidR="646534B3">
        <w:t>, 2023</w:t>
      </w:r>
    </w:p>
    <w:p w14:paraId="1F64A236" w14:textId="77777777" w:rsidR="00DD0CB8" w:rsidRPr="00633BE3" w:rsidRDefault="00DD0CB8" w:rsidP="00DD0CB8">
      <w:pPr>
        <w:pStyle w:val="Heading2"/>
        <w:numPr>
          <w:ilvl w:val="0"/>
          <w:numId w:val="0"/>
        </w:numPr>
        <w:rPr>
          <w:rFonts w:cs="Arial"/>
          <w:sz w:val="22"/>
          <w:szCs w:val="22"/>
        </w:rPr>
      </w:pPr>
      <w:bookmarkStart w:id="30" w:name="_Toc185784623"/>
      <w:bookmarkStart w:id="31" w:name="_Toc190268268"/>
      <w:r w:rsidRPr="00633BE3">
        <w:rPr>
          <w:rFonts w:cs="Arial"/>
          <w:sz w:val="22"/>
          <w:szCs w:val="22"/>
        </w:rPr>
        <w:t>Vanuatu Skills Partnership</w:t>
      </w:r>
      <w:bookmarkEnd w:id="30"/>
      <w:bookmarkEnd w:id="31"/>
      <w:r w:rsidRPr="00633BE3">
        <w:rPr>
          <w:rFonts w:cs="Arial"/>
          <w:sz w:val="22"/>
          <w:szCs w:val="22"/>
        </w:rPr>
        <w:t xml:space="preserve"> </w:t>
      </w:r>
    </w:p>
    <w:p w14:paraId="72AFAA09" w14:textId="77777777" w:rsidR="00DD0CB8" w:rsidRPr="00461D50" w:rsidRDefault="00DD0CB8" w:rsidP="00DD0CB8">
      <w:pPr>
        <w:pStyle w:val="Heading3"/>
        <w:numPr>
          <w:ilvl w:val="0"/>
          <w:numId w:val="0"/>
        </w:numPr>
        <w:rPr>
          <w:rFonts w:cs="Arial"/>
        </w:rPr>
      </w:pPr>
      <w:r w:rsidRPr="00461D50">
        <w:rPr>
          <w:rFonts w:cs="Arial"/>
        </w:rPr>
        <w:t xml:space="preserve">Strategic Planning </w:t>
      </w:r>
    </w:p>
    <w:p w14:paraId="6D2D0C49" w14:textId="77777777" w:rsidR="00DD0CB8" w:rsidRPr="00DF2B43" w:rsidRDefault="00DD0CB8" w:rsidP="00DF2B43">
      <w:pPr>
        <w:spacing w:line="240" w:lineRule="auto"/>
        <w:rPr>
          <w:rFonts w:cs="Calibri"/>
        </w:rPr>
      </w:pPr>
      <w:r w:rsidRPr="00DF2B43">
        <w:rPr>
          <w:rFonts w:cs="Calibri"/>
        </w:rPr>
        <w:t xml:space="preserve">Vanuatu Skills Partnership, </w:t>
      </w:r>
      <w:r w:rsidRPr="00DF2B43">
        <w:rPr>
          <w:rFonts w:cs="Calibri"/>
          <w:i/>
          <w:iCs/>
        </w:rPr>
        <w:t>Annual Plan</w:t>
      </w:r>
      <w:r w:rsidRPr="00DF2B43">
        <w:rPr>
          <w:rFonts w:cs="Calibri"/>
        </w:rPr>
        <w:t>, 2024</w:t>
      </w:r>
    </w:p>
    <w:p w14:paraId="2629F23A" w14:textId="77777777" w:rsidR="00DD0CB8" w:rsidRDefault="515A574D" w:rsidP="00DD0CB8">
      <w:pPr>
        <w:pStyle w:val="Heading3"/>
        <w:numPr>
          <w:ilvl w:val="0"/>
          <w:numId w:val="0"/>
        </w:numPr>
        <w:rPr>
          <w:rFonts w:cs="Arial"/>
        </w:rPr>
      </w:pPr>
      <w:r w:rsidRPr="3326E6A4">
        <w:rPr>
          <w:rFonts w:cs="Arial"/>
        </w:rPr>
        <w:t>History</w:t>
      </w:r>
    </w:p>
    <w:p w14:paraId="12823A18" w14:textId="77777777" w:rsidR="00DD0CB8" w:rsidRPr="00DF2B43" w:rsidRDefault="14C093EB" w:rsidP="3326E6A4">
      <w:pPr>
        <w:spacing w:line="240" w:lineRule="auto"/>
        <w:rPr>
          <w:rFonts w:cs="Calibri"/>
        </w:rPr>
      </w:pPr>
      <w:r w:rsidRPr="3326E6A4">
        <w:rPr>
          <w:rFonts w:cs="Calibri"/>
        </w:rPr>
        <w:t xml:space="preserve">Vanuatu Skills Partnership, </w:t>
      </w:r>
      <w:r w:rsidRPr="3326E6A4">
        <w:rPr>
          <w:rFonts w:cs="Calibri"/>
          <w:i/>
          <w:iCs/>
        </w:rPr>
        <w:t>Leadership Incubation for Locally led Development</w:t>
      </w:r>
      <w:r w:rsidRPr="3326E6A4">
        <w:rPr>
          <w:rFonts w:cs="Calibri"/>
        </w:rPr>
        <w:t>, 2023</w:t>
      </w:r>
    </w:p>
    <w:p w14:paraId="05701F2A" w14:textId="77777777" w:rsidR="00DD0CB8" w:rsidRPr="00DF2B43" w:rsidRDefault="14C093EB" w:rsidP="3326E6A4">
      <w:pPr>
        <w:spacing w:line="240" w:lineRule="auto"/>
        <w:rPr>
          <w:rFonts w:cs="Calibri"/>
        </w:rPr>
      </w:pPr>
      <w:proofErr w:type="spellStart"/>
      <w:r w:rsidRPr="3326E6A4">
        <w:rPr>
          <w:rFonts w:cs="Calibri"/>
        </w:rPr>
        <w:t>Devpolicy</w:t>
      </w:r>
      <w:proofErr w:type="spellEnd"/>
      <w:r w:rsidRPr="3326E6A4">
        <w:rPr>
          <w:rFonts w:cs="Calibri"/>
        </w:rPr>
        <w:t xml:space="preserve"> Blog, </w:t>
      </w:r>
      <w:r w:rsidRPr="3326E6A4">
        <w:rPr>
          <w:rFonts w:cs="Calibri"/>
          <w:i/>
          <w:iCs/>
        </w:rPr>
        <w:t>A Localisation Journey – The Vanuatu Skills Partnership</w:t>
      </w:r>
      <w:r w:rsidRPr="3326E6A4">
        <w:rPr>
          <w:rFonts w:cs="Calibri"/>
        </w:rPr>
        <w:t>, 2023</w:t>
      </w:r>
    </w:p>
    <w:p w14:paraId="698A031A" w14:textId="77777777" w:rsidR="00DD0CB8" w:rsidRPr="00DF2B43" w:rsidRDefault="14C093EB" w:rsidP="3326E6A4">
      <w:pPr>
        <w:spacing w:line="240" w:lineRule="auto"/>
        <w:rPr>
          <w:rFonts w:cs="Calibri"/>
        </w:rPr>
      </w:pPr>
      <w:r w:rsidRPr="3326E6A4">
        <w:rPr>
          <w:rFonts w:cs="Calibri"/>
        </w:rPr>
        <w:t xml:space="preserve">Vanuatu Skills Partnership, </w:t>
      </w:r>
      <w:r w:rsidRPr="3326E6A4">
        <w:rPr>
          <w:rFonts w:cs="Calibri"/>
          <w:i/>
          <w:iCs/>
        </w:rPr>
        <w:t xml:space="preserve">Story </w:t>
      </w:r>
      <w:proofErr w:type="gramStart"/>
      <w:r w:rsidRPr="3326E6A4">
        <w:rPr>
          <w:rFonts w:cs="Calibri"/>
          <w:i/>
          <w:iCs/>
        </w:rPr>
        <w:t>Of</w:t>
      </w:r>
      <w:proofErr w:type="gramEnd"/>
      <w:r w:rsidRPr="3326E6A4">
        <w:rPr>
          <w:rFonts w:cs="Calibri"/>
          <w:i/>
          <w:iCs/>
        </w:rPr>
        <w:t xml:space="preserve"> Change</w:t>
      </w:r>
      <w:r w:rsidRPr="3326E6A4">
        <w:rPr>
          <w:rFonts w:cs="Calibri"/>
        </w:rPr>
        <w:t xml:space="preserve">, 2023 </w:t>
      </w:r>
    </w:p>
    <w:p w14:paraId="323E69F9" w14:textId="1B98C550" w:rsidR="00DD0CB8" w:rsidRPr="00DF2B43" w:rsidRDefault="515A574D" w:rsidP="00DF2B43">
      <w:pPr>
        <w:spacing w:line="240" w:lineRule="auto"/>
        <w:rPr>
          <w:rFonts w:cs="Calibri"/>
        </w:rPr>
      </w:pPr>
      <w:proofErr w:type="spellStart"/>
      <w:r w:rsidRPr="3326E6A4">
        <w:rPr>
          <w:rFonts w:cs="Calibri"/>
        </w:rPr>
        <w:t>Devpolicy</w:t>
      </w:r>
      <w:proofErr w:type="spellEnd"/>
      <w:r w:rsidRPr="3326E6A4">
        <w:rPr>
          <w:rFonts w:cs="Calibri"/>
        </w:rPr>
        <w:t xml:space="preserve"> Blog, </w:t>
      </w:r>
      <w:r w:rsidRPr="3326E6A4">
        <w:rPr>
          <w:rFonts w:cs="Calibri"/>
          <w:i/>
          <w:iCs/>
        </w:rPr>
        <w:t>Skills Sector Reform in Vanuatu</w:t>
      </w:r>
      <w:r w:rsidRPr="3326E6A4">
        <w:rPr>
          <w:rFonts w:cs="Calibri"/>
        </w:rPr>
        <w:t>, 2021</w:t>
      </w:r>
    </w:p>
    <w:p w14:paraId="14152460" w14:textId="23155627" w:rsidR="00DD0CB8" w:rsidRPr="00461D50" w:rsidRDefault="515A574D" w:rsidP="00DD0CB8">
      <w:pPr>
        <w:pStyle w:val="Heading3"/>
        <w:numPr>
          <w:ilvl w:val="0"/>
          <w:numId w:val="0"/>
        </w:numPr>
        <w:rPr>
          <w:rFonts w:cs="Arial"/>
        </w:rPr>
      </w:pPr>
      <w:r w:rsidRPr="3326E6A4">
        <w:rPr>
          <w:rFonts w:cs="Arial"/>
        </w:rPr>
        <w:t>Reports 2022-2024</w:t>
      </w:r>
    </w:p>
    <w:p w14:paraId="16EDF382" w14:textId="77777777" w:rsidR="00DD0CB8" w:rsidRPr="00DF2B43" w:rsidRDefault="420867F5" w:rsidP="3326E6A4">
      <w:pPr>
        <w:spacing w:line="240" w:lineRule="auto"/>
        <w:rPr>
          <w:rFonts w:cs="Calibri"/>
        </w:rPr>
      </w:pPr>
      <w:r w:rsidRPr="3326E6A4">
        <w:rPr>
          <w:rFonts w:cs="Calibri"/>
        </w:rPr>
        <w:t xml:space="preserve">Vanuatu Skills Partnership, </w:t>
      </w:r>
      <w:r w:rsidRPr="3326E6A4">
        <w:rPr>
          <w:rFonts w:cs="Calibri"/>
          <w:i/>
          <w:iCs/>
        </w:rPr>
        <w:t>Annual Progress Snapshot</w:t>
      </w:r>
      <w:r w:rsidRPr="3326E6A4">
        <w:rPr>
          <w:rFonts w:cs="Calibri"/>
        </w:rPr>
        <w:t>, 2024</w:t>
      </w:r>
    </w:p>
    <w:p w14:paraId="6E51B2D0" w14:textId="64B6928F" w:rsidR="00DD0CB8" w:rsidRPr="00DF2B43" w:rsidRDefault="420867F5" w:rsidP="3326E6A4">
      <w:pPr>
        <w:spacing w:line="240" w:lineRule="auto"/>
        <w:rPr>
          <w:rFonts w:cs="Calibri"/>
        </w:rPr>
      </w:pPr>
      <w:r w:rsidRPr="3326E6A4">
        <w:rPr>
          <w:rFonts w:cs="Calibri"/>
        </w:rPr>
        <w:t xml:space="preserve">Vanuatu Skills Partnership, </w:t>
      </w:r>
      <w:r w:rsidRPr="3326E6A4">
        <w:rPr>
          <w:rFonts w:cs="Calibri"/>
          <w:i/>
          <w:iCs/>
        </w:rPr>
        <w:t>Partnership Progress Report</w:t>
      </w:r>
      <w:r w:rsidRPr="3326E6A4">
        <w:rPr>
          <w:rFonts w:cs="Calibri"/>
        </w:rPr>
        <w:t xml:space="preserve">, 2024 </w:t>
      </w:r>
    </w:p>
    <w:p w14:paraId="3EDA5D5E" w14:textId="5669A0F8" w:rsidR="00DD0CB8" w:rsidRPr="00DF2B43" w:rsidRDefault="515A574D" w:rsidP="00DF2B43">
      <w:pPr>
        <w:spacing w:line="240" w:lineRule="auto"/>
        <w:rPr>
          <w:rFonts w:cs="Calibri"/>
        </w:rPr>
      </w:pPr>
      <w:r w:rsidRPr="3326E6A4">
        <w:rPr>
          <w:rFonts w:cs="Calibri"/>
        </w:rPr>
        <w:t xml:space="preserve">Vanuatu Skills Partnership, </w:t>
      </w:r>
      <w:r w:rsidRPr="3326E6A4">
        <w:rPr>
          <w:rFonts w:cs="Calibri"/>
          <w:i/>
          <w:iCs/>
        </w:rPr>
        <w:t>Annual Progress Snapshot</w:t>
      </w:r>
      <w:r w:rsidRPr="3326E6A4">
        <w:rPr>
          <w:rFonts w:cs="Calibri"/>
        </w:rPr>
        <w:t>, 2023</w:t>
      </w:r>
    </w:p>
    <w:p w14:paraId="5A3CBF6E" w14:textId="20B81B5F" w:rsidR="00DD0CB8" w:rsidRPr="00DF2B43" w:rsidRDefault="00DD0CB8" w:rsidP="00DF2B43">
      <w:pPr>
        <w:spacing w:line="240" w:lineRule="auto"/>
        <w:rPr>
          <w:rFonts w:cs="Calibri"/>
        </w:rPr>
      </w:pPr>
      <w:r w:rsidRPr="00DF2B43">
        <w:rPr>
          <w:rFonts w:cs="Calibri"/>
        </w:rPr>
        <w:t xml:space="preserve">Vanuatu Skills Partnership, </w:t>
      </w:r>
      <w:r w:rsidRPr="00DF2B43">
        <w:rPr>
          <w:rFonts w:cs="Calibri"/>
          <w:i/>
          <w:iCs/>
        </w:rPr>
        <w:t xml:space="preserve">Annual Progress Snapshot Aligned </w:t>
      </w:r>
      <w:r w:rsidR="00F478AA">
        <w:rPr>
          <w:rFonts w:cs="Calibri"/>
          <w:i/>
          <w:iCs/>
        </w:rPr>
        <w:t>w</w:t>
      </w:r>
      <w:r w:rsidRPr="00DF2B43">
        <w:rPr>
          <w:rFonts w:cs="Calibri"/>
          <w:i/>
          <w:iCs/>
        </w:rPr>
        <w:t>ith the National Sustainable Development Plan</w:t>
      </w:r>
      <w:r w:rsidRPr="00DF2B43">
        <w:rPr>
          <w:rFonts w:cs="Calibri"/>
        </w:rPr>
        <w:t>, 2023</w:t>
      </w:r>
    </w:p>
    <w:p w14:paraId="6788C875" w14:textId="77777777" w:rsidR="00DD0CB8" w:rsidRPr="00DF2B43" w:rsidRDefault="00DD0CB8" w:rsidP="00DF2B43">
      <w:pPr>
        <w:spacing w:line="240" w:lineRule="auto"/>
        <w:rPr>
          <w:rFonts w:cs="Calibri"/>
        </w:rPr>
      </w:pPr>
      <w:r w:rsidRPr="00DF2B43">
        <w:rPr>
          <w:rFonts w:cs="Calibri"/>
        </w:rPr>
        <w:t xml:space="preserve">Vanuatu Skills Partnership, </w:t>
      </w:r>
      <w:r w:rsidRPr="00DF2B43">
        <w:rPr>
          <w:rFonts w:cs="Calibri"/>
          <w:i/>
          <w:iCs/>
        </w:rPr>
        <w:t>Vanuatu Skills Partnership Program Logic</w:t>
      </w:r>
      <w:r w:rsidRPr="00DF2B43">
        <w:rPr>
          <w:rFonts w:cs="Calibri"/>
        </w:rPr>
        <w:t>, 2023</w:t>
      </w:r>
    </w:p>
    <w:p w14:paraId="057F271F" w14:textId="77777777" w:rsidR="00DD0CB8" w:rsidRPr="00DF2B43" w:rsidRDefault="00DD0CB8" w:rsidP="00DF2B43">
      <w:pPr>
        <w:spacing w:line="240" w:lineRule="auto"/>
        <w:rPr>
          <w:rFonts w:cs="Calibri"/>
        </w:rPr>
      </w:pPr>
      <w:r w:rsidRPr="00DF2B43">
        <w:rPr>
          <w:rFonts w:cs="Calibri"/>
        </w:rPr>
        <w:t xml:space="preserve">Vanuatu Skills Partnership, </w:t>
      </w:r>
      <w:r w:rsidRPr="00DF2B43">
        <w:rPr>
          <w:rFonts w:cs="Calibri"/>
          <w:i/>
          <w:iCs/>
        </w:rPr>
        <w:t>Annual Monitoring Report</w:t>
      </w:r>
      <w:r w:rsidRPr="00DF2B43">
        <w:rPr>
          <w:rFonts w:cs="Calibri"/>
        </w:rPr>
        <w:t>, 2023</w:t>
      </w:r>
    </w:p>
    <w:p w14:paraId="779042B5" w14:textId="4CFD6C50" w:rsidR="00DD0CB8" w:rsidRPr="00677937" w:rsidRDefault="515A574D" w:rsidP="00DF2B43">
      <w:pPr>
        <w:spacing w:line="240" w:lineRule="auto"/>
        <w:rPr>
          <w:rFonts w:ascii="Arial" w:hAnsi="Arial" w:cs="Arial"/>
        </w:rPr>
      </w:pPr>
      <w:r w:rsidRPr="3326E6A4">
        <w:rPr>
          <w:rFonts w:cs="Calibri"/>
        </w:rPr>
        <w:t xml:space="preserve">Vanuatu Skills Partnership, </w:t>
      </w:r>
      <w:r w:rsidRPr="3326E6A4">
        <w:rPr>
          <w:rFonts w:cs="Calibri"/>
          <w:i/>
          <w:iCs/>
        </w:rPr>
        <w:t xml:space="preserve">Story of Change, </w:t>
      </w:r>
      <w:proofErr w:type="gramStart"/>
      <w:r w:rsidRPr="3326E6A4">
        <w:rPr>
          <w:rFonts w:cs="Calibri"/>
          <w:i/>
          <w:iCs/>
        </w:rPr>
        <w:t>Supporting</w:t>
      </w:r>
      <w:proofErr w:type="gramEnd"/>
      <w:r w:rsidRPr="3326E6A4">
        <w:rPr>
          <w:rFonts w:cs="Calibri"/>
          <w:i/>
          <w:iCs/>
        </w:rPr>
        <w:t xml:space="preserve"> </w:t>
      </w:r>
      <w:proofErr w:type="gramStart"/>
      <w:r w:rsidRPr="3326E6A4">
        <w:rPr>
          <w:rFonts w:cs="Calibri"/>
          <w:i/>
          <w:iCs/>
        </w:rPr>
        <w:t>locally-led</w:t>
      </w:r>
      <w:proofErr w:type="gramEnd"/>
      <w:r w:rsidRPr="3326E6A4">
        <w:rPr>
          <w:rFonts w:cs="Calibri"/>
          <w:i/>
          <w:iCs/>
        </w:rPr>
        <w:t xml:space="preserve"> disaster response in </w:t>
      </w:r>
      <w:proofErr w:type="spellStart"/>
      <w:r w:rsidRPr="3326E6A4">
        <w:rPr>
          <w:rFonts w:cs="Calibri"/>
          <w:i/>
          <w:iCs/>
        </w:rPr>
        <w:t>Tafea</w:t>
      </w:r>
      <w:proofErr w:type="spellEnd"/>
      <w:r w:rsidRPr="3326E6A4">
        <w:rPr>
          <w:rFonts w:ascii="Arial" w:hAnsi="Arial" w:cs="Arial"/>
          <w:i/>
          <w:iCs/>
        </w:rPr>
        <w:t xml:space="preserve"> Province, 2023</w:t>
      </w:r>
    </w:p>
    <w:p w14:paraId="096536AB" w14:textId="3E633159" w:rsidR="5B38C230" w:rsidRPr="00203F35" w:rsidRDefault="5B38C230" w:rsidP="3326E6A4">
      <w:pPr>
        <w:spacing w:line="240" w:lineRule="auto"/>
        <w:rPr>
          <w:rFonts w:cs="Calibri"/>
        </w:rPr>
      </w:pPr>
      <w:r w:rsidRPr="00203F35">
        <w:rPr>
          <w:rFonts w:cs="Calibri"/>
        </w:rPr>
        <w:t xml:space="preserve">Vanuatu Skills Partnership, </w:t>
      </w:r>
      <w:r w:rsidRPr="00203F35">
        <w:rPr>
          <w:rFonts w:cs="Calibri"/>
          <w:i/>
          <w:iCs/>
        </w:rPr>
        <w:t xml:space="preserve">Story of Change, Leadership incubation for </w:t>
      </w:r>
      <w:proofErr w:type="gramStart"/>
      <w:r w:rsidRPr="00203F35">
        <w:rPr>
          <w:rFonts w:cs="Calibri"/>
          <w:i/>
          <w:iCs/>
        </w:rPr>
        <w:t>locally-led</w:t>
      </w:r>
      <w:proofErr w:type="gramEnd"/>
      <w:r w:rsidRPr="00203F35">
        <w:rPr>
          <w:rFonts w:cs="Calibri"/>
          <w:i/>
          <w:iCs/>
        </w:rPr>
        <w:t xml:space="preserve"> development</w:t>
      </w:r>
      <w:r w:rsidRPr="00203F35">
        <w:rPr>
          <w:rFonts w:cs="Calibri"/>
        </w:rPr>
        <w:t>, 2023</w:t>
      </w:r>
    </w:p>
    <w:p w14:paraId="2C1D71D3" w14:textId="77777777" w:rsidR="00DD0CB8" w:rsidRPr="00677937" w:rsidRDefault="515A574D" w:rsidP="00DD0CB8">
      <w:pPr>
        <w:pStyle w:val="Heading3"/>
        <w:numPr>
          <w:ilvl w:val="0"/>
          <w:numId w:val="0"/>
        </w:numPr>
      </w:pPr>
      <w:r>
        <w:t>Corporate Support Plans and Reports</w:t>
      </w:r>
    </w:p>
    <w:p w14:paraId="61C4728B" w14:textId="46601870" w:rsidR="00DD0CB8" w:rsidRPr="00DF2B43" w:rsidRDefault="54150521" w:rsidP="3326E6A4">
      <w:pPr>
        <w:spacing w:line="240" w:lineRule="auto"/>
        <w:rPr>
          <w:rFonts w:cs="Calibri"/>
        </w:rPr>
      </w:pPr>
      <w:r w:rsidRPr="3326E6A4">
        <w:rPr>
          <w:rFonts w:cs="Calibri"/>
        </w:rPr>
        <w:t xml:space="preserve">Vanuatu Skills Partnership, </w:t>
      </w:r>
      <w:r w:rsidRPr="3326E6A4">
        <w:rPr>
          <w:rFonts w:cs="Calibri"/>
          <w:i/>
          <w:iCs/>
        </w:rPr>
        <w:t>Annual Corporate Support Plan</w:t>
      </w:r>
      <w:r w:rsidRPr="3326E6A4">
        <w:rPr>
          <w:rFonts w:cs="Calibri"/>
        </w:rPr>
        <w:t xml:space="preserve">, 2024 </w:t>
      </w:r>
    </w:p>
    <w:p w14:paraId="3FCBCBA2" w14:textId="59E9B716" w:rsidR="00DD0CB8" w:rsidRPr="00DF2B43" w:rsidRDefault="515A574D" w:rsidP="00DF2B43">
      <w:pPr>
        <w:spacing w:line="240" w:lineRule="auto"/>
        <w:rPr>
          <w:rFonts w:cs="Calibri"/>
        </w:rPr>
      </w:pPr>
      <w:r w:rsidRPr="3326E6A4">
        <w:rPr>
          <w:rFonts w:cs="Calibri"/>
        </w:rPr>
        <w:t xml:space="preserve">Vanuatu Skills Partnership, </w:t>
      </w:r>
      <w:r w:rsidRPr="3326E6A4">
        <w:rPr>
          <w:rFonts w:cs="Calibri"/>
          <w:i/>
          <w:iCs/>
        </w:rPr>
        <w:t>Corporate Support Report</w:t>
      </w:r>
      <w:r w:rsidRPr="3326E6A4">
        <w:rPr>
          <w:rFonts w:cs="Calibri"/>
        </w:rPr>
        <w:t>, 2023</w:t>
      </w:r>
    </w:p>
    <w:p w14:paraId="169CE128" w14:textId="21F01E0F" w:rsidR="00DD0CB8" w:rsidRDefault="00F478AA" w:rsidP="00DD0CB8">
      <w:pPr>
        <w:pStyle w:val="Heading3"/>
        <w:numPr>
          <w:ilvl w:val="0"/>
          <w:numId w:val="0"/>
        </w:numPr>
      </w:pPr>
      <w:r>
        <w:t xml:space="preserve">Reviews and </w:t>
      </w:r>
      <w:r w:rsidR="00DD0CB8" w:rsidRPr="00127C6A">
        <w:t>Evaluations</w:t>
      </w:r>
    </w:p>
    <w:p w14:paraId="284E5FC1" w14:textId="2149741E" w:rsidR="00DD0CB8" w:rsidRDefault="00DF2B43" w:rsidP="00DF2B43">
      <w:pPr>
        <w:spacing w:line="240" w:lineRule="auto"/>
        <w:rPr>
          <w:rFonts w:cs="Calibri"/>
        </w:rPr>
      </w:pPr>
      <w:r>
        <w:t xml:space="preserve">Kinsella, S. &amp; </w:t>
      </w:r>
      <w:r w:rsidRPr="209B4D09">
        <w:rPr>
          <w:rFonts w:cs="Calibri"/>
        </w:rPr>
        <w:t>McNaughton, B.</w:t>
      </w:r>
      <w:r w:rsidR="00DD0CB8" w:rsidRPr="209B4D09">
        <w:rPr>
          <w:rFonts w:cs="Calibri"/>
        </w:rPr>
        <w:t xml:space="preserve">, </w:t>
      </w:r>
      <w:r w:rsidR="00DD0CB8" w:rsidRPr="209B4D09">
        <w:rPr>
          <w:rFonts w:cs="Calibri"/>
          <w:i/>
          <w:iCs/>
        </w:rPr>
        <w:t>Independent Evaluation of the Vanuatu Skills Partnership</w:t>
      </w:r>
      <w:r w:rsidR="00DD0CB8" w:rsidRPr="209B4D09">
        <w:rPr>
          <w:rFonts w:cs="Calibri"/>
        </w:rPr>
        <w:t>, 2021</w:t>
      </w:r>
    </w:p>
    <w:p w14:paraId="76747C08" w14:textId="5E37AB44" w:rsidR="00F478AA" w:rsidRPr="00DF2B43" w:rsidRDefault="793529D9" w:rsidP="00F478AA">
      <w:pPr>
        <w:spacing w:line="240" w:lineRule="auto"/>
      </w:pPr>
      <w:r>
        <w:t xml:space="preserve">Barbara, J, </w:t>
      </w:r>
      <w:hyperlink r:id="rId13" w:history="1">
        <w:hyperlink r:id="rId14" w:history="1">
          <w:r w:rsidRPr="7488CAE0">
            <w:rPr>
              <w:rStyle w:val="Hyperlink"/>
            </w:rPr>
            <w:t>How the Vanuatu Skills Partnership has supported local-level service delivery and decentralisation in Vanuatu</w:t>
          </w:r>
        </w:hyperlink>
      </w:hyperlink>
      <w:r>
        <w:t>, 2021</w:t>
      </w:r>
    </w:p>
    <w:p w14:paraId="741726F8" w14:textId="3EA1C6AE" w:rsidR="00F478AA" w:rsidRPr="00DF2B43" w:rsidRDefault="00F478AA" w:rsidP="00F478AA">
      <w:pPr>
        <w:spacing w:line="240" w:lineRule="auto"/>
        <w:rPr>
          <w:rFonts w:cs="Calibri"/>
        </w:rPr>
      </w:pPr>
      <w:r w:rsidRPr="209B4D09">
        <w:rPr>
          <w:rFonts w:cs="Calibri"/>
        </w:rPr>
        <w:t xml:space="preserve">Vanuatu Skills Partnership, </w:t>
      </w:r>
      <w:r w:rsidRPr="209B4D09">
        <w:rPr>
          <w:rFonts w:cs="Calibri"/>
          <w:i/>
          <w:iCs/>
        </w:rPr>
        <w:t>Thinking and working politically in the Vanuatu skills sector: supporting local leadership and building a political constituency for change</w:t>
      </w:r>
      <w:r w:rsidRPr="209B4D09">
        <w:rPr>
          <w:rFonts w:cs="Calibri"/>
        </w:rPr>
        <w:t>, 2019</w:t>
      </w:r>
    </w:p>
    <w:p w14:paraId="0EC63023" w14:textId="6E80BBFE" w:rsidR="00DD0CB8" w:rsidRPr="00633BE3" w:rsidRDefault="00DD0CB8" w:rsidP="00DD0CB8">
      <w:pPr>
        <w:pStyle w:val="Heading3"/>
        <w:numPr>
          <w:ilvl w:val="0"/>
          <w:numId w:val="0"/>
        </w:numPr>
      </w:pPr>
      <w:r>
        <w:t>Other</w:t>
      </w:r>
    </w:p>
    <w:p w14:paraId="6B9DCC3B" w14:textId="1BC4D669" w:rsidR="0048771E" w:rsidRDefault="1F55ADB2" w:rsidP="0048771E">
      <w:proofErr w:type="spellStart"/>
      <w:r>
        <w:t>Yanhambath</w:t>
      </w:r>
      <w:proofErr w:type="spellEnd"/>
      <w:r>
        <w:t xml:space="preserve">, F &amp; Gibert, A. (2023). </w:t>
      </w:r>
      <w:hyperlink r:id="rId15" w:history="1">
        <w:r w:rsidRPr="7488CAE0">
          <w:rPr>
            <w:rStyle w:val="Hyperlink"/>
          </w:rPr>
          <w:t>A localisation journey – the Vanuatu Skills Partnership</w:t>
        </w:r>
      </w:hyperlink>
      <w:r>
        <w:t xml:space="preserve">. </w:t>
      </w:r>
    </w:p>
    <w:p w14:paraId="06424D59" w14:textId="0DB26B57" w:rsidR="0048771E" w:rsidRDefault="0048771E" w:rsidP="0048771E">
      <w:r>
        <w:t xml:space="preserve">Silas, E. (2022). </w:t>
      </w:r>
      <w:hyperlink r:id="rId16">
        <w:r w:rsidRPr="7488CAE0">
          <w:rPr>
            <w:rStyle w:val="Hyperlink"/>
          </w:rPr>
          <w:t>Using MEL to support systemic reform: the case of Vanuatu Skills Partnership</w:t>
        </w:r>
      </w:hyperlink>
    </w:p>
    <w:p w14:paraId="548B2F3E" w14:textId="1D5520F5" w:rsidR="00DD0CB8" w:rsidRDefault="00DD0CB8" w:rsidP="00DF2B43">
      <w:pPr>
        <w:spacing w:line="240" w:lineRule="auto"/>
        <w:rPr>
          <w:rFonts w:cs="Calibri"/>
          <w:i/>
          <w:iCs/>
        </w:rPr>
      </w:pPr>
      <w:r w:rsidRPr="00DF2B43">
        <w:rPr>
          <w:rFonts w:cs="Calibri"/>
        </w:rPr>
        <w:t xml:space="preserve">Vanuatu Skills Partnership, </w:t>
      </w:r>
      <w:r w:rsidRPr="00DF2B43">
        <w:rPr>
          <w:rFonts w:cs="Calibri"/>
          <w:i/>
          <w:iCs/>
        </w:rPr>
        <w:t>Vanuatu Skills Partnership Video Links</w:t>
      </w:r>
    </w:p>
    <w:p w14:paraId="74861893" w14:textId="6C1FEF7F" w:rsidR="00F478AA" w:rsidRPr="0048771E" w:rsidRDefault="00F478AA" w:rsidP="0048771E">
      <w:pPr>
        <w:pStyle w:val="Heading2"/>
        <w:numPr>
          <w:ilvl w:val="0"/>
          <w:numId w:val="0"/>
        </w:numPr>
        <w:rPr>
          <w:rFonts w:cs="Arial"/>
          <w:sz w:val="22"/>
          <w:szCs w:val="22"/>
        </w:rPr>
      </w:pPr>
      <w:bookmarkStart w:id="32" w:name="_Toc185784624"/>
      <w:bookmarkStart w:id="33" w:name="_Toc190268269"/>
      <w:r w:rsidRPr="0048771E">
        <w:rPr>
          <w:rFonts w:cs="Arial"/>
          <w:sz w:val="22"/>
          <w:szCs w:val="22"/>
        </w:rPr>
        <w:t xml:space="preserve">DFAT and </w:t>
      </w:r>
      <w:r w:rsidR="0048771E" w:rsidRPr="0048771E">
        <w:rPr>
          <w:rFonts w:cs="Arial"/>
          <w:sz w:val="22"/>
          <w:szCs w:val="22"/>
        </w:rPr>
        <w:t>Other</w:t>
      </w:r>
      <w:bookmarkEnd w:id="32"/>
      <w:bookmarkEnd w:id="33"/>
      <w:r w:rsidR="0048771E" w:rsidRPr="0048771E">
        <w:rPr>
          <w:rFonts w:cs="Arial"/>
          <w:sz w:val="22"/>
          <w:szCs w:val="22"/>
        </w:rPr>
        <w:t xml:space="preserve"> </w:t>
      </w:r>
    </w:p>
    <w:p w14:paraId="75D4BB76" w14:textId="6F491F70" w:rsidR="0048771E" w:rsidRDefault="1D6A8106" w:rsidP="0048771E">
      <w:r>
        <w:t xml:space="preserve">DFAT (2024). </w:t>
      </w:r>
      <w:r w:rsidRPr="3326E6A4">
        <w:rPr>
          <w:i/>
          <w:iCs/>
        </w:rPr>
        <w:t xml:space="preserve">DFAT Guidance Note: </w:t>
      </w:r>
      <w:proofErr w:type="gramStart"/>
      <w:r w:rsidRPr="3326E6A4">
        <w:rPr>
          <w:i/>
          <w:iCs/>
        </w:rPr>
        <w:t>Locally-Led</w:t>
      </w:r>
      <w:proofErr w:type="gramEnd"/>
      <w:r w:rsidRPr="3326E6A4">
        <w:rPr>
          <w:i/>
          <w:iCs/>
        </w:rPr>
        <w:t xml:space="preserve"> Development</w:t>
      </w:r>
      <w:r>
        <w:t xml:space="preserve">. </w:t>
      </w:r>
    </w:p>
    <w:p w14:paraId="5D69C9FC" w14:textId="7DD86FF3" w:rsidR="008E388F" w:rsidRDefault="520BE191" w:rsidP="3326E6A4">
      <w:pPr>
        <w:rPr>
          <w:i/>
          <w:iCs/>
        </w:rPr>
      </w:pPr>
      <w:r w:rsidRPr="3326E6A4">
        <w:t>DFAT (2024).</w:t>
      </w:r>
      <w:r w:rsidRPr="3326E6A4">
        <w:rPr>
          <w:i/>
          <w:iCs/>
        </w:rPr>
        <w:t xml:space="preserve"> International Disability Equity and Rights Strategy. </w:t>
      </w:r>
    </w:p>
    <w:p w14:paraId="334338DA" w14:textId="77777777" w:rsidR="005C131B" w:rsidRDefault="6AE18FB6" w:rsidP="0048771E">
      <w:pPr>
        <w:rPr>
          <w:i/>
          <w:iCs/>
        </w:rPr>
      </w:pPr>
      <w:r>
        <w:t xml:space="preserve">DFAT (2023). </w:t>
      </w:r>
      <w:r w:rsidRPr="7488CAE0">
        <w:rPr>
          <w:i/>
          <w:iCs/>
        </w:rPr>
        <w:t>Design and Monitoring, Evaluation and Learning Standards</w:t>
      </w:r>
    </w:p>
    <w:p w14:paraId="106EECCB" w14:textId="7AFCBD24" w:rsidR="3B0D9F72" w:rsidRDefault="1D6A8106">
      <w:r>
        <w:t xml:space="preserve">DT Global. (2024). </w:t>
      </w:r>
      <w:r w:rsidRPr="3326E6A4">
        <w:rPr>
          <w:i/>
          <w:iCs/>
        </w:rPr>
        <w:t>Locally Led Development Framework.</w:t>
      </w:r>
      <w:r>
        <w:t xml:space="preserve"> </w:t>
      </w:r>
      <w:r w:rsidR="3B0D9F72">
        <w:br w:type="page"/>
      </w:r>
    </w:p>
    <w:bookmarkStart w:id="34" w:name="_Toc190268270"/>
    <w:p w14:paraId="298711C8" w14:textId="33D166D4" w:rsidR="3B0D9F72" w:rsidRDefault="0095602B" w:rsidP="00250230">
      <w:pPr>
        <w:pStyle w:val="Heading1"/>
        <w:numPr>
          <w:ilvl w:val="0"/>
          <w:numId w:val="0"/>
        </w:numPr>
      </w:pPr>
      <w:r w:rsidRPr="00D963AE">
        <w:rPr>
          <w:noProof/>
        </w:rPr>
        <mc:AlternateContent>
          <mc:Choice Requires="wps">
            <w:drawing>
              <wp:anchor distT="0" distB="0" distL="114300" distR="114300" simplePos="0" relativeHeight="251680768" behindDoc="0" locked="0" layoutInCell="1" allowOverlap="1" wp14:anchorId="6310C36C" wp14:editId="0ED9B817">
                <wp:simplePos x="0" y="0"/>
                <wp:positionH relativeFrom="column">
                  <wp:posOffset>-924128</wp:posOffset>
                </wp:positionH>
                <wp:positionV relativeFrom="paragraph">
                  <wp:posOffset>-87765</wp:posOffset>
                </wp:positionV>
                <wp:extent cx="541421" cy="475248"/>
                <wp:effectExtent l="0" t="0" r="5080" b="0"/>
                <wp:wrapNone/>
                <wp:docPr id="1589283047" name="Rectangle 15892830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1421" cy="475248"/>
                        </a:xfrm>
                        <a:prstGeom prst="rect">
                          <a:avLst/>
                        </a:prstGeom>
                        <a:solidFill>
                          <a:srgbClr val="FFB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w:pict w14:anchorId="01E9F444">
              <v:rect id="Rectangle 1589283047" style="position:absolute;margin-left:-72.75pt;margin-top:-6.9pt;width:42.65pt;height:37.4pt;z-index:25168076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ffb200" stroked="f" strokeweight="2pt" w14:anchorId="465F3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"/>
            </w:pict>
          </mc:Fallback>
        </mc:AlternateContent>
      </w:r>
      <w:r w:rsidR="0D87A7E5" w:rsidRPr="00D963AE">
        <w:t>Annex 3:</w:t>
      </w:r>
      <w:r w:rsidR="00B06101">
        <w:t xml:space="preserve"> Terms of Reference</w:t>
      </w:r>
      <w:bookmarkEnd w:id="34"/>
      <w:r w:rsidR="0D87A7E5" w:rsidRPr="00D963AE">
        <w:t xml:space="preserve"> </w:t>
      </w:r>
    </w:p>
    <w:p w14:paraId="686154D4" w14:textId="77777777" w:rsidR="00D963AE" w:rsidRDefault="00D963AE" w:rsidP="00D963AE">
      <w:pPr>
        <w:autoSpaceDE w:val="0"/>
        <w:autoSpaceDN w:val="0"/>
        <w:adjustRightInd w:val="0"/>
        <w:spacing w:before="0" w:after="0" w:line="240" w:lineRule="auto"/>
        <w:rPr>
          <w:rFonts w:ascii="p_{Êò" w:hAnsi="p_{Êò" w:cs="p_{Êò"/>
          <w:color w:val="000000"/>
          <w:sz w:val="28"/>
          <w:szCs w:val="28"/>
          <w:lang w:val="en-GB"/>
        </w:rPr>
      </w:pPr>
      <w:r>
        <w:rPr>
          <w:rFonts w:ascii="p_{Êò" w:hAnsi="p_{Êò" w:cs="p_{Êò"/>
          <w:color w:val="000000"/>
          <w:sz w:val="28"/>
          <w:szCs w:val="28"/>
          <w:lang w:val="en-GB"/>
        </w:rPr>
        <w:t>Design(s) of the Next Phase of Support of the Vanuatu Skills Partnership and</w:t>
      </w:r>
    </w:p>
    <w:p w14:paraId="79002DCB" w14:textId="77777777" w:rsidR="00D963AE" w:rsidRDefault="00D963AE" w:rsidP="00D963AE">
      <w:pPr>
        <w:autoSpaceDE w:val="0"/>
        <w:autoSpaceDN w:val="0"/>
        <w:adjustRightInd w:val="0"/>
        <w:spacing w:before="0" w:after="0" w:line="240" w:lineRule="auto"/>
        <w:rPr>
          <w:rFonts w:ascii="p_{Êò" w:hAnsi="p_{Êò" w:cs="p_{Êò"/>
          <w:color w:val="000000"/>
          <w:sz w:val="28"/>
          <w:szCs w:val="28"/>
          <w:lang w:val="en-GB"/>
        </w:rPr>
      </w:pPr>
      <w:r>
        <w:rPr>
          <w:rFonts w:ascii="p_{Êò" w:hAnsi="p_{Êò" w:cs="p_{Êò"/>
          <w:color w:val="000000"/>
          <w:sz w:val="28"/>
          <w:szCs w:val="28"/>
          <w:lang w:val="en-GB"/>
        </w:rPr>
        <w:t>the Vanuatu Australia Education Support Program</w:t>
      </w:r>
    </w:p>
    <w:p w14:paraId="69212B0F" w14:textId="77777777" w:rsidR="00D963AE" w:rsidRDefault="00D963AE" w:rsidP="00D963AE">
      <w:pPr>
        <w:autoSpaceDE w:val="0"/>
        <w:autoSpaceDN w:val="0"/>
        <w:adjustRightInd w:val="0"/>
        <w:spacing w:before="0" w:after="0" w:line="240" w:lineRule="auto"/>
        <w:rPr>
          <w:rFonts w:ascii="p_{Êò" w:hAnsi="p_{Êò" w:cs="p_{Êò"/>
          <w:b/>
          <w:bCs/>
          <w:color w:val="000000"/>
          <w:lang w:val="en-GB"/>
        </w:rPr>
      </w:pPr>
    </w:p>
    <w:p w14:paraId="16E9AA5A" w14:textId="5476B596" w:rsidR="00D963AE" w:rsidRPr="00D963AE" w:rsidRDefault="00D963AE" w:rsidP="00D963AE">
      <w:pPr>
        <w:autoSpaceDE w:val="0"/>
        <w:autoSpaceDN w:val="0"/>
        <w:adjustRightInd w:val="0"/>
        <w:spacing w:before="0" w:after="0" w:line="240" w:lineRule="auto"/>
        <w:rPr>
          <w:rFonts w:ascii="p_{Êò" w:hAnsi="p_{Êò" w:cs="p_{Êò"/>
          <w:b/>
          <w:bCs/>
          <w:color w:val="000000"/>
          <w:lang w:val="en-GB"/>
        </w:rPr>
      </w:pPr>
      <w:r w:rsidRPr="00D963AE">
        <w:rPr>
          <w:rFonts w:ascii="p_{Êò" w:hAnsi="p_{Êò" w:cs="p_{Êò"/>
          <w:b/>
          <w:bCs/>
          <w:color w:val="000000"/>
          <w:lang w:val="en-GB"/>
        </w:rPr>
        <w:t>Introduction</w:t>
      </w:r>
    </w:p>
    <w:p w14:paraId="1D38FDDD"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1. These Terms of Reference (</w:t>
      </w:r>
      <w:proofErr w:type="spellStart"/>
      <w:r>
        <w:rPr>
          <w:rFonts w:ascii="p_{Êò" w:hAnsi="p_{Êò" w:cs="p_{Êò"/>
          <w:color w:val="000000"/>
          <w:lang w:val="en-GB"/>
        </w:rPr>
        <w:t>ToR</w:t>
      </w:r>
      <w:proofErr w:type="spellEnd"/>
      <w:r>
        <w:rPr>
          <w:rFonts w:ascii="p_{Êò" w:hAnsi="p_{Êò" w:cs="p_{Êò"/>
          <w:color w:val="000000"/>
          <w:lang w:val="en-GB"/>
        </w:rPr>
        <w:t>) will guide the design of the next phase of Australia’s bilateral</w:t>
      </w:r>
    </w:p>
    <w:p w14:paraId="2E6FBF7C"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investments in Vanuatu’s education and skills development sectors, to replace the current</w:t>
      </w:r>
    </w:p>
    <w:p w14:paraId="1011B45E"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Vanuatu Skills Partnership Phase 4 (VSP) and the Vanuatu Australia Education Support Program</w:t>
      </w:r>
    </w:p>
    <w:p w14:paraId="12413618"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(VAESP), which end January 2026 and December 2026 respectively.</w:t>
      </w:r>
    </w:p>
    <w:p w14:paraId="78908A77" w14:textId="77777777" w:rsidR="00D963AE" w:rsidRDefault="00D963AE" w:rsidP="00D963AE">
      <w:pPr>
        <w:autoSpaceDE w:val="0"/>
        <w:autoSpaceDN w:val="0"/>
        <w:adjustRightInd w:val="0"/>
        <w:spacing w:before="0" w:after="0" w:line="240" w:lineRule="auto"/>
        <w:rPr>
          <w:rFonts w:ascii="p_{Êò" w:hAnsi="p_{Êò" w:cs="p_{Êò"/>
          <w:color w:val="000000"/>
          <w:lang w:val="en-GB"/>
        </w:rPr>
      </w:pPr>
    </w:p>
    <w:p w14:paraId="6AC4F62E"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2. The design will include a preliminary high-level review exploring opportunities to enhance the</w:t>
      </w:r>
    </w:p>
    <w:p w14:paraId="21253D25"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collective positive impact of Australia’s overall support to the education and skills sectors. This</w:t>
      </w:r>
    </w:p>
    <w:p w14:paraId="2CA786CA"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will involve increasing the coherence and coordination of Australia’s programming in these</w:t>
      </w:r>
    </w:p>
    <w:p w14:paraId="31EABEC3"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sectors, reflecting their joint positioning under the Vanuatu Ministry of Education and Training</w:t>
      </w:r>
    </w:p>
    <w:p w14:paraId="15A50E57"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w:t>
      </w:r>
      <w:proofErr w:type="spellStart"/>
      <w:r>
        <w:rPr>
          <w:rFonts w:ascii="p_{Êò" w:hAnsi="p_{Êò" w:cs="p_{Êò"/>
          <w:color w:val="212121"/>
          <w:lang w:val="en-GB"/>
        </w:rPr>
        <w:t>MoET</w:t>
      </w:r>
      <w:proofErr w:type="spellEnd"/>
      <w:r>
        <w:rPr>
          <w:rFonts w:ascii="p_{Êò" w:hAnsi="p_{Êò" w:cs="p_{Êò"/>
          <w:color w:val="212121"/>
          <w:lang w:val="en-GB"/>
        </w:rPr>
        <w:t>). Priority will be placed on identifying the strengths and areas for improvement of the</w:t>
      </w:r>
    </w:p>
    <w:p w14:paraId="7823EEBA"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current investments, so that lessons and gains generated by both can inform a more ‘</w:t>
      </w:r>
      <w:proofErr w:type="gramStart"/>
      <w:r>
        <w:rPr>
          <w:rFonts w:ascii="p_{Êò" w:hAnsi="p_{Êò" w:cs="p_{Êò"/>
          <w:color w:val="212121"/>
          <w:lang w:val="en-GB"/>
        </w:rPr>
        <w:t>joined-up</w:t>
      </w:r>
      <w:proofErr w:type="gramEnd"/>
      <w:r>
        <w:rPr>
          <w:rFonts w:ascii="p_{Êò" w:hAnsi="p_{Êò" w:cs="p_{Êò"/>
          <w:color w:val="212121"/>
          <w:lang w:val="en-GB"/>
        </w:rPr>
        <w:t>’</w:t>
      </w:r>
    </w:p>
    <w:p w14:paraId="158A4E95"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approach to Australia’s support to the national education and skills development system,</w:t>
      </w:r>
    </w:p>
    <w:p w14:paraId="75F56B17"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improved investment outcomes and potentially increased efficiencies. This may include an</w:t>
      </w:r>
    </w:p>
    <w:p w14:paraId="631A3DB3"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approach, for example, where the two programs are combined; the two programs are distinct</w:t>
      </w:r>
    </w:p>
    <w:p w14:paraId="00BDEF0C"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but have a shared implementation contractor and/or shared panel of technical assistance; or</w:t>
      </w:r>
    </w:p>
    <w:p w14:paraId="11884BDF"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retain their current respective implementation approaches.</w:t>
      </w:r>
    </w:p>
    <w:p w14:paraId="5D45DE5C" w14:textId="77777777" w:rsidR="00D963AE" w:rsidRDefault="00D963AE" w:rsidP="00D963AE">
      <w:pPr>
        <w:autoSpaceDE w:val="0"/>
        <w:autoSpaceDN w:val="0"/>
        <w:adjustRightInd w:val="0"/>
        <w:spacing w:before="0" w:after="0" w:line="240" w:lineRule="auto"/>
        <w:rPr>
          <w:rFonts w:ascii="p_{Êò" w:hAnsi="p_{Êò" w:cs="p_{Êò"/>
          <w:color w:val="212121"/>
          <w:lang w:val="en-GB"/>
        </w:rPr>
      </w:pPr>
    </w:p>
    <w:p w14:paraId="34D35972"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3. Following the preliminary review, there will be a ‘stop-go’ point, and the submission of a formal</w:t>
      </w:r>
    </w:p>
    <w:p w14:paraId="2B1B2892"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review report, including the recommended implementation/modality option, which will be</w:t>
      </w:r>
    </w:p>
    <w:p w14:paraId="4BF02312"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detailed in a comprehensive investment design document(s), to be tendered for implementation</w:t>
      </w:r>
    </w:p>
    <w:p w14:paraId="567E4A4F"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by June 2025. It is expected that the next phase of Australia’s bilateral commitment to basic</w:t>
      </w:r>
    </w:p>
    <w:p w14:paraId="45F595E9"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education and skills development in Vanuatu will extend until 2034.</w:t>
      </w:r>
    </w:p>
    <w:p w14:paraId="7E0DD75D" w14:textId="77777777" w:rsidR="00D963AE" w:rsidRDefault="00D963AE" w:rsidP="00D963AE">
      <w:pPr>
        <w:autoSpaceDE w:val="0"/>
        <w:autoSpaceDN w:val="0"/>
        <w:adjustRightInd w:val="0"/>
        <w:spacing w:before="0" w:after="0" w:line="240" w:lineRule="auto"/>
        <w:rPr>
          <w:rFonts w:ascii="p_{Êò" w:hAnsi="p_{Êò" w:cs="p_{Êò"/>
          <w:color w:val="212121"/>
          <w:lang w:val="en-GB"/>
        </w:rPr>
      </w:pPr>
    </w:p>
    <w:p w14:paraId="7984E3FB" w14:textId="77777777" w:rsidR="00D963AE" w:rsidRPr="00D963AE" w:rsidRDefault="00D963AE" w:rsidP="00D963AE">
      <w:pPr>
        <w:autoSpaceDE w:val="0"/>
        <w:autoSpaceDN w:val="0"/>
        <w:adjustRightInd w:val="0"/>
        <w:spacing w:before="0" w:after="0" w:line="240" w:lineRule="auto"/>
        <w:rPr>
          <w:rFonts w:ascii="p_{Êò" w:hAnsi="p_{Êò" w:cs="p_{Êò"/>
          <w:b/>
          <w:bCs/>
          <w:color w:val="000000"/>
          <w:lang w:val="en-GB"/>
        </w:rPr>
      </w:pPr>
      <w:r w:rsidRPr="00D963AE">
        <w:rPr>
          <w:rFonts w:ascii="p_{Êò" w:hAnsi="p_{Êò" w:cs="p_{Êò"/>
          <w:b/>
          <w:bCs/>
          <w:color w:val="000000"/>
          <w:lang w:val="en-GB"/>
        </w:rPr>
        <w:t>Background</w:t>
      </w:r>
    </w:p>
    <w:p w14:paraId="7A2B1A4D"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4. Australia is a longstanding partner and steadfast supporter of education and training in Vanuatu</w:t>
      </w:r>
    </w:p>
    <w:p w14:paraId="629D0191"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across ECE, primary schools and the skills/TVET sector. The Government of Vanuatu (</w:t>
      </w:r>
      <w:proofErr w:type="spellStart"/>
      <w:r>
        <w:rPr>
          <w:rFonts w:ascii="p_{Êò" w:hAnsi="p_{Êò" w:cs="p_{Êò"/>
          <w:color w:val="212121"/>
          <w:lang w:val="en-GB"/>
        </w:rPr>
        <w:t>GoV</w:t>
      </w:r>
      <w:proofErr w:type="spellEnd"/>
      <w:r>
        <w:rPr>
          <w:rFonts w:ascii="p_{Êò" w:hAnsi="p_{Êò" w:cs="p_{Êò"/>
          <w:color w:val="212121"/>
          <w:lang w:val="en-GB"/>
        </w:rPr>
        <w:t>) has</w:t>
      </w:r>
    </w:p>
    <w:p w14:paraId="3C5212C9"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named education as one of its top three priorities (alongside infrastructure and health) as a</w:t>
      </w:r>
    </w:p>
    <w:p w14:paraId="33A76D35"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foundational building block for the achievement of national development goals, and skills</w:t>
      </w:r>
    </w:p>
    <w:p w14:paraId="391548F8"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development as a central driver for inclusive economic growth and a dynamic private sector.</w:t>
      </w:r>
    </w:p>
    <w:p w14:paraId="009D2D36"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Both are strongly reflected in the National Sustainable Development Plan 2030 (NSDP).</w:t>
      </w:r>
    </w:p>
    <w:p w14:paraId="28DC1F4D"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However, the operational context and political economy in Vanuatu, as well as policy settings for</w:t>
      </w:r>
    </w:p>
    <w:p w14:paraId="1FA986AC"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both governments and the broader region, have evolved since the previous designs of both</w:t>
      </w:r>
    </w:p>
    <w:p w14:paraId="45A02E37"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VAESP and VSP. </w:t>
      </w:r>
      <w:proofErr w:type="gramStart"/>
      <w:r>
        <w:rPr>
          <w:rFonts w:ascii="p_{Êò" w:hAnsi="p_{Êò" w:cs="p_{Êò"/>
          <w:color w:val="212121"/>
          <w:lang w:val="en-GB"/>
        </w:rPr>
        <w:t>In particular, DFAT’s</w:t>
      </w:r>
      <w:proofErr w:type="gramEnd"/>
      <w:r>
        <w:rPr>
          <w:rFonts w:ascii="p_{Êò" w:hAnsi="p_{Êò" w:cs="p_{Êò"/>
          <w:color w:val="212121"/>
          <w:lang w:val="en-GB"/>
        </w:rPr>
        <w:t xml:space="preserve"> new International Development Policy and the Blue Pacific</w:t>
      </w:r>
    </w:p>
    <w:p w14:paraId="2D19DF3E"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2050 Strategy place a stronger emphasis on locally led development, as well as maximising</w:t>
      </w:r>
    </w:p>
    <w:p w14:paraId="549614DB"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w:t>
      </w:r>
      <w:proofErr w:type="gramStart"/>
      <w:r>
        <w:rPr>
          <w:rFonts w:ascii="p_{Êò" w:hAnsi="p_{Êò" w:cs="p_{Êò"/>
          <w:color w:val="212121"/>
          <w:lang w:val="en-GB"/>
        </w:rPr>
        <w:t>collective</w:t>
      </w:r>
      <w:proofErr w:type="gramEnd"/>
      <w:r>
        <w:rPr>
          <w:rFonts w:ascii="p_{Êò" w:hAnsi="p_{Êò" w:cs="p_{Êò"/>
          <w:color w:val="212121"/>
          <w:lang w:val="en-GB"/>
        </w:rPr>
        <w:t xml:space="preserve"> impact’ of donor investments. DFAT has also introduced new Tier 2 indicators as part</w:t>
      </w:r>
    </w:p>
    <w:p w14:paraId="1CAAEC67"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of the Performance Assessment Framework for the new policy, putting increased emphasis on</w:t>
      </w:r>
    </w:p>
    <w:p w14:paraId="643BF2E6"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measuring Australia’s contribution to learning outcomes, access to technical/vocational courses</w:t>
      </w:r>
    </w:p>
    <w:p w14:paraId="6AE24655"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and positive policy change. Currently, although VAESP and VSP operate within the policy</w:t>
      </w:r>
    </w:p>
    <w:p w14:paraId="05B1107C"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framework and priorities of the </w:t>
      </w:r>
      <w:proofErr w:type="spellStart"/>
      <w:r>
        <w:rPr>
          <w:rFonts w:ascii="p_{Êò" w:hAnsi="p_{Êò" w:cs="p_{Êò"/>
          <w:color w:val="212121"/>
          <w:lang w:val="en-GB"/>
        </w:rPr>
        <w:t>MoET</w:t>
      </w:r>
      <w:proofErr w:type="spellEnd"/>
      <w:r>
        <w:rPr>
          <w:rFonts w:ascii="p_{Êò" w:hAnsi="p_{Êò" w:cs="p_{Êò"/>
          <w:color w:val="212121"/>
          <w:lang w:val="en-GB"/>
        </w:rPr>
        <w:t>, they are implemented in relative isolation from each</w:t>
      </w:r>
    </w:p>
    <w:p w14:paraId="74D22435"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other, managed on behalf of DFAT by two distinct Australia-based contractors.</w:t>
      </w:r>
    </w:p>
    <w:p w14:paraId="44A23840" w14:textId="77777777" w:rsidR="00D963AE" w:rsidRDefault="00D963AE" w:rsidP="00D963AE">
      <w:pPr>
        <w:autoSpaceDE w:val="0"/>
        <w:autoSpaceDN w:val="0"/>
        <w:adjustRightInd w:val="0"/>
        <w:spacing w:before="0" w:after="0" w:line="240" w:lineRule="auto"/>
        <w:rPr>
          <w:rFonts w:ascii="p_{Êò" w:hAnsi="p_{Êò" w:cs="p_{Êò"/>
          <w:color w:val="212121"/>
          <w:lang w:val="en-GB"/>
        </w:rPr>
      </w:pPr>
    </w:p>
    <w:p w14:paraId="3CC40A2D"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5. The primary goal of VAESP is to support the </w:t>
      </w:r>
      <w:proofErr w:type="spellStart"/>
      <w:r>
        <w:rPr>
          <w:rFonts w:ascii="p_{Êò" w:hAnsi="p_{Êò" w:cs="p_{Êò"/>
          <w:color w:val="212121"/>
          <w:lang w:val="en-GB"/>
        </w:rPr>
        <w:t>MoET</w:t>
      </w:r>
      <w:proofErr w:type="spellEnd"/>
      <w:r>
        <w:rPr>
          <w:rFonts w:ascii="p_{Êò" w:hAnsi="p_{Êò" w:cs="p_{Êò"/>
          <w:color w:val="212121"/>
          <w:lang w:val="en-GB"/>
        </w:rPr>
        <w:t xml:space="preserve"> to achieve its goal of improving education</w:t>
      </w:r>
    </w:p>
    <w:p w14:paraId="47C7432E"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access, quality and management, as detailed in the Vanuatu Education and Training Sector</w:t>
      </w:r>
    </w:p>
    <w:p w14:paraId="52084F71" w14:textId="77D3E4AB" w:rsidR="00D963AE" w:rsidRP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Strategy and operationalised through the </w:t>
      </w:r>
      <w:proofErr w:type="spellStart"/>
      <w:r>
        <w:rPr>
          <w:rFonts w:ascii="p_{Êò" w:hAnsi="p_{Êò" w:cs="p_{Êò"/>
          <w:color w:val="212121"/>
          <w:lang w:val="en-GB"/>
        </w:rPr>
        <w:t>MoET's</w:t>
      </w:r>
      <w:proofErr w:type="spellEnd"/>
      <w:r>
        <w:rPr>
          <w:rFonts w:ascii="p_{Êò" w:hAnsi="p_{Êò" w:cs="p_{Êò"/>
          <w:color w:val="212121"/>
          <w:lang w:val="en-GB"/>
        </w:rPr>
        <w:t xml:space="preserve"> Corporate Plan. The central focus of VAESP is</w:t>
      </w:r>
    </w:p>
    <w:p w14:paraId="23DC76DF"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to support the </w:t>
      </w:r>
      <w:proofErr w:type="spellStart"/>
      <w:r>
        <w:rPr>
          <w:rFonts w:ascii="p_{Êò" w:hAnsi="p_{Êò" w:cs="p_{Êò"/>
          <w:color w:val="212121"/>
          <w:lang w:val="en-GB"/>
        </w:rPr>
        <w:t>MoET</w:t>
      </w:r>
      <w:proofErr w:type="spellEnd"/>
      <w:r>
        <w:rPr>
          <w:rFonts w:ascii="p_{Êò" w:hAnsi="p_{Êò" w:cs="p_{Êò"/>
          <w:color w:val="212121"/>
          <w:lang w:val="en-GB"/>
        </w:rPr>
        <w:t xml:space="preserve"> to improve education delivery and learning outcomes in schools from ECE</w:t>
      </w:r>
    </w:p>
    <w:p w14:paraId="5BC9142A"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to year 6. The program works to increase both access to education, through strengthening</w:t>
      </w:r>
    </w:p>
    <w:p w14:paraId="4C177037"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infrastructure and inclusive approaches, as well as the quality of education delivery, through</w:t>
      </w:r>
    </w:p>
    <w:p w14:paraId="3A38C978"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strengthening curriculum, teaching delivery and teacher management. VAESP also aims to</w:t>
      </w:r>
    </w:p>
    <w:p w14:paraId="2F95D21E"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support </w:t>
      </w:r>
      <w:proofErr w:type="spellStart"/>
      <w:r>
        <w:rPr>
          <w:rFonts w:ascii="p_{Êò" w:hAnsi="p_{Êò" w:cs="p_{Êò"/>
          <w:color w:val="212121"/>
          <w:lang w:val="en-GB"/>
        </w:rPr>
        <w:t>MoET’s</w:t>
      </w:r>
      <w:proofErr w:type="spellEnd"/>
      <w:r>
        <w:rPr>
          <w:rFonts w:ascii="p_{Êò" w:hAnsi="p_{Êò" w:cs="p_{Êò"/>
          <w:color w:val="212121"/>
          <w:lang w:val="en-GB"/>
        </w:rPr>
        <w:t xml:space="preserve"> devolution at provincial and school levels, for improved planning,</w:t>
      </w:r>
    </w:p>
    <w:p w14:paraId="21AA945A"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implementation and decision-making, as well as increased community and parental</w:t>
      </w:r>
    </w:p>
    <w:p w14:paraId="280A172A"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engagement. VAESP is embedded within the </w:t>
      </w:r>
      <w:proofErr w:type="spellStart"/>
      <w:r>
        <w:rPr>
          <w:rFonts w:ascii="p_{Êò" w:hAnsi="p_{Êò" w:cs="p_{Êò"/>
          <w:color w:val="212121"/>
          <w:lang w:val="en-GB"/>
        </w:rPr>
        <w:t>MoET</w:t>
      </w:r>
      <w:proofErr w:type="spellEnd"/>
      <w:r>
        <w:rPr>
          <w:rFonts w:ascii="p_{Êò" w:hAnsi="p_{Êò" w:cs="p_{Êò"/>
          <w:color w:val="212121"/>
          <w:lang w:val="en-GB"/>
        </w:rPr>
        <w:t xml:space="preserve"> and contributes to the sustainability of</w:t>
      </w:r>
    </w:p>
    <w:p w14:paraId="26277143"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outcomes by ensuring alignment with </w:t>
      </w:r>
      <w:proofErr w:type="spellStart"/>
      <w:r>
        <w:rPr>
          <w:rFonts w:ascii="p_{Êò" w:hAnsi="p_{Êò" w:cs="p_{Êò"/>
          <w:color w:val="212121"/>
          <w:lang w:val="en-GB"/>
        </w:rPr>
        <w:t>GoV</w:t>
      </w:r>
      <w:proofErr w:type="spellEnd"/>
      <w:r>
        <w:rPr>
          <w:rFonts w:ascii="p_{Êò" w:hAnsi="p_{Êò" w:cs="p_{Êò"/>
          <w:color w:val="212121"/>
          <w:lang w:val="en-GB"/>
        </w:rPr>
        <w:t xml:space="preserve"> priorities, staffing, timelines and activities. All VAESP</w:t>
      </w:r>
    </w:p>
    <w:p w14:paraId="5230EA5C"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plans and activities aim to feed into, support and enhance local systems and </w:t>
      </w:r>
      <w:proofErr w:type="spellStart"/>
      <w:r>
        <w:rPr>
          <w:rFonts w:ascii="p_{Êò" w:hAnsi="p_{Êò" w:cs="p_{Êò"/>
          <w:color w:val="212121"/>
          <w:lang w:val="en-GB"/>
        </w:rPr>
        <w:t>MoET</w:t>
      </w:r>
      <w:proofErr w:type="spellEnd"/>
      <w:r>
        <w:rPr>
          <w:rFonts w:ascii="p_{Êò" w:hAnsi="p_{Êò" w:cs="p_{Êò"/>
          <w:color w:val="212121"/>
          <w:lang w:val="en-GB"/>
        </w:rPr>
        <w:t xml:space="preserve"> leadership,</w:t>
      </w:r>
    </w:p>
    <w:p w14:paraId="399BAF27"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including supporting professional development of government staff.</w:t>
      </w:r>
    </w:p>
    <w:p w14:paraId="59731B7E" w14:textId="77777777" w:rsidR="00D963AE" w:rsidRDefault="00D963AE" w:rsidP="00D963AE">
      <w:pPr>
        <w:autoSpaceDE w:val="0"/>
        <w:autoSpaceDN w:val="0"/>
        <w:adjustRightInd w:val="0"/>
        <w:spacing w:before="0" w:after="0" w:line="240" w:lineRule="auto"/>
        <w:rPr>
          <w:rFonts w:ascii="p_{Êò" w:hAnsi="p_{Êò" w:cs="p_{Êò"/>
          <w:color w:val="212121"/>
          <w:lang w:val="en-GB"/>
        </w:rPr>
      </w:pPr>
    </w:p>
    <w:p w14:paraId="249B3BF1"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6. VSP is a locally led initiative that has established provincial Skills Centres (now integrated under</w:t>
      </w:r>
    </w:p>
    <w:p w14:paraId="72575F0B"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the Tertiary Education Directorate (TED) of the </w:t>
      </w:r>
      <w:proofErr w:type="spellStart"/>
      <w:r>
        <w:rPr>
          <w:rFonts w:ascii="p_{Êò" w:hAnsi="p_{Êò" w:cs="p_{Êò"/>
          <w:color w:val="212121"/>
          <w:lang w:val="en-GB"/>
        </w:rPr>
        <w:t>MoET</w:t>
      </w:r>
      <w:proofErr w:type="spellEnd"/>
      <w:r>
        <w:rPr>
          <w:rFonts w:ascii="p_{Êò" w:hAnsi="p_{Êò" w:cs="p_{Êò"/>
          <w:color w:val="212121"/>
          <w:lang w:val="en-GB"/>
        </w:rPr>
        <w:t>), which facilitate skills training and</w:t>
      </w:r>
    </w:p>
    <w:p w14:paraId="1CE628AD"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entrepreneurial support across key productive/industry sectors, in partnership with a range of</w:t>
      </w:r>
    </w:p>
    <w:p w14:paraId="44B33C1B" w14:textId="77777777" w:rsidR="00D963AE" w:rsidRDefault="00D963AE" w:rsidP="00D963AE">
      <w:pPr>
        <w:autoSpaceDE w:val="0"/>
        <w:autoSpaceDN w:val="0"/>
        <w:adjustRightInd w:val="0"/>
        <w:spacing w:before="0" w:after="0" w:line="240" w:lineRule="auto"/>
        <w:rPr>
          <w:rFonts w:ascii="p_{Êò" w:hAnsi="p_{Êò" w:cs="p_{Êò"/>
          <w:color w:val="212121"/>
          <w:lang w:val="en-GB"/>
        </w:rPr>
      </w:pPr>
      <w:proofErr w:type="spellStart"/>
      <w:r>
        <w:rPr>
          <w:rFonts w:ascii="p_{Êò" w:hAnsi="p_{Êò" w:cs="p_{Êò"/>
          <w:color w:val="212121"/>
          <w:lang w:val="en-GB"/>
        </w:rPr>
        <w:t>GoV</w:t>
      </w:r>
      <w:proofErr w:type="spellEnd"/>
      <w:r>
        <w:rPr>
          <w:rFonts w:ascii="p_{Êò" w:hAnsi="p_{Êò" w:cs="p_{Êò"/>
          <w:color w:val="212121"/>
          <w:lang w:val="en-GB"/>
        </w:rPr>
        <w:t xml:space="preserve"> ministries and all provincial governments. The two government agency counterparts for VSP</w:t>
      </w:r>
    </w:p>
    <w:p w14:paraId="2B15A7AF"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 xml:space="preserve">are the </w:t>
      </w:r>
      <w:proofErr w:type="spellStart"/>
      <w:r>
        <w:rPr>
          <w:rFonts w:ascii="p_{Êò" w:hAnsi="p_{Êò" w:cs="p_{Êò"/>
          <w:color w:val="212121"/>
          <w:lang w:val="en-GB"/>
        </w:rPr>
        <w:t>MoET</w:t>
      </w:r>
      <w:proofErr w:type="spellEnd"/>
      <w:r>
        <w:rPr>
          <w:rFonts w:ascii="p_{Êò" w:hAnsi="p_{Êò" w:cs="p_{Êò"/>
          <w:color w:val="212121"/>
          <w:lang w:val="en-GB"/>
        </w:rPr>
        <w:t xml:space="preserve"> and the Prime Minister’s Office (PMO) and all results are tracked against the aims</w:t>
      </w:r>
    </w:p>
    <w:p w14:paraId="78CEB02C"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of the NSDP. VSP has a strong focus on ‘leadership incubation’, supporting reformists at both</w:t>
      </w:r>
    </w:p>
    <w:p w14:paraId="2C4992C1"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provincial and national level to build coalitions to address challenges in the supply of in-demand</w:t>
      </w:r>
    </w:p>
    <w:p w14:paraId="1D8FB8E0"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skills for inclusive economic results. At the same time as maximising economic results, VSP seeks</w:t>
      </w:r>
    </w:p>
    <w:p w14:paraId="2DB43D25"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to strengthen the quality of, and access to, local training delivery and the governance of the</w:t>
      </w:r>
    </w:p>
    <w:p w14:paraId="769A9120"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national skills development system. VSP also works directly with schools through its ‘TVET in</w:t>
      </w:r>
    </w:p>
    <w:p w14:paraId="22BE6CEA"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School’ and ‘Farm to School’ initiatives. VSP uses an innovative ‘Support Contractor’ modality</w:t>
      </w:r>
    </w:p>
    <w:p w14:paraId="7E65233F"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and has been recognised by DFAT as an example of locally led development cooperation that has</w:t>
      </w:r>
    </w:p>
    <w:p w14:paraId="09062AB7"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achieved strong results, particularly at the provincial level.</w:t>
      </w:r>
    </w:p>
    <w:p w14:paraId="42BEBB9A" w14:textId="77777777" w:rsidR="00D963AE" w:rsidRDefault="00D963AE" w:rsidP="00D963AE">
      <w:pPr>
        <w:autoSpaceDE w:val="0"/>
        <w:autoSpaceDN w:val="0"/>
        <w:adjustRightInd w:val="0"/>
        <w:spacing w:before="0" w:after="0" w:line="240" w:lineRule="auto"/>
        <w:rPr>
          <w:rFonts w:ascii="p_{Êò" w:hAnsi="p_{Êò" w:cs="p_{Êò"/>
          <w:color w:val="212121"/>
          <w:lang w:val="en-GB"/>
        </w:rPr>
      </w:pPr>
    </w:p>
    <w:p w14:paraId="4CA167A6"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7. The new investments in education and skills will be guided by the Vanuatu Government</w:t>
      </w:r>
    </w:p>
    <w:p w14:paraId="67123BD8"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priorities as articulated in the NSDP, the Vanuatu Education and Training Sector Strategy, and</w:t>
      </w:r>
    </w:p>
    <w:p w14:paraId="418EC6EE"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the National Skills Development Policy (2023-2030). They will also be informed by and reflect the</w:t>
      </w:r>
    </w:p>
    <w:p w14:paraId="1D725CCC" w14:textId="77777777" w:rsidR="00D963AE" w:rsidRDefault="00D963AE" w:rsidP="00D963AE">
      <w:pPr>
        <w:autoSpaceDE w:val="0"/>
        <w:autoSpaceDN w:val="0"/>
        <w:adjustRightInd w:val="0"/>
        <w:spacing w:before="0" w:after="0" w:line="240" w:lineRule="auto"/>
        <w:rPr>
          <w:rFonts w:ascii="p_{Êò" w:hAnsi="p_{Êò" w:cs="p_{Êò"/>
          <w:color w:val="212121"/>
          <w:lang w:val="en-GB"/>
        </w:rPr>
      </w:pPr>
      <w:r>
        <w:rPr>
          <w:rFonts w:ascii="p_{Êò" w:hAnsi="p_{Êò" w:cs="p_{Êò"/>
          <w:color w:val="212121"/>
          <w:lang w:val="en-GB"/>
        </w:rPr>
        <w:t>priorities of Australia’s International Development Policy and the new Vanuatu Australia</w:t>
      </w:r>
    </w:p>
    <w:p w14:paraId="475ECAC3"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212121"/>
          <w:lang w:val="en-GB"/>
        </w:rPr>
        <w:t xml:space="preserve">Development Partnership Plan (2024-2030), as well as DFAT’s </w:t>
      </w:r>
      <w:r>
        <w:rPr>
          <w:rFonts w:ascii="p_{Êò" w:hAnsi="p_{Êò" w:cs="p_{Êò"/>
          <w:color w:val="000000"/>
          <w:lang w:val="en-GB"/>
        </w:rPr>
        <w:t>forthcoming Gender Equality</w:t>
      </w:r>
    </w:p>
    <w:p w14:paraId="1A956DB7"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Strategy (including the mandatory requirement for investments over $3 million to specifically</w:t>
      </w:r>
    </w:p>
    <w:p w14:paraId="719EB4E8"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include gender equality at the outcome or intermediate outcome level) and Disability Equity</w:t>
      </w:r>
    </w:p>
    <w:p w14:paraId="708F27A8"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Strategy.</w:t>
      </w:r>
    </w:p>
    <w:p w14:paraId="20F28849" w14:textId="77777777" w:rsidR="00D963AE" w:rsidRDefault="00D963AE" w:rsidP="00D963AE">
      <w:pPr>
        <w:autoSpaceDE w:val="0"/>
        <w:autoSpaceDN w:val="0"/>
        <w:adjustRightInd w:val="0"/>
        <w:spacing w:before="0" w:after="0" w:line="240" w:lineRule="auto"/>
        <w:rPr>
          <w:rFonts w:ascii="p_{Êò" w:hAnsi="p_{Êò" w:cs="p_{Êò"/>
          <w:color w:val="000000"/>
          <w:lang w:val="en-GB"/>
        </w:rPr>
      </w:pPr>
    </w:p>
    <w:p w14:paraId="3EF15024"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8. Both VAESP and VSP have undertaken independent evaluations (in 2021 and 2022 respectively),</w:t>
      </w:r>
    </w:p>
    <w:p w14:paraId="4A9C5583"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along with annual Investment Monitoring Reports, which detail strengths, weaknesses, and</w:t>
      </w:r>
    </w:p>
    <w:p w14:paraId="6A8953A9"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opportunities for improvement. Both programs are managed adaptively, with key documentation</w:t>
      </w:r>
    </w:p>
    <w:p w14:paraId="315B68C4"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(e.g.: Annual Plans and Monitoring and Evaluation Plans) capturing how learnings are informing</w:t>
      </w:r>
    </w:p>
    <w:p w14:paraId="1ACEF009"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revisions to implementation approaches. This documentation, alongside key stakeholder</w:t>
      </w:r>
    </w:p>
    <w:p w14:paraId="0FDB5207"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consultations, will provide a strong basis for the preliminary high-level review as part of the design</w:t>
      </w:r>
    </w:p>
    <w:p w14:paraId="6BE69854"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process.</w:t>
      </w:r>
    </w:p>
    <w:p w14:paraId="0F4CA23E" w14:textId="77777777" w:rsidR="00D963AE" w:rsidRDefault="00D963AE" w:rsidP="00D963AE">
      <w:pPr>
        <w:autoSpaceDE w:val="0"/>
        <w:autoSpaceDN w:val="0"/>
        <w:adjustRightInd w:val="0"/>
        <w:spacing w:before="0" w:after="0" w:line="240" w:lineRule="auto"/>
        <w:rPr>
          <w:rFonts w:ascii="p_{Êò" w:hAnsi="p_{Êò" w:cs="p_{Êò"/>
          <w:color w:val="000000"/>
          <w:lang w:val="en-GB"/>
        </w:rPr>
      </w:pPr>
    </w:p>
    <w:p w14:paraId="086EBACA"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 xml:space="preserve">9. There are also </w:t>
      </w:r>
      <w:proofErr w:type="gramStart"/>
      <w:r>
        <w:rPr>
          <w:rFonts w:ascii="p_{Êò" w:hAnsi="p_{Êò" w:cs="p_{Êò"/>
          <w:color w:val="000000"/>
          <w:lang w:val="en-GB"/>
        </w:rPr>
        <w:t>a number of</w:t>
      </w:r>
      <w:proofErr w:type="gramEnd"/>
      <w:r>
        <w:rPr>
          <w:rFonts w:ascii="p_{Êò" w:hAnsi="p_{Êò" w:cs="p_{Êò"/>
          <w:color w:val="000000"/>
          <w:lang w:val="en-GB"/>
        </w:rPr>
        <w:t xml:space="preserve"> other investments in Vanuatu supported by Australia as well as other</w:t>
      </w:r>
    </w:p>
    <w:p w14:paraId="1B009CFE"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donors in the education and skills development sectors. These include Australia Awards</w:t>
      </w:r>
    </w:p>
    <w:p w14:paraId="01938C4D"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scholarships, Global Partnership for Education, the forthcoming successor to the Australia-Pacific</w:t>
      </w:r>
    </w:p>
    <w:p w14:paraId="147A1927"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Training Coalition (APTC) – the Pacific Australia Skills Platform (PASP), New Zealand’s support to</w:t>
      </w:r>
    </w:p>
    <w:p w14:paraId="2B23A2F8"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the secondary education sub-sector, the forthcoming ADB-funded Supporting the Delivery of Skills</w:t>
      </w:r>
    </w:p>
    <w:p w14:paraId="112FD31C"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Project and regional initiatives including Australia’s support to the Pacific Regional Education</w:t>
      </w:r>
    </w:p>
    <w:p w14:paraId="72C28E2E"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Framework (</w:t>
      </w:r>
      <w:proofErr w:type="spellStart"/>
      <w:r>
        <w:rPr>
          <w:rFonts w:ascii="p_{Êò" w:hAnsi="p_{Êò" w:cs="p_{Êò"/>
          <w:color w:val="000000"/>
          <w:lang w:val="en-GB"/>
        </w:rPr>
        <w:t>PacREF</w:t>
      </w:r>
      <w:proofErr w:type="spellEnd"/>
      <w:r>
        <w:rPr>
          <w:rFonts w:ascii="p_{Êò" w:hAnsi="p_{Êò" w:cs="p_{Êò"/>
          <w:color w:val="000000"/>
          <w:lang w:val="en-GB"/>
        </w:rPr>
        <w:t>) and SPC’s Education and Quality Assessment Programme (EQAP). The new</w:t>
      </w:r>
    </w:p>
    <w:p w14:paraId="2CD57B54"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phases of VAESP and VSP will seek to maximise coordination and harmonisation with these</w:t>
      </w:r>
    </w:p>
    <w:p w14:paraId="14E90415"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initiatives also for optimal impact.</w:t>
      </w:r>
    </w:p>
    <w:p w14:paraId="1BE2BE07" w14:textId="77777777" w:rsidR="00D963AE" w:rsidRDefault="00D963AE" w:rsidP="00D963AE">
      <w:pPr>
        <w:autoSpaceDE w:val="0"/>
        <w:autoSpaceDN w:val="0"/>
        <w:adjustRightInd w:val="0"/>
        <w:spacing w:before="0" w:after="0" w:line="240" w:lineRule="auto"/>
        <w:rPr>
          <w:rFonts w:ascii="p_{Êò" w:hAnsi="p_{Êò" w:cs="p_{Êò"/>
          <w:color w:val="000000"/>
          <w:sz w:val="20"/>
          <w:szCs w:val="20"/>
          <w:lang w:val="en-GB"/>
        </w:rPr>
      </w:pPr>
    </w:p>
    <w:p w14:paraId="3CCACA1F" w14:textId="34682F13" w:rsidR="00D963AE" w:rsidRPr="00D963AE" w:rsidRDefault="00D963AE" w:rsidP="00D963AE">
      <w:pPr>
        <w:autoSpaceDE w:val="0"/>
        <w:autoSpaceDN w:val="0"/>
        <w:adjustRightInd w:val="0"/>
        <w:spacing w:before="0" w:after="0" w:line="240" w:lineRule="auto"/>
        <w:rPr>
          <w:rFonts w:ascii="p_{Êò" w:hAnsi="p_{Êò" w:cs="p_{Êò"/>
          <w:b/>
          <w:bCs/>
          <w:color w:val="000000"/>
          <w:lang w:val="en-GB"/>
        </w:rPr>
      </w:pPr>
      <w:r w:rsidRPr="00D963AE">
        <w:rPr>
          <w:rFonts w:ascii="p_{Êò" w:hAnsi="p_{Êò" w:cs="p_{Êò"/>
          <w:b/>
          <w:bCs/>
          <w:color w:val="000000"/>
          <w:lang w:val="en-GB"/>
        </w:rPr>
        <w:t>SCOPE OF THE DESIGN</w:t>
      </w:r>
    </w:p>
    <w:p w14:paraId="4AB8E692"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10. The design process will incorporate two interrelated phases:</w:t>
      </w:r>
    </w:p>
    <w:p w14:paraId="422EFBBE" w14:textId="77777777" w:rsidR="00D963AE" w:rsidRDefault="00D963AE" w:rsidP="00D963AE">
      <w:pPr>
        <w:autoSpaceDE w:val="0"/>
        <w:autoSpaceDN w:val="0"/>
        <w:adjustRightInd w:val="0"/>
        <w:spacing w:before="0" w:after="0" w:line="240" w:lineRule="auto"/>
        <w:rPr>
          <w:rFonts w:ascii="p_{Êò" w:hAnsi="p_{Êò" w:cs="p_{Êò"/>
          <w:color w:val="000000"/>
          <w:lang w:val="en-GB"/>
        </w:rPr>
      </w:pPr>
    </w:p>
    <w:p w14:paraId="32724AAD"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a. High-level review of the current VAESP and VSP programs, including desk-based analysis</w:t>
      </w:r>
    </w:p>
    <w:p w14:paraId="65A7AE4E"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 xml:space="preserve">of key review and monitoring and evaluation documentation validated by virtual and </w:t>
      </w:r>
      <w:proofErr w:type="spellStart"/>
      <w:r>
        <w:rPr>
          <w:rFonts w:ascii="p_{Êò" w:hAnsi="p_{Êò" w:cs="p_{Êò"/>
          <w:color w:val="000000"/>
          <w:lang w:val="en-GB"/>
        </w:rPr>
        <w:t>incountry</w:t>
      </w:r>
      <w:proofErr w:type="spellEnd"/>
    </w:p>
    <w:p w14:paraId="6CD6CFE8"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stakeholder consultations, to inform the new design.</w:t>
      </w:r>
    </w:p>
    <w:p w14:paraId="6E124C73" w14:textId="77777777" w:rsidR="00D963AE" w:rsidRDefault="00D963AE" w:rsidP="00D963AE">
      <w:pPr>
        <w:autoSpaceDE w:val="0"/>
        <w:autoSpaceDN w:val="0"/>
        <w:adjustRightInd w:val="0"/>
        <w:spacing w:before="0" w:after="0" w:line="240" w:lineRule="auto"/>
        <w:rPr>
          <w:rFonts w:ascii="p_{Êò" w:hAnsi="p_{Êò" w:cs="p_{Êò"/>
          <w:color w:val="000000"/>
          <w:lang w:val="en-GB"/>
        </w:rPr>
      </w:pPr>
    </w:p>
    <w:p w14:paraId="07F2F4DD"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b. Preparation of the design of the new phases of support for both the basic education and</w:t>
      </w:r>
    </w:p>
    <w:p w14:paraId="0EA88640"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skills development sectors, as either an integrated Investment Design Document (IDD) or</w:t>
      </w:r>
    </w:p>
    <w:p w14:paraId="7232EF0F"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two connected, but separate, IDDs. Should the latter option be selected, the same design</w:t>
      </w:r>
    </w:p>
    <w:p w14:paraId="2709F9ED"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team will be responsible for both IDDs to maximise coherence and coordination, as well</w:t>
      </w:r>
    </w:p>
    <w:p w14:paraId="44C5CD18"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as resourcing efficiencies for DFAT.</w:t>
      </w:r>
    </w:p>
    <w:p w14:paraId="7D116B3D" w14:textId="77777777" w:rsidR="00D963AE" w:rsidRDefault="00D963AE" w:rsidP="00D963AE">
      <w:pPr>
        <w:autoSpaceDE w:val="0"/>
        <w:autoSpaceDN w:val="0"/>
        <w:adjustRightInd w:val="0"/>
        <w:spacing w:before="0" w:after="0" w:line="240" w:lineRule="auto"/>
        <w:rPr>
          <w:rFonts w:ascii="p_{Êò" w:hAnsi="p_{Êò" w:cs="p_{Êò"/>
          <w:color w:val="000000"/>
          <w:lang w:val="en-GB"/>
        </w:rPr>
      </w:pPr>
    </w:p>
    <w:p w14:paraId="7359DCF2"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The decision as to which IDD option will be most appropriate will be made by DFAT Port Vila Post,</w:t>
      </w:r>
    </w:p>
    <w:p w14:paraId="597E17D7"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based on the findings and recommendations of the high-level review.</w:t>
      </w:r>
    </w:p>
    <w:p w14:paraId="138C65F7" w14:textId="77777777" w:rsidR="00D963AE" w:rsidRDefault="00D963AE" w:rsidP="00D963AE">
      <w:pPr>
        <w:autoSpaceDE w:val="0"/>
        <w:autoSpaceDN w:val="0"/>
        <w:adjustRightInd w:val="0"/>
        <w:spacing w:before="0" w:after="0" w:line="240" w:lineRule="auto"/>
        <w:rPr>
          <w:rFonts w:ascii="p_{Êò" w:hAnsi="p_{Êò" w:cs="p_{Êò"/>
          <w:color w:val="000000"/>
          <w:lang w:val="en-GB"/>
        </w:rPr>
      </w:pPr>
    </w:p>
    <w:p w14:paraId="55656A8C"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11. The design team will be guided and supported throughout the process by the DFAT Post Education</w:t>
      </w:r>
    </w:p>
    <w:p w14:paraId="2EB555BA"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and Skills team, Post’s Education and Skills Adviser and Canberra’s Design and Education Advisory</w:t>
      </w:r>
    </w:p>
    <w:p w14:paraId="7DA68461" w14:textId="77777777" w:rsid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color w:val="000000"/>
          <w:lang w:val="en-GB"/>
        </w:rPr>
        <w:t>Services.</w:t>
      </w:r>
    </w:p>
    <w:p w14:paraId="35526110" w14:textId="77777777" w:rsidR="00D963AE" w:rsidRDefault="00D963AE" w:rsidP="00D963AE">
      <w:pPr>
        <w:autoSpaceDE w:val="0"/>
        <w:autoSpaceDN w:val="0"/>
        <w:adjustRightInd w:val="0"/>
        <w:spacing w:before="0" w:after="0" w:line="240" w:lineRule="auto"/>
        <w:rPr>
          <w:rFonts w:ascii="p_{Êò" w:hAnsi="p_{Êò" w:cs="p_{Êò"/>
          <w:color w:val="000000"/>
          <w:lang w:val="en-GB"/>
        </w:rPr>
      </w:pPr>
    </w:p>
    <w:p w14:paraId="783165D6" w14:textId="77777777" w:rsidR="00D963AE" w:rsidRPr="00D963AE" w:rsidRDefault="00D963AE" w:rsidP="00D963AE">
      <w:pPr>
        <w:autoSpaceDE w:val="0"/>
        <w:autoSpaceDN w:val="0"/>
        <w:adjustRightInd w:val="0"/>
        <w:spacing w:before="0" w:after="0" w:line="240" w:lineRule="auto"/>
        <w:rPr>
          <w:rFonts w:ascii="p_{Êò" w:hAnsi="p_{Êò" w:cs="p_{Êò"/>
          <w:b/>
          <w:bCs/>
          <w:color w:val="000000"/>
          <w:lang w:val="en-GB"/>
        </w:rPr>
      </w:pPr>
      <w:r w:rsidRPr="00D963AE">
        <w:rPr>
          <w:rFonts w:ascii="p_{Êò" w:hAnsi="p_{Êò" w:cs="p_{Êò"/>
          <w:b/>
          <w:bCs/>
          <w:color w:val="000000"/>
          <w:lang w:val="en-GB"/>
        </w:rPr>
        <w:t>High Level Review</w:t>
      </w:r>
    </w:p>
    <w:p w14:paraId="72BD9820"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12. The primary purpose of the high-level review is to identify:</w:t>
      </w:r>
    </w:p>
    <w:p w14:paraId="0A4F525C" w14:textId="77777777" w:rsidR="00D963AE" w:rsidRDefault="00D963AE" w:rsidP="00D963AE">
      <w:pPr>
        <w:autoSpaceDE w:val="0"/>
        <w:autoSpaceDN w:val="0"/>
        <w:adjustRightInd w:val="0"/>
        <w:spacing w:before="0" w:after="0" w:line="240" w:lineRule="auto"/>
        <w:rPr>
          <w:rFonts w:ascii="p_{Êò" w:hAnsi="p_{Êò" w:cs="p_{Êò"/>
          <w:lang w:val="en-GB"/>
        </w:rPr>
      </w:pPr>
    </w:p>
    <w:p w14:paraId="6E81FC55" w14:textId="1F524A80" w:rsidR="00D963AE" w:rsidRPr="00D963AE" w:rsidRDefault="00D963AE" w:rsidP="00D963AE">
      <w:pPr>
        <w:pStyle w:val="ListParagraph"/>
        <w:numPr>
          <w:ilvl w:val="1"/>
          <w:numId w:val="9"/>
        </w:numPr>
        <w:autoSpaceDE w:val="0"/>
        <w:autoSpaceDN w:val="0"/>
        <w:adjustRightInd w:val="0"/>
        <w:spacing w:before="0" w:after="0" w:line="240" w:lineRule="auto"/>
        <w:rPr>
          <w:rFonts w:ascii="p_{Êò" w:hAnsi="p_{Êò" w:cs="p_{Êò"/>
          <w:lang w:val="en-GB"/>
        </w:rPr>
      </w:pPr>
      <w:r w:rsidRPr="00D963AE">
        <w:rPr>
          <w:rFonts w:ascii="p_{Êò" w:hAnsi="p_{Êò" w:cs="p_{Êò"/>
          <w:lang w:val="en-GB"/>
        </w:rPr>
        <w:t>The key strengths and factors of success of both the VAESP and VSP programs.</w:t>
      </w:r>
    </w:p>
    <w:p w14:paraId="369F7B84" w14:textId="77777777" w:rsidR="00D963AE" w:rsidRPr="00D963AE" w:rsidRDefault="00D963AE" w:rsidP="00D963AE">
      <w:pPr>
        <w:pStyle w:val="ListParagraph"/>
        <w:numPr>
          <w:ilvl w:val="1"/>
          <w:numId w:val="9"/>
        </w:numPr>
        <w:autoSpaceDE w:val="0"/>
        <w:autoSpaceDN w:val="0"/>
        <w:adjustRightInd w:val="0"/>
        <w:spacing w:before="0" w:after="0" w:line="240" w:lineRule="auto"/>
        <w:rPr>
          <w:rFonts w:ascii="p_{Êò" w:hAnsi="p_{Êò" w:cs="p_{Êò"/>
          <w:lang w:val="en-GB"/>
        </w:rPr>
      </w:pPr>
    </w:p>
    <w:p w14:paraId="0BBA3AB3"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 xml:space="preserve">b. Areas for improvement for both programs </w:t>
      </w:r>
      <w:proofErr w:type="gramStart"/>
      <w:r>
        <w:rPr>
          <w:rFonts w:ascii="p_{Êò" w:hAnsi="p_{Êò" w:cs="p_{Êò"/>
          <w:lang w:val="en-GB"/>
        </w:rPr>
        <w:t>with regard to</w:t>
      </w:r>
      <w:proofErr w:type="gramEnd"/>
      <w:r>
        <w:rPr>
          <w:rFonts w:ascii="p_{Êò" w:hAnsi="p_{Êò" w:cs="p_{Êò"/>
          <w:lang w:val="en-GB"/>
        </w:rPr>
        <w:t xml:space="preserve"> the achievement of</w:t>
      </w:r>
    </w:p>
    <w:p w14:paraId="026A9536"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development outcomes and impact in line with their respective current Theories of</w:t>
      </w:r>
    </w:p>
    <w:p w14:paraId="4DEAE43A"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Change.</w:t>
      </w:r>
    </w:p>
    <w:p w14:paraId="595B86FC" w14:textId="77777777" w:rsidR="00D963AE" w:rsidRDefault="00D963AE" w:rsidP="00D963AE">
      <w:pPr>
        <w:autoSpaceDE w:val="0"/>
        <w:autoSpaceDN w:val="0"/>
        <w:adjustRightInd w:val="0"/>
        <w:spacing w:before="0" w:after="0" w:line="240" w:lineRule="auto"/>
        <w:rPr>
          <w:rFonts w:ascii="p_{Êò" w:hAnsi="p_{Êò" w:cs="p_{Êò"/>
          <w:lang w:val="en-GB"/>
        </w:rPr>
      </w:pPr>
    </w:p>
    <w:p w14:paraId="474253F9"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c. Opportunities to maximise strengths and learnings from both programs, and address</w:t>
      </w:r>
    </w:p>
    <w:p w14:paraId="569C4C33"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areas of weakness, including through improved coordination and coherence, as well as</w:t>
      </w:r>
    </w:p>
    <w:p w14:paraId="45242B13"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 xml:space="preserve">greater alignment with </w:t>
      </w:r>
      <w:proofErr w:type="spellStart"/>
      <w:r>
        <w:rPr>
          <w:rFonts w:ascii="p_{Êò" w:hAnsi="p_{Êò" w:cs="p_{Êò"/>
          <w:lang w:val="en-GB"/>
        </w:rPr>
        <w:t>GoV</w:t>
      </w:r>
      <w:proofErr w:type="spellEnd"/>
      <w:r>
        <w:rPr>
          <w:rFonts w:ascii="p_{Êò" w:hAnsi="p_{Êò" w:cs="p_{Êò"/>
          <w:lang w:val="en-GB"/>
        </w:rPr>
        <w:t xml:space="preserve"> and DFAT’s new policy settings.</w:t>
      </w:r>
    </w:p>
    <w:p w14:paraId="27A74920" w14:textId="77777777" w:rsidR="00D963AE" w:rsidRDefault="00D963AE" w:rsidP="00D963AE">
      <w:pPr>
        <w:autoSpaceDE w:val="0"/>
        <w:autoSpaceDN w:val="0"/>
        <w:adjustRightInd w:val="0"/>
        <w:spacing w:before="0" w:after="0" w:line="240" w:lineRule="auto"/>
        <w:rPr>
          <w:rFonts w:ascii="p_{Êò" w:hAnsi="p_{Êò" w:cs="p_{Êò"/>
          <w:lang w:val="en-GB"/>
        </w:rPr>
      </w:pPr>
    </w:p>
    <w:p w14:paraId="17955CFC"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d. Practical strategies to operationalise improved coordination and coherence through the</w:t>
      </w:r>
    </w:p>
    <w:p w14:paraId="581CE44C"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design of the next phases of investment, while protecting and building on gains made to</w:t>
      </w:r>
    </w:p>
    <w:p w14:paraId="676F0CA7"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date, and a recommended implementation modality and approach.</w:t>
      </w:r>
    </w:p>
    <w:p w14:paraId="42E891FF" w14:textId="77777777" w:rsidR="00D963AE" w:rsidRDefault="00D963AE" w:rsidP="00D963AE">
      <w:pPr>
        <w:autoSpaceDE w:val="0"/>
        <w:autoSpaceDN w:val="0"/>
        <w:adjustRightInd w:val="0"/>
        <w:spacing w:before="0" w:after="0" w:line="240" w:lineRule="auto"/>
        <w:rPr>
          <w:rFonts w:ascii="p_{Êò" w:hAnsi="p_{Êò" w:cs="p_{Êò"/>
          <w:lang w:val="en-GB"/>
        </w:rPr>
      </w:pPr>
    </w:p>
    <w:p w14:paraId="2A4542BA"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e. Recommended approach to the preparation of the IDD – either as a single IDD that</w:t>
      </w:r>
    </w:p>
    <w:p w14:paraId="3E1DAE2A"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 xml:space="preserve">integrates investments in both sectors, </w:t>
      </w:r>
      <w:proofErr w:type="gramStart"/>
      <w:r>
        <w:rPr>
          <w:rFonts w:ascii="p_{Êò" w:hAnsi="p_{Êò" w:cs="p_{Êò"/>
          <w:lang w:val="en-GB"/>
        </w:rPr>
        <w:t>or</w:t>
      </w:r>
      <w:proofErr w:type="gramEnd"/>
      <w:r>
        <w:rPr>
          <w:rFonts w:ascii="p_{Êò" w:hAnsi="p_{Êò" w:cs="p_{Êò"/>
          <w:lang w:val="en-GB"/>
        </w:rPr>
        <w:t xml:space="preserve"> as connected but stand-alone IDDs.</w:t>
      </w:r>
    </w:p>
    <w:p w14:paraId="3A1CA94F" w14:textId="77777777" w:rsidR="00D963AE" w:rsidRDefault="00D963AE" w:rsidP="00D963AE">
      <w:pPr>
        <w:autoSpaceDE w:val="0"/>
        <w:autoSpaceDN w:val="0"/>
        <w:adjustRightInd w:val="0"/>
        <w:spacing w:before="0" w:after="0" w:line="240" w:lineRule="auto"/>
        <w:rPr>
          <w:rFonts w:ascii="p_{Êò" w:hAnsi="p_{Êò" w:cs="p_{Êò"/>
          <w:lang w:val="en-GB"/>
        </w:rPr>
      </w:pPr>
    </w:p>
    <w:p w14:paraId="13AF5DDF"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f. If a single IDD is selected, options as to the extent of integration between the two</w:t>
      </w:r>
    </w:p>
    <w:p w14:paraId="49B0FAF8"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investments.</w:t>
      </w:r>
    </w:p>
    <w:p w14:paraId="7B077F19" w14:textId="77777777" w:rsidR="00D963AE" w:rsidRDefault="00D963AE" w:rsidP="00D963AE">
      <w:pPr>
        <w:autoSpaceDE w:val="0"/>
        <w:autoSpaceDN w:val="0"/>
        <w:adjustRightInd w:val="0"/>
        <w:spacing w:before="0" w:after="0" w:line="240" w:lineRule="auto"/>
        <w:rPr>
          <w:rFonts w:ascii="p_{Êò" w:hAnsi="p_{Êò" w:cs="p_{Êò"/>
          <w:lang w:val="en-GB"/>
        </w:rPr>
      </w:pPr>
    </w:p>
    <w:p w14:paraId="2598D676"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13. To identify the above data and make evidence-based recommendations, the design team will</w:t>
      </w:r>
    </w:p>
    <w:p w14:paraId="73682297"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undertake a desk-based analysis of key review and reporting documentation, which will then be</w:t>
      </w:r>
    </w:p>
    <w:p w14:paraId="7D03DDC2"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complemented and validated by in-Australia and in-Vanuatu consultations with key stakeholders</w:t>
      </w:r>
    </w:p>
    <w:p w14:paraId="185F52B1"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(virtual and in-person).</w:t>
      </w:r>
    </w:p>
    <w:p w14:paraId="207F7EC5" w14:textId="77777777" w:rsidR="00D963AE" w:rsidRDefault="00D963AE" w:rsidP="00D963AE">
      <w:pPr>
        <w:autoSpaceDE w:val="0"/>
        <w:autoSpaceDN w:val="0"/>
        <w:adjustRightInd w:val="0"/>
        <w:spacing w:before="0" w:after="0" w:line="240" w:lineRule="auto"/>
        <w:rPr>
          <w:rFonts w:ascii="p_{Êò" w:hAnsi="p_{Êò" w:cs="p_{Êò"/>
          <w:lang w:val="en-GB"/>
        </w:rPr>
      </w:pPr>
    </w:p>
    <w:p w14:paraId="1BF4037B"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14. The high-level review will be compiled into a draft report clearly addressing points a)-f) above, for</w:t>
      </w:r>
    </w:p>
    <w:p w14:paraId="7B363B7B"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feedback and approval by DFAT Post.</w:t>
      </w:r>
    </w:p>
    <w:p w14:paraId="14D61053" w14:textId="77777777" w:rsidR="00D963AE" w:rsidRDefault="00D963AE" w:rsidP="00D963AE">
      <w:pPr>
        <w:autoSpaceDE w:val="0"/>
        <w:autoSpaceDN w:val="0"/>
        <w:adjustRightInd w:val="0"/>
        <w:spacing w:before="0" w:after="0" w:line="240" w:lineRule="auto"/>
        <w:rPr>
          <w:rFonts w:ascii="p_{Êò" w:hAnsi="p_{Êò" w:cs="p_{Êò"/>
          <w:lang w:val="en-GB"/>
        </w:rPr>
      </w:pPr>
    </w:p>
    <w:p w14:paraId="6A94C78E"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15. Following incorporation of any feedback from DFAT Post, and approval of a final report, the design</w:t>
      </w:r>
    </w:p>
    <w:p w14:paraId="68B885C0"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 xml:space="preserve">team will prepare an IDD (integrated for both programs </w:t>
      </w:r>
      <w:proofErr w:type="gramStart"/>
      <w:r>
        <w:rPr>
          <w:rFonts w:ascii="p_{Êò" w:hAnsi="p_{Êò" w:cs="p_{Êò"/>
          <w:lang w:val="en-GB"/>
        </w:rPr>
        <w:t>or</w:t>
      </w:r>
      <w:proofErr w:type="gramEnd"/>
      <w:r>
        <w:rPr>
          <w:rFonts w:ascii="p_{Êò" w:hAnsi="p_{Êò" w:cs="p_{Êò"/>
          <w:lang w:val="en-GB"/>
        </w:rPr>
        <w:t xml:space="preserve"> two connected but stand-alone</w:t>
      </w:r>
    </w:p>
    <w:p w14:paraId="09EFF790" w14:textId="77777777" w:rsidR="00D963AE" w:rsidRDefault="00D963AE" w:rsidP="00D963AE">
      <w:pPr>
        <w:autoSpaceDE w:val="0"/>
        <w:autoSpaceDN w:val="0"/>
        <w:adjustRightInd w:val="0"/>
        <w:spacing w:before="0" w:after="0" w:line="240" w:lineRule="auto"/>
        <w:rPr>
          <w:rFonts w:ascii="p_{Êò" w:hAnsi="p_{Êò" w:cs="p_{Êò"/>
          <w:lang w:val="en-GB"/>
        </w:rPr>
      </w:pPr>
      <w:r>
        <w:rPr>
          <w:rFonts w:ascii="p_{Êò" w:hAnsi="p_{Êò" w:cs="p_{Êò"/>
          <w:lang w:val="en-GB"/>
        </w:rPr>
        <w:t>documents) in line with the DFAT-led design IDD template and DFAT’s Design Monitoring and</w:t>
      </w:r>
    </w:p>
    <w:p w14:paraId="6C59F70E" w14:textId="55F8F680" w:rsidR="00D963AE" w:rsidRPr="00D963AE" w:rsidRDefault="00D963AE" w:rsidP="00D963AE">
      <w:pPr>
        <w:autoSpaceDE w:val="0"/>
        <w:autoSpaceDN w:val="0"/>
        <w:adjustRightInd w:val="0"/>
        <w:spacing w:before="0" w:after="0" w:line="240" w:lineRule="auto"/>
        <w:rPr>
          <w:rFonts w:ascii="p_{Êò" w:hAnsi="p_{Êò" w:cs="p_{Êò"/>
          <w:color w:val="000000"/>
          <w:lang w:val="en-GB"/>
        </w:rPr>
      </w:pPr>
      <w:r>
        <w:rPr>
          <w:rFonts w:ascii="p_{Êò" w:hAnsi="p_{Êò" w:cs="p_{Êò"/>
          <w:lang w:val="en-GB"/>
        </w:rPr>
        <w:t>Evaluation Standards (updated 2022).</w:t>
      </w:r>
    </w:p>
    <w:sectPr w:rsidR="00D963AE" w:rsidRPr="00D963AE" w:rsidSect="00C86A07">
      <w:footerReference w:type="default" r:id="rId17"/>
      <w:footerReference w:type="first" r:id="rId1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8801F" w14:textId="77777777" w:rsidR="00471F0A" w:rsidRDefault="00471F0A" w:rsidP="00B7796B">
      <w:r>
        <w:separator/>
      </w:r>
    </w:p>
  </w:endnote>
  <w:endnote w:type="continuationSeparator" w:id="0">
    <w:p w14:paraId="4ACF051E" w14:textId="77777777" w:rsidR="00471F0A" w:rsidRDefault="00471F0A" w:rsidP="00B7796B">
      <w:r>
        <w:continuationSeparator/>
      </w:r>
    </w:p>
  </w:endnote>
  <w:endnote w:type="continuationNotice" w:id="1">
    <w:p w14:paraId="526BA1B3" w14:textId="77777777" w:rsidR="00471F0A" w:rsidRDefault="00471F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852C101-00E9-4501-BC6F-72BB61ACC380}"/>
  </w:font>
  <w:font w:name="Courier New,monospace">
    <w:altName w:val="Courier New"/>
    <w:charset w:val="00"/>
    <w:family w:val="roman"/>
    <w:pitch w:val="default"/>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embedRegular r:id="rId2" w:fontKey="{88779681-9273-4064-AD40-5B4B20D902F9}"/>
  </w:font>
  <w:font w:name="Century Gothic">
    <w:panose1 w:val="020B0502020202020204"/>
    <w:charset w:val="00"/>
    <w:family w:val="swiss"/>
    <w:pitch w:val="variable"/>
    <w:sig w:usb0="00000287" w:usb1="00000000" w:usb2="00000000" w:usb3="00000000" w:csb0="0000009F" w:csb1="00000000"/>
    <w:embedRegular r:id="rId3" w:fontKey="{11DD7DC0-9365-493B-8782-0ECEE1D7F79F}"/>
    <w:embedBold r:id="rId4" w:fontKey="{1AD6C69D-CDD4-44D5-8874-BBD1DEB10E17}"/>
    <w:embedItalic r:id="rId5" w:fontKey="{7D82A53B-1B21-4DF9-AC45-249D67FAEA5C}"/>
    <w:embedBoldItalic r:id="rId6" w:fontKey="{D6C0B107-C6C9-4B3F-BC30-3EE65726A64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517B619E-2976-48EB-B732-40AFD09B8907}"/>
    <w:embedBold r:id="rId8" w:fontKey="{E68E0671-05BB-4184-89DE-251A07279F10}"/>
    <w:embedItalic r:id="rId9" w:fontKey="{16BB8CE4-7332-4822-B7BA-1B5BF148ECEE}"/>
    <w:embedBoldItalic r:id="rId10" w:fontKey="{C5BB2B14-95AE-41EA-8F1A-747DB8A2879A}"/>
  </w:font>
  <w:font w:name="Aaux Next Regular">
    <w:altName w:val="Calibri"/>
    <w:charset w:val="00"/>
    <w:family w:val="modern"/>
    <w:pitch w:val="variable"/>
    <w:sig w:usb0="A000006F" w:usb1="4000204B" w:usb2="00000000" w:usb3="00000000" w:csb0="00000093" w:csb1="00000000"/>
  </w:font>
  <w:font w:name="___WRD_EMBED_SUB_174">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1" w:fontKey="{EC1F63F1-ED95-4DB5-9D9C-D3DFD2A126B8}"/>
  </w:font>
  <w:font w:name="Segoe UI">
    <w:panose1 w:val="020B0502040204020203"/>
    <w:charset w:val="00"/>
    <w:family w:val="swiss"/>
    <w:pitch w:val="variable"/>
    <w:sig w:usb0="E4002EFF" w:usb1="C000E47F" w:usb2="00000009" w:usb3="00000000" w:csb0="000001FF" w:csb1="00000000"/>
    <w:embedRegular r:id="rId12" w:fontKey="{47A74EE3-02E6-4614-BCC6-742ACF9944BD}"/>
  </w:font>
  <w:font w:name="Times New Roman (Body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embedRegular r:id="rId13" w:fontKey="{8FF1ABFA-88D9-4434-987B-26A32DDB1527}"/>
  </w:font>
  <w:font w:name="Aaux Next Medium">
    <w:charset w:val="00"/>
    <w:family w:val="modern"/>
    <w:pitch w:val="variable"/>
    <w:sig w:usb0="A000006F" w:usb1="4000204B" w:usb2="00000000" w:usb3="00000000" w:csb0="00000093" w:csb1="00000000"/>
  </w:font>
  <w:font w:name="Hand Of Sean Pro">
    <w:charset w:val="4D"/>
    <w:family w:val="auto"/>
    <w:pitch w:val="variable"/>
    <w:sig w:usb0="00000007" w:usb1="00000000" w:usb2="00000000" w:usb3="00000000" w:csb0="00000093" w:csb1="00000000"/>
  </w:font>
  <w:font w:name="Helvetica Neue">
    <w:altName w:val="Sylfaen"/>
    <w:charset w:val="00"/>
    <w:family w:val="auto"/>
    <w:pitch w:val="variable"/>
    <w:sig w:usb0="E50002FF" w:usb1="500079DB" w:usb2="00000010" w:usb3="00000000" w:csb0="00000001" w:csb1="00000000"/>
  </w:font>
  <w:font w:name="p_{Êò">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8961518"/>
      <w:docPartObj>
        <w:docPartGallery w:val="Page Numbers (Bottom of Page)"/>
        <w:docPartUnique/>
      </w:docPartObj>
    </w:sdtPr>
    <w:sdtEndPr>
      <w:rPr>
        <w:rStyle w:val="PageNumber"/>
      </w:rPr>
    </w:sdtEndPr>
    <w:sdtContent>
      <w:p w14:paraId="2295BAE3" w14:textId="64A9F7E6" w:rsidR="00EA617C" w:rsidRDefault="00EA617C" w:rsidP="00D556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3052EA" w14:textId="77777777" w:rsidR="00EA617C" w:rsidRDefault="00EA617C" w:rsidP="00EA61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9D00A" w14:textId="5B1A0A05" w:rsidR="00F17679" w:rsidRPr="00071EBE" w:rsidRDefault="00F17679" w:rsidP="00EA617C">
    <w:pPr>
      <w:pStyle w:val="Foote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A628A" w14:textId="2DAE3971" w:rsidR="00071EBE" w:rsidRDefault="00071EBE" w:rsidP="00151EFA">
    <w:pPr>
      <w:pStyle w:val="Footer"/>
      <w:framePr w:wrap="none" w:vAnchor="text" w:hAnchor="margin" w:xAlign="right" w:y="1"/>
      <w:rPr>
        <w:rStyle w:val="PageNumber"/>
      </w:rPr>
    </w:pPr>
  </w:p>
  <w:p w14:paraId="2B39212C" w14:textId="77777777" w:rsidR="00071EBE" w:rsidRDefault="00071EBE" w:rsidP="00071EB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172120"/>
      <w:docPartObj>
        <w:docPartGallery w:val="Page Numbers (Bottom of Page)"/>
        <w:docPartUnique/>
      </w:docPartObj>
    </w:sdtPr>
    <w:sdtEndPr>
      <w:rPr>
        <w:rStyle w:val="PageNumber"/>
        <w:sz w:val="18"/>
        <w:szCs w:val="18"/>
      </w:rPr>
    </w:sdtEndPr>
    <w:sdtContent>
      <w:p w14:paraId="0C165C88" w14:textId="0D1D607D" w:rsidR="00D55690" w:rsidRPr="00D55690" w:rsidRDefault="00D55690" w:rsidP="000971B7">
        <w:pPr>
          <w:pStyle w:val="Footer"/>
          <w:framePr w:wrap="none" w:vAnchor="text" w:hAnchor="margin" w:xAlign="right" w:y="1"/>
          <w:rPr>
            <w:rStyle w:val="PageNumber"/>
            <w:sz w:val="18"/>
            <w:szCs w:val="18"/>
          </w:rPr>
        </w:pPr>
        <w:r w:rsidRPr="00D55690">
          <w:rPr>
            <w:rStyle w:val="PageNumber"/>
            <w:sz w:val="18"/>
            <w:szCs w:val="18"/>
          </w:rPr>
          <w:fldChar w:fldCharType="begin"/>
        </w:r>
        <w:r w:rsidRPr="00D55690">
          <w:rPr>
            <w:rStyle w:val="PageNumber"/>
            <w:sz w:val="18"/>
            <w:szCs w:val="18"/>
          </w:rPr>
          <w:instrText xml:space="preserve"> PAGE </w:instrText>
        </w:r>
        <w:r w:rsidRPr="00D55690">
          <w:rPr>
            <w:rStyle w:val="PageNumber"/>
            <w:sz w:val="18"/>
            <w:szCs w:val="18"/>
          </w:rPr>
          <w:fldChar w:fldCharType="separate"/>
        </w:r>
        <w:r w:rsidRPr="00D55690">
          <w:rPr>
            <w:rStyle w:val="PageNumber"/>
            <w:noProof/>
            <w:sz w:val="18"/>
            <w:szCs w:val="18"/>
          </w:rPr>
          <w:t>1</w:t>
        </w:r>
        <w:r w:rsidRPr="00D55690">
          <w:rPr>
            <w:rStyle w:val="PageNumber"/>
            <w:sz w:val="18"/>
            <w:szCs w:val="18"/>
          </w:rPr>
          <w:fldChar w:fldCharType="end"/>
        </w:r>
      </w:p>
    </w:sdtContent>
  </w:sdt>
  <w:p w14:paraId="2386FDD3" w14:textId="77777777" w:rsidR="00D55690" w:rsidRPr="00D55690" w:rsidRDefault="00D55690" w:rsidP="00EA617C">
    <w:pPr>
      <w:pStyle w:val="Footer"/>
      <w:ind w:right="360"/>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6501952"/>
      <w:docPartObj>
        <w:docPartGallery w:val="Page Numbers (Bottom of Page)"/>
        <w:docPartUnique/>
      </w:docPartObj>
    </w:sdtPr>
    <w:sdtEndPr>
      <w:rPr>
        <w:rStyle w:val="PageNumber"/>
      </w:rPr>
    </w:sdtEndPr>
    <w:sdtContent>
      <w:p w14:paraId="72184EA7" w14:textId="77777777" w:rsidR="00614139" w:rsidRDefault="00614139" w:rsidP="00151EFA">
        <w:pPr>
          <w:pStyle w:val="Footer"/>
          <w:framePr w:wrap="none" w:vAnchor="text" w:hAnchor="margin" w:xAlign="right" w:y="1"/>
          <w:rPr>
            <w:rStyle w:val="PageNumber"/>
          </w:rPr>
        </w:pPr>
        <w:r w:rsidRPr="00A468E0">
          <w:rPr>
            <w:rStyle w:val="PageNumber"/>
            <w:sz w:val="18"/>
            <w:szCs w:val="18"/>
          </w:rPr>
          <w:fldChar w:fldCharType="begin"/>
        </w:r>
        <w:r w:rsidRPr="00A468E0">
          <w:rPr>
            <w:rStyle w:val="PageNumber"/>
            <w:sz w:val="18"/>
            <w:szCs w:val="18"/>
          </w:rPr>
          <w:instrText xml:space="preserve"> PAGE </w:instrText>
        </w:r>
        <w:r w:rsidRPr="00A468E0">
          <w:rPr>
            <w:rStyle w:val="PageNumber"/>
            <w:sz w:val="18"/>
            <w:szCs w:val="18"/>
          </w:rPr>
          <w:fldChar w:fldCharType="separate"/>
        </w:r>
        <w:r w:rsidRPr="00A468E0">
          <w:rPr>
            <w:rStyle w:val="PageNumber"/>
            <w:noProof/>
            <w:sz w:val="18"/>
            <w:szCs w:val="18"/>
          </w:rPr>
          <w:t>1</w:t>
        </w:r>
        <w:r w:rsidRPr="00A468E0">
          <w:rPr>
            <w:rStyle w:val="PageNumber"/>
            <w:sz w:val="18"/>
            <w:szCs w:val="18"/>
          </w:rPr>
          <w:fldChar w:fldCharType="end"/>
        </w:r>
      </w:p>
    </w:sdtContent>
  </w:sdt>
  <w:p w14:paraId="298E4891" w14:textId="77777777" w:rsidR="00614139" w:rsidRDefault="00614139" w:rsidP="00071E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446F7" w14:textId="77777777" w:rsidR="00471F0A" w:rsidRDefault="00471F0A" w:rsidP="00B7796B">
      <w:r>
        <w:separator/>
      </w:r>
    </w:p>
  </w:footnote>
  <w:footnote w:type="continuationSeparator" w:id="0">
    <w:p w14:paraId="28A9A626" w14:textId="77777777" w:rsidR="00471F0A" w:rsidRDefault="00471F0A" w:rsidP="00B7796B">
      <w:r>
        <w:continuationSeparator/>
      </w:r>
    </w:p>
  </w:footnote>
  <w:footnote w:type="continuationNotice" w:id="1">
    <w:p w14:paraId="35686198" w14:textId="77777777" w:rsidR="00471F0A" w:rsidRDefault="00471F0A">
      <w:pPr>
        <w:spacing w:before="0" w:after="0" w:line="240" w:lineRule="auto"/>
      </w:pPr>
    </w:p>
  </w:footnote>
  <w:footnote w:id="2">
    <w:p w14:paraId="290E3FEC" w14:textId="77777777" w:rsidR="00011D70" w:rsidRPr="00CB5A85" w:rsidRDefault="00011D70" w:rsidP="00CB5A85">
      <w:pPr>
        <w:spacing w:before="0" w:after="0" w:line="240" w:lineRule="auto"/>
        <w:rPr>
          <w:color w:val="000000" w:themeColor="text1"/>
          <w:sz w:val="18"/>
          <w:szCs w:val="18"/>
        </w:rPr>
      </w:pPr>
      <w:r w:rsidRPr="008C0705">
        <w:rPr>
          <w:rStyle w:val="FootnoteReference"/>
          <w:sz w:val="18"/>
          <w:szCs w:val="18"/>
        </w:rPr>
        <w:footnoteRef/>
      </w:r>
      <w:r w:rsidRPr="008C0705">
        <w:rPr>
          <w:sz w:val="18"/>
          <w:szCs w:val="18"/>
        </w:rPr>
        <w:t xml:space="preserve"> </w:t>
      </w:r>
      <w:hyperlink r:id="rId1">
        <w:r w:rsidRPr="00CB5A85">
          <w:rPr>
            <w:rStyle w:val="Hyperlink"/>
            <w:rFonts w:eastAsia="Calibri" w:cs="Calibri"/>
            <w:color w:val="000000" w:themeColor="text1"/>
            <w:sz w:val="18"/>
            <w:szCs w:val="18"/>
          </w:rPr>
          <w:t>https://www.dfat.gov.au/publications/development/australias-international-development-policy</w:t>
        </w:r>
      </w:hyperlink>
    </w:p>
  </w:footnote>
  <w:footnote w:id="3">
    <w:p w14:paraId="22B6FDE1" w14:textId="77777777" w:rsidR="00011D70" w:rsidRDefault="00011D70" w:rsidP="00CB5A85">
      <w:pPr>
        <w:pStyle w:val="FootnoteText"/>
      </w:pPr>
      <w:r w:rsidRPr="00CB5A85">
        <w:rPr>
          <w:rStyle w:val="FootnoteReference"/>
          <w:color w:val="000000" w:themeColor="text1"/>
          <w:szCs w:val="18"/>
        </w:rPr>
        <w:footnoteRef/>
      </w:r>
      <w:r w:rsidRPr="00CB5A85">
        <w:rPr>
          <w:color w:val="000000" w:themeColor="text1"/>
          <w:szCs w:val="18"/>
        </w:rPr>
        <w:t xml:space="preserve"> </w:t>
      </w:r>
      <w:hyperlink r:id="rId2">
        <w:r w:rsidRPr="00CB5A85">
          <w:rPr>
            <w:rStyle w:val="Hyperlink"/>
            <w:rFonts w:eastAsia="Calibri" w:cs="Calibri"/>
            <w:color w:val="000000" w:themeColor="text1"/>
            <w:szCs w:val="18"/>
          </w:rPr>
          <w:t>https://www.dfat.gov.au/sites/default/files/performance-delivery-framework.pdf</w:t>
        </w:r>
      </w:hyperlink>
    </w:p>
  </w:footnote>
  <w:footnote w:id="4">
    <w:p w14:paraId="75B4CFA5" w14:textId="55150A5D" w:rsidR="007B37B6" w:rsidRDefault="007B37B6">
      <w:pPr>
        <w:pStyle w:val="FootnoteText"/>
      </w:pPr>
      <w:r>
        <w:rPr>
          <w:rStyle w:val="FootnoteReference"/>
        </w:rPr>
        <w:footnoteRef/>
      </w:r>
      <w:r>
        <w:t xml:space="preserve"> The programs end at quite different times in 2026, however: VSP in January and VAESP in December. </w:t>
      </w:r>
    </w:p>
  </w:footnote>
  <w:footnote w:id="5">
    <w:p w14:paraId="4CCF1EC3" w14:textId="0F1BDA74" w:rsidR="001E7060" w:rsidRDefault="001E7060">
      <w:pPr>
        <w:pStyle w:val="FootnoteText"/>
      </w:pPr>
      <w:r>
        <w:rPr>
          <w:rStyle w:val="FootnoteReference"/>
        </w:rPr>
        <w:footnoteRef/>
      </w:r>
      <w:r>
        <w:t xml:space="preserve"> Direct funding has also</w:t>
      </w:r>
      <w:r w:rsidRPr="001E7060">
        <w:t xml:space="preserve"> been used to provide funding for VSP to support economic recovery activities in </w:t>
      </w:r>
      <w:proofErr w:type="spellStart"/>
      <w:r w:rsidRPr="001E7060">
        <w:t>Ambae</w:t>
      </w:r>
      <w:proofErr w:type="spellEnd"/>
      <w:r w:rsidRPr="001E7060">
        <w:t>.</w:t>
      </w:r>
    </w:p>
  </w:footnote>
  <w:footnote w:id="6">
    <w:p w14:paraId="74C8BF63" w14:textId="63D87799" w:rsidR="008C0705" w:rsidRPr="00071EBE" w:rsidRDefault="008C0705" w:rsidP="00A575C3">
      <w:pPr>
        <w:spacing w:beforeLines="40" w:before="96" w:afterLines="40" w:after="96" w:line="240" w:lineRule="auto"/>
        <w:rPr>
          <w:rFonts w:eastAsia="Calibri" w:cs="Calibri"/>
          <w:color w:val="000000" w:themeColor="text1"/>
          <w:sz w:val="18"/>
          <w:szCs w:val="18"/>
          <w:u w:val="single"/>
        </w:rPr>
      </w:pPr>
      <w:r w:rsidRPr="008C0705">
        <w:rPr>
          <w:rStyle w:val="FootnoteReference"/>
          <w:sz w:val="18"/>
          <w:szCs w:val="18"/>
        </w:rPr>
        <w:footnoteRef/>
      </w:r>
      <w:r w:rsidRPr="008C0705">
        <w:rPr>
          <w:sz w:val="18"/>
          <w:szCs w:val="18"/>
        </w:rPr>
        <w:t xml:space="preserve"> </w:t>
      </w:r>
      <w:hyperlink r:id="rId3">
        <w:r w:rsidRPr="00071EBE">
          <w:rPr>
            <w:rStyle w:val="Hyperlink"/>
            <w:rFonts w:eastAsia="Calibri" w:cs="Calibri"/>
            <w:color w:val="000000" w:themeColor="text1"/>
            <w:sz w:val="18"/>
            <w:szCs w:val="18"/>
          </w:rPr>
          <w:t>https://www.gov.vu/images/publications/Vanuatu2030-EN-FINAL-sf.pdf</w:t>
        </w:r>
      </w:hyperlink>
    </w:p>
  </w:footnote>
  <w:footnote w:id="7">
    <w:p w14:paraId="21EB9B81" w14:textId="77777777" w:rsidR="00775E89" w:rsidRPr="00071EBE" w:rsidRDefault="00775E89" w:rsidP="00A575C3">
      <w:pPr>
        <w:pStyle w:val="FootnoteText"/>
        <w:spacing w:beforeLines="40" w:before="96" w:afterLines="40" w:after="96"/>
        <w:rPr>
          <w:color w:val="000000" w:themeColor="text1"/>
          <w:szCs w:val="18"/>
        </w:rPr>
      </w:pPr>
      <w:r w:rsidRPr="00071EBE">
        <w:rPr>
          <w:rStyle w:val="FootnoteReference"/>
          <w:color w:val="000000" w:themeColor="text1"/>
          <w:szCs w:val="18"/>
        </w:rPr>
        <w:footnoteRef/>
      </w:r>
      <w:r w:rsidRPr="00071EBE">
        <w:rPr>
          <w:color w:val="000000" w:themeColor="text1"/>
          <w:szCs w:val="18"/>
        </w:rPr>
        <w:t xml:space="preserve"> </w:t>
      </w:r>
      <w:hyperlink r:id="rId4">
        <w:r w:rsidRPr="00071EBE">
          <w:rPr>
            <w:rStyle w:val="Hyperlink"/>
            <w:rFonts w:eastAsia="Calibri" w:cs="Calibri"/>
            <w:color w:val="000000" w:themeColor="text1"/>
            <w:szCs w:val="18"/>
          </w:rPr>
          <w:t>https://www.lowyinstitute.org/the-interpreter/pacific-education-backsliding-outcomes-financing-freefall</w:t>
        </w:r>
      </w:hyperlink>
    </w:p>
  </w:footnote>
  <w:footnote w:id="8">
    <w:p w14:paraId="7335955D" w14:textId="67568A0C" w:rsidR="008C0705" w:rsidRPr="00071EBE" w:rsidRDefault="008C0705" w:rsidP="00A575C3">
      <w:pPr>
        <w:pStyle w:val="FootnoteText"/>
        <w:spacing w:beforeLines="40" w:before="96" w:afterLines="40" w:after="96"/>
        <w:rPr>
          <w:color w:val="000000" w:themeColor="text1"/>
          <w:szCs w:val="18"/>
        </w:rPr>
      </w:pPr>
      <w:r w:rsidRPr="00071EBE">
        <w:rPr>
          <w:rStyle w:val="FootnoteReference"/>
          <w:color w:val="000000" w:themeColor="text1"/>
          <w:szCs w:val="18"/>
        </w:rPr>
        <w:footnoteRef/>
      </w:r>
      <w:r w:rsidRPr="00071EBE">
        <w:rPr>
          <w:color w:val="000000" w:themeColor="text1"/>
          <w:szCs w:val="18"/>
        </w:rPr>
        <w:t xml:space="preserve"> </w:t>
      </w:r>
      <w:hyperlink r:id="rId5">
        <w:r w:rsidRPr="00071EBE">
          <w:rPr>
            <w:rStyle w:val="Hyperlink"/>
            <w:rFonts w:eastAsia="Calibri" w:cs="Calibri"/>
            <w:color w:val="000000" w:themeColor="text1"/>
            <w:szCs w:val="18"/>
          </w:rPr>
          <w:t>https://www.lowyinstitute.org/the-interpreter/pacific-education-backsliding-outcomes-financing-freefall</w:t>
        </w:r>
      </w:hyperlink>
    </w:p>
  </w:footnote>
  <w:footnote w:id="9">
    <w:p w14:paraId="4A0777C5" w14:textId="75390752" w:rsidR="008C0705" w:rsidRPr="00071EBE" w:rsidRDefault="008C0705" w:rsidP="00A575C3">
      <w:pPr>
        <w:spacing w:beforeLines="40" w:before="96" w:afterLines="40" w:after="96" w:line="240" w:lineRule="auto"/>
        <w:rPr>
          <w:color w:val="000000" w:themeColor="text1"/>
          <w:sz w:val="18"/>
          <w:szCs w:val="18"/>
        </w:rPr>
      </w:pPr>
      <w:r w:rsidRPr="00071EBE">
        <w:rPr>
          <w:rStyle w:val="FootnoteReference"/>
          <w:color w:val="000000" w:themeColor="text1"/>
          <w:sz w:val="18"/>
          <w:szCs w:val="18"/>
        </w:rPr>
        <w:footnoteRef/>
      </w:r>
      <w:r w:rsidRPr="00071EBE">
        <w:rPr>
          <w:color w:val="000000" w:themeColor="text1"/>
          <w:sz w:val="18"/>
          <w:szCs w:val="18"/>
        </w:rPr>
        <w:t xml:space="preserve"> </w:t>
      </w:r>
      <w:hyperlink r:id="rId6">
        <w:r w:rsidRPr="00071EBE">
          <w:rPr>
            <w:rStyle w:val="Hyperlink"/>
            <w:rFonts w:eastAsia="Calibri" w:cs="Calibri"/>
            <w:color w:val="000000" w:themeColor="text1"/>
            <w:sz w:val="18"/>
            <w:szCs w:val="18"/>
          </w:rPr>
          <w:t>https://www.dfat.gov.au/publications/development/australias-international-development-policy</w:t>
        </w:r>
      </w:hyperlink>
    </w:p>
  </w:footnote>
  <w:footnote w:id="10">
    <w:p w14:paraId="2E92B576" w14:textId="7EB28854" w:rsidR="008C0705" w:rsidRDefault="008C0705" w:rsidP="00A575C3">
      <w:pPr>
        <w:pStyle w:val="FootnoteText"/>
        <w:spacing w:beforeLines="40" w:before="96" w:afterLines="40" w:after="96"/>
      </w:pPr>
      <w:r w:rsidRPr="00071EBE">
        <w:rPr>
          <w:rStyle w:val="FootnoteReference"/>
          <w:color w:val="000000" w:themeColor="text1"/>
          <w:szCs w:val="18"/>
        </w:rPr>
        <w:footnoteRef/>
      </w:r>
      <w:r w:rsidRPr="00071EBE">
        <w:rPr>
          <w:color w:val="000000" w:themeColor="text1"/>
          <w:szCs w:val="18"/>
        </w:rPr>
        <w:t xml:space="preserve"> </w:t>
      </w:r>
      <w:hyperlink r:id="rId7">
        <w:r w:rsidRPr="00071EBE">
          <w:rPr>
            <w:rStyle w:val="Hyperlink"/>
            <w:rFonts w:eastAsia="Calibri" w:cs="Calibri"/>
            <w:color w:val="000000" w:themeColor="text1"/>
            <w:szCs w:val="18"/>
          </w:rPr>
          <w:t>https://www.dfat.gov.au/sites/default/files/performance-delivery-framework.pdf</w:t>
        </w:r>
      </w:hyperlink>
    </w:p>
  </w:footnote>
  <w:footnote w:id="11">
    <w:p w14:paraId="173A1B45" w14:textId="72D5F5FA" w:rsidR="3326E6A4" w:rsidRDefault="3326E6A4" w:rsidP="00E34931">
      <w:pPr>
        <w:pStyle w:val="FootnoteText"/>
      </w:pPr>
      <w:r w:rsidRPr="3326E6A4">
        <w:rPr>
          <w:rStyle w:val="FootnoteReference"/>
        </w:rPr>
        <w:footnoteRef/>
      </w:r>
      <w:r>
        <w:t xml:space="preserve"> https://www.dfat.gov.au/publications/publications/australias-international-disability-equity-and-rights-strategy-advancing-equity-transform-lives  </w:t>
      </w:r>
    </w:p>
  </w:footnote>
  <w:footnote w:id="12">
    <w:p w14:paraId="7571C503" w14:textId="3D613433" w:rsidR="00794BD8" w:rsidRDefault="00794BD8">
      <w:pPr>
        <w:pStyle w:val="FootnoteText"/>
      </w:pPr>
      <w:r>
        <w:rPr>
          <w:rStyle w:val="FootnoteReference"/>
        </w:rPr>
        <w:footnoteRef/>
      </w:r>
      <w:r>
        <w:t xml:space="preserve"> This includes issues relating to climate change and disaster resilience which were not part of the review stage scope. </w:t>
      </w:r>
    </w:p>
  </w:footnote>
  <w:footnote w:id="13">
    <w:p w14:paraId="0C704506" w14:textId="3F2C4C90" w:rsidR="2D65516E" w:rsidRDefault="2D65516E" w:rsidP="00222007">
      <w:pPr>
        <w:pStyle w:val="FootnoteText"/>
      </w:pPr>
      <w:r w:rsidRPr="2D65516E">
        <w:rPr>
          <w:rStyle w:val="FootnoteReference"/>
        </w:rPr>
        <w:footnoteRef/>
      </w:r>
      <w:r>
        <w:t xml:space="preserve"> As such, the review is not an ’evaluation’ in the </w:t>
      </w:r>
      <w:r w:rsidR="00A90D52">
        <w:t>usual sense, and</w:t>
      </w:r>
      <w:r>
        <w:t xml:space="preserve"> did not utilise a complete evaluation method. </w:t>
      </w:r>
    </w:p>
  </w:footnote>
  <w:footnote w:id="14">
    <w:p w14:paraId="513DC7CA" w14:textId="5F2110B7" w:rsidR="00B158C6" w:rsidRPr="00B158C6" w:rsidRDefault="00B158C6">
      <w:pPr>
        <w:pStyle w:val="FootnoteText"/>
        <w:rPr>
          <w:szCs w:val="18"/>
        </w:rPr>
      </w:pPr>
      <w:r w:rsidRPr="00B158C6">
        <w:rPr>
          <w:rStyle w:val="FootnoteReference"/>
          <w:szCs w:val="18"/>
        </w:rPr>
        <w:footnoteRef/>
      </w:r>
      <w:r w:rsidRPr="00B158C6">
        <w:rPr>
          <w:szCs w:val="18"/>
        </w:rPr>
        <w:t xml:space="preserve"> </w:t>
      </w:r>
      <w:r w:rsidRPr="00B158C6">
        <w:rPr>
          <w:rFonts w:eastAsia="Calibri" w:cs="Calibri"/>
          <w:szCs w:val="18"/>
        </w:rPr>
        <w:t>Full list of people consulted is provided in Annex 1.</w:t>
      </w:r>
    </w:p>
  </w:footnote>
  <w:footnote w:id="15">
    <w:p w14:paraId="04DB134C" w14:textId="549B6FE0" w:rsidR="00610E92" w:rsidRDefault="00610E92">
      <w:pPr>
        <w:pStyle w:val="FootnoteText"/>
      </w:pPr>
      <w:r>
        <w:rPr>
          <w:rStyle w:val="FootnoteReference"/>
        </w:rPr>
        <w:footnoteRef/>
      </w:r>
      <w:r>
        <w:t xml:space="preserve"> DFAT also has other smaller contracts and support for audits of the DFA</w:t>
      </w:r>
    </w:p>
  </w:footnote>
  <w:footnote w:id="16">
    <w:p w14:paraId="45DFE9BF" w14:textId="0585E3A2" w:rsidR="00172432" w:rsidRDefault="00172432" w:rsidP="00172432">
      <w:pPr>
        <w:pStyle w:val="FootnoteText"/>
      </w:pPr>
      <w:r>
        <w:rPr>
          <w:rStyle w:val="FootnoteReference"/>
        </w:rPr>
        <w:footnoteRef/>
      </w:r>
      <w:r>
        <w:t xml:space="preserve"> IMR, 2021; VAESP Strengthening PFM in education sector, 2024</w:t>
      </w:r>
    </w:p>
  </w:footnote>
  <w:footnote w:id="17">
    <w:p w14:paraId="6664515F" w14:textId="2299255A" w:rsidR="00172432" w:rsidRDefault="00172432">
      <w:pPr>
        <w:pStyle w:val="FootnoteText"/>
      </w:pPr>
      <w:r>
        <w:rPr>
          <w:rStyle w:val="FootnoteReference"/>
        </w:rPr>
        <w:footnoteRef/>
      </w:r>
      <w:r>
        <w:t xml:space="preserve"> MTR 2022</w:t>
      </w:r>
    </w:p>
  </w:footnote>
  <w:footnote w:id="18">
    <w:p w14:paraId="1F81AFC3" w14:textId="63E1081A" w:rsidR="00172432" w:rsidRDefault="00172432">
      <w:pPr>
        <w:pStyle w:val="FootnoteText"/>
      </w:pPr>
      <w:r>
        <w:rPr>
          <w:rStyle w:val="FootnoteReference"/>
        </w:rPr>
        <w:footnoteRef/>
      </w:r>
      <w:r>
        <w:t xml:space="preserve"> VAESP Annual Report, 2023</w:t>
      </w:r>
    </w:p>
  </w:footnote>
  <w:footnote w:id="19">
    <w:p w14:paraId="679AD019" w14:textId="37C70C75" w:rsidR="008B4360" w:rsidRDefault="008B4360">
      <w:pPr>
        <w:pStyle w:val="FootnoteText"/>
      </w:pPr>
      <w:r>
        <w:rPr>
          <w:rStyle w:val="FootnoteReference"/>
        </w:rPr>
        <w:footnoteRef/>
      </w:r>
      <w:r>
        <w:t xml:space="preserve"> VAESP Annual Report 2023, Strengthening PFM update 2024</w:t>
      </w:r>
    </w:p>
  </w:footnote>
  <w:footnote w:id="20">
    <w:p w14:paraId="5249B69C" w14:textId="30C41879" w:rsidR="00DB4E16" w:rsidRDefault="00DB4E16">
      <w:pPr>
        <w:pStyle w:val="FootnoteText"/>
      </w:pPr>
      <w:r>
        <w:rPr>
          <w:rStyle w:val="FootnoteReference"/>
        </w:rPr>
        <w:footnoteRef/>
      </w:r>
      <w:r>
        <w:t xml:space="preserve"> MTR, 2022</w:t>
      </w:r>
    </w:p>
  </w:footnote>
  <w:footnote w:id="21">
    <w:p w14:paraId="6885E853" w14:textId="0A2EE79F" w:rsidR="3326E6A4" w:rsidRDefault="3326E6A4" w:rsidP="005B3573">
      <w:pPr>
        <w:pStyle w:val="FootnoteText"/>
      </w:pPr>
      <w:r w:rsidRPr="3326E6A4">
        <w:rPr>
          <w:rStyle w:val="FootnoteReference"/>
        </w:rPr>
        <w:footnoteRef/>
      </w:r>
      <w:r>
        <w:t xml:space="preserve"> </w:t>
      </w:r>
      <w:proofErr w:type="spellStart"/>
      <w:r>
        <w:t>MoET</w:t>
      </w:r>
      <w:proofErr w:type="spellEnd"/>
      <w:r>
        <w:t>. (2023). Disability Inclusive Education Resource Mid-Point Review Report.</w:t>
      </w:r>
    </w:p>
  </w:footnote>
  <w:footnote w:id="22">
    <w:p w14:paraId="5C05D6E9" w14:textId="796E6098" w:rsidR="00DB53A0" w:rsidRDefault="00DB53A0">
      <w:pPr>
        <w:pStyle w:val="FootnoteText"/>
      </w:pPr>
      <w:r>
        <w:rPr>
          <w:rStyle w:val="FootnoteReference"/>
        </w:rPr>
        <w:footnoteRef/>
      </w:r>
      <w:r>
        <w:t xml:space="preserve"> VESP Annual Plan, 2024</w:t>
      </w:r>
    </w:p>
  </w:footnote>
  <w:footnote w:id="23">
    <w:p w14:paraId="0417155C" w14:textId="7FCFF4EF" w:rsidR="001B36D8" w:rsidRDefault="001B36D8">
      <w:pPr>
        <w:pStyle w:val="FootnoteText"/>
      </w:pPr>
      <w:r>
        <w:rPr>
          <w:rStyle w:val="FootnoteReference"/>
        </w:rPr>
        <w:footnoteRef/>
      </w:r>
      <w:r>
        <w:t xml:space="preserve"> </w:t>
      </w:r>
      <w:r w:rsidRPr="3B0D9F72">
        <w:rPr>
          <w:rFonts w:eastAsia="Calibri" w:cs="Calibri"/>
        </w:rPr>
        <w:t>MTR 2022</w:t>
      </w:r>
    </w:p>
  </w:footnote>
  <w:footnote w:id="24">
    <w:p w14:paraId="7E6015E7" w14:textId="264CA8C4" w:rsidR="001B36D8" w:rsidRDefault="001B36D8">
      <w:pPr>
        <w:pStyle w:val="FootnoteText"/>
      </w:pPr>
      <w:r>
        <w:rPr>
          <w:rStyle w:val="FootnoteReference"/>
        </w:rPr>
        <w:footnoteRef/>
      </w:r>
      <w:r>
        <w:t xml:space="preserve"> </w:t>
      </w:r>
      <w:r w:rsidRPr="3B0D9F72">
        <w:rPr>
          <w:rFonts w:eastAsia="Calibri" w:cs="Calibri"/>
        </w:rPr>
        <w:t>VAESP 2023 Annual report</w:t>
      </w:r>
    </w:p>
  </w:footnote>
  <w:footnote w:id="25">
    <w:p w14:paraId="7512F682" w14:textId="77777777" w:rsidR="00BB1851" w:rsidRDefault="00BB1851" w:rsidP="00BB1851">
      <w:pPr>
        <w:pStyle w:val="FootnoteText"/>
      </w:pPr>
      <w:r>
        <w:rPr>
          <w:rStyle w:val="FootnoteReference"/>
        </w:rPr>
        <w:footnoteRef/>
      </w:r>
      <w:r>
        <w:t xml:space="preserve"> MTR. 2022. p28</w:t>
      </w:r>
    </w:p>
  </w:footnote>
  <w:footnote w:id="26">
    <w:p w14:paraId="70F44439" w14:textId="0D694C6C" w:rsidR="000E59CC" w:rsidRDefault="000E59CC">
      <w:pPr>
        <w:pStyle w:val="FootnoteText"/>
      </w:pPr>
      <w:r>
        <w:rPr>
          <w:rStyle w:val="FootnoteReference"/>
        </w:rPr>
        <w:footnoteRef/>
      </w:r>
      <w:r>
        <w:t xml:space="preserve"> MTR, 2022, p27</w:t>
      </w:r>
    </w:p>
  </w:footnote>
  <w:footnote w:id="27">
    <w:p w14:paraId="638B18F9" w14:textId="042C9551" w:rsidR="009019B5" w:rsidRDefault="009019B5">
      <w:pPr>
        <w:pStyle w:val="FootnoteText"/>
      </w:pPr>
      <w:r>
        <w:rPr>
          <w:rStyle w:val="FootnoteReference"/>
        </w:rPr>
        <w:footnoteRef/>
      </w:r>
      <w:r>
        <w:t xml:space="preserve"> These are documented in the 2024 update to the </w:t>
      </w:r>
      <w:r w:rsidRPr="009019B5">
        <w:t xml:space="preserve">PFM Analysis of </w:t>
      </w:r>
      <w:r>
        <w:t xml:space="preserve">the </w:t>
      </w:r>
      <w:r w:rsidRPr="009019B5">
        <w:t>Education Sector 202</w:t>
      </w:r>
      <w:r>
        <w:t>3</w:t>
      </w:r>
    </w:p>
  </w:footnote>
  <w:footnote w:id="28">
    <w:p w14:paraId="078BAC44" w14:textId="388418D5" w:rsidR="00CC7832" w:rsidRDefault="00CC7832">
      <w:pPr>
        <w:pStyle w:val="FootnoteText"/>
      </w:pPr>
      <w:r>
        <w:rPr>
          <w:rStyle w:val="FootnoteReference"/>
        </w:rPr>
        <w:footnoteRef/>
      </w:r>
      <w:r>
        <w:t xml:space="preserve"> </w:t>
      </w:r>
      <w:r>
        <w:rPr>
          <w:rFonts w:cs="Calibri"/>
          <w:color w:val="000000"/>
        </w:rPr>
        <w:t>DFAT,</w:t>
      </w:r>
      <w:r>
        <w:rPr>
          <w:rStyle w:val="apple-converted-space"/>
          <w:rFonts w:cs="Calibri"/>
          <w:color w:val="000000"/>
        </w:rPr>
        <w:t> </w:t>
      </w:r>
      <w:r>
        <w:rPr>
          <w:rFonts w:cs="Calibri"/>
          <w:i/>
          <w:iCs/>
          <w:color w:val="000000"/>
        </w:rPr>
        <w:t>Review of Direct Funding Arrangements (Consultation paper)</w:t>
      </w:r>
      <w:r>
        <w:rPr>
          <w:rStyle w:val="apple-converted-space"/>
          <w:rFonts w:cs="Calibri"/>
          <w:i/>
          <w:iCs/>
          <w:color w:val="000000"/>
        </w:rPr>
        <w:t xml:space="preserve">. </w:t>
      </w:r>
      <w:r>
        <w:rPr>
          <w:rFonts w:cs="Calibri"/>
          <w:color w:val="000000"/>
        </w:rPr>
        <w:t>2024</w:t>
      </w:r>
    </w:p>
  </w:footnote>
  <w:footnote w:id="29">
    <w:p w14:paraId="4542F782" w14:textId="2BF74DA7" w:rsidR="3B0D9F72" w:rsidRPr="00B158C6" w:rsidRDefault="3B0D9F72" w:rsidP="3B0D9F72">
      <w:pPr>
        <w:pStyle w:val="FootnoteText"/>
        <w:rPr>
          <w:szCs w:val="18"/>
        </w:rPr>
      </w:pPr>
      <w:r w:rsidRPr="00B158C6">
        <w:rPr>
          <w:rStyle w:val="FootnoteReference"/>
          <w:szCs w:val="18"/>
        </w:rPr>
        <w:footnoteRef/>
      </w:r>
      <w:r w:rsidRPr="00B158C6">
        <w:rPr>
          <w:szCs w:val="18"/>
        </w:rPr>
        <w:t xml:space="preserve"> </w:t>
      </w:r>
      <w:proofErr w:type="spellStart"/>
      <w:r w:rsidRPr="00B158C6">
        <w:rPr>
          <w:szCs w:val="18"/>
        </w:rPr>
        <w:t>MoET</w:t>
      </w:r>
      <w:proofErr w:type="spellEnd"/>
      <w:r w:rsidRPr="00B158C6">
        <w:rPr>
          <w:szCs w:val="18"/>
        </w:rPr>
        <w:t xml:space="preserve"> was awarded a USD1,150,000 GPE system capacity grant in November 2024. Development of the proposal for this grant had taken place over 2024, coordinated by Save the Children as the grant agent and the Australian High Commission as the coordinating agency. The review team has not yet sighted documentation on the proposal, but consultations indicate it includes support for </w:t>
      </w:r>
      <w:proofErr w:type="spellStart"/>
      <w:r w:rsidRPr="00B158C6">
        <w:rPr>
          <w:szCs w:val="18"/>
        </w:rPr>
        <w:t>i</w:t>
      </w:r>
      <w:proofErr w:type="spellEnd"/>
      <w:r w:rsidRPr="00B158C6">
        <w:rPr>
          <w:szCs w:val="18"/>
        </w:rPr>
        <w:t>) upgrading of Open VEMIS to a platform using more current technology and training of principals, teachers and provincial education staff in using data ii) updating of the school grant funding code.</w:t>
      </w:r>
    </w:p>
  </w:footnote>
  <w:footnote w:id="30">
    <w:p w14:paraId="29F79E3C" w14:textId="1AD05E7A" w:rsidR="002E796A" w:rsidRDefault="002E796A">
      <w:pPr>
        <w:pStyle w:val="FootnoteText"/>
      </w:pPr>
      <w:r>
        <w:rPr>
          <w:rStyle w:val="FootnoteReference"/>
        </w:rPr>
        <w:footnoteRef/>
      </w:r>
      <w:r>
        <w:t xml:space="preserve"> </w:t>
      </w:r>
      <w:r w:rsidRPr="0C3CBE43">
        <w:rPr>
          <w:rFonts w:eastAsia="Calibri"/>
        </w:rPr>
        <w:t>VAESP, Mid-year report, 2024, p.3</w:t>
      </w:r>
    </w:p>
  </w:footnote>
  <w:footnote w:id="31">
    <w:p w14:paraId="100074E6" w14:textId="203C51D1" w:rsidR="2D65516E" w:rsidRDefault="2D65516E" w:rsidP="00E66AE9">
      <w:pPr>
        <w:pStyle w:val="FootnoteText"/>
      </w:pPr>
      <w:r w:rsidRPr="2D65516E">
        <w:rPr>
          <w:rStyle w:val="FootnoteReference"/>
        </w:rPr>
        <w:footnoteRef/>
      </w:r>
      <w:r>
        <w:t xml:space="preserve"> It is understood that disability data will be collected in OV in 2025, supported by the new Inclusive Education Resource Book. </w:t>
      </w:r>
    </w:p>
  </w:footnote>
  <w:footnote w:id="32">
    <w:p w14:paraId="2D1B6347" w14:textId="2E5EA30F" w:rsidR="2D65516E" w:rsidRDefault="2D65516E" w:rsidP="00E66AE9">
      <w:pPr>
        <w:pStyle w:val="FootnoteText"/>
      </w:pPr>
      <w:r w:rsidRPr="2D65516E">
        <w:rPr>
          <w:rStyle w:val="FootnoteReference"/>
        </w:rPr>
        <w:footnoteRef/>
      </w:r>
      <w:r>
        <w:t xml:space="preserve"> Lessons on addressing this could be drawn from Fiji, where Australia’s education investment has strengthened Fiji’s EMIS to enable the collection, analysis and use of disability-disaggregated data by both the Ministry of Education and the DFAT-funded education program.</w:t>
      </w:r>
    </w:p>
  </w:footnote>
  <w:footnote w:id="33">
    <w:p w14:paraId="43F65C0D" w14:textId="77777777" w:rsidR="003C1EE4" w:rsidRDefault="003C1EE4" w:rsidP="003C1EE4">
      <w:pPr>
        <w:pStyle w:val="FootnoteText"/>
      </w:pPr>
      <w:r w:rsidRPr="0C3CBE43">
        <w:rPr>
          <w:rStyle w:val="FootnoteReference"/>
        </w:rPr>
        <w:footnoteRef/>
      </w:r>
      <w:r>
        <w:t xml:space="preserve"> This has been documented in the 2021 MTR, in multiple DFAT and other publications, and acknowledge by the Australian High Commissioner. </w:t>
      </w:r>
    </w:p>
  </w:footnote>
  <w:footnote w:id="34">
    <w:p w14:paraId="375105EA" w14:textId="4AF7ADFA" w:rsidR="00EA617C" w:rsidRDefault="00EA617C">
      <w:pPr>
        <w:pStyle w:val="FootnoteText"/>
      </w:pPr>
      <w:r>
        <w:rPr>
          <w:rStyle w:val="FootnoteReference"/>
        </w:rPr>
        <w:footnoteRef/>
      </w:r>
      <w:r>
        <w:t xml:space="preserve"> </w:t>
      </w:r>
      <w:r w:rsidRPr="00EA617C">
        <w:t xml:space="preserve">Barbara, J. (2021). </w:t>
      </w:r>
      <w:hyperlink r:id="rId8">
        <w:r w:rsidRPr="00EA617C">
          <w:rPr>
            <w:rStyle w:val="Hyperlink"/>
          </w:rPr>
          <w:t>How the Vanuatu Skills Partnership has supported local-level service delivery and decentralisation in Vanuatu</w:t>
        </w:r>
      </w:hyperlink>
      <w:r w:rsidRPr="00EA617C">
        <w:t xml:space="preserve">. </w:t>
      </w:r>
    </w:p>
  </w:footnote>
  <w:footnote w:id="35">
    <w:p w14:paraId="490A8267" w14:textId="2283455C" w:rsidR="00EA617C" w:rsidRDefault="00EA617C">
      <w:pPr>
        <w:pStyle w:val="FootnoteText"/>
      </w:pPr>
      <w:r>
        <w:rPr>
          <w:rStyle w:val="FootnoteReference"/>
        </w:rPr>
        <w:footnoteRef/>
      </w:r>
      <w:r>
        <w:t xml:space="preserve"> </w:t>
      </w:r>
      <w:r w:rsidR="006A22A4" w:rsidRPr="006A22A4">
        <w:t xml:space="preserve">Barbara, J. 2021 </w:t>
      </w:r>
    </w:p>
  </w:footnote>
  <w:footnote w:id="36">
    <w:p w14:paraId="12C930C2" w14:textId="77777777" w:rsidR="00736109" w:rsidRDefault="00736109" w:rsidP="00736109">
      <w:pPr>
        <w:pStyle w:val="FootnoteText"/>
      </w:pPr>
      <w:r w:rsidRPr="3326E6A4">
        <w:rPr>
          <w:rStyle w:val="FootnoteReference"/>
        </w:rPr>
        <w:footnoteRef/>
      </w:r>
      <w:r>
        <w:t xml:space="preserve"> DFAT. (2024). DFAT Guidance Note: </w:t>
      </w:r>
      <w:proofErr w:type="gramStart"/>
      <w:r>
        <w:t>Locally-Led</w:t>
      </w:r>
      <w:proofErr w:type="gramEnd"/>
      <w:r>
        <w:t xml:space="preserve"> Development.   </w:t>
      </w:r>
    </w:p>
  </w:footnote>
  <w:footnote w:id="37">
    <w:p w14:paraId="59E938BB" w14:textId="77777777" w:rsidR="008D033D" w:rsidRDefault="008D033D" w:rsidP="008D033D">
      <w:pPr>
        <w:pStyle w:val="FootnoteText"/>
      </w:pPr>
      <w:r w:rsidRPr="3326E6A4">
        <w:rPr>
          <w:rStyle w:val="FootnoteReference"/>
        </w:rPr>
        <w:footnoteRef/>
      </w:r>
      <w:r>
        <w:t xml:space="preserve"> Vanuatu Skills Partnership, Story of Change, Leadership incubation for </w:t>
      </w:r>
      <w:proofErr w:type="gramStart"/>
      <w:r>
        <w:t>locally-led</w:t>
      </w:r>
      <w:proofErr w:type="gramEnd"/>
      <w:r>
        <w:t xml:space="preserve"> development, 2023  </w:t>
      </w:r>
    </w:p>
  </w:footnote>
  <w:footnote w:id="38">
    <w:p w14:paraId="12B5C28F" w14:textId="5AE292C3" w:rsidR="3326E6A4" w:rsidRDefault="3326E6A4" w:rsidP="005B3573">
      <w:pPr>
        <w:pStyle w:val="FootnoteText"/>
      </w:pPr>
      <w:r w:rsidRPr="3326E6A4">
        <w:rPr>
          <w:rStyle w:val="FootnoteReference"/>
        </w:rPr>
        <w:footnoteRef/>
      </w:r>
      <w:r>
        <w:t xml:space="preserve"> Kinsella, S. &amp; McNaughton, B., Independent Evaluation of the Vanuatu Skills Partnership, 2021</w:t>
      </w:r>
    </w:p>
  </w:footnote>
  <w:footnote w:id="39">
    <w:p w14:paraId="2EBC468C" w14:textId="5F210ECD" w:rsidR="004C6557" w:rsidRDefault="004C6557">
      <w:pPr>
        <w:pStyle w:val="FootnoteText"/>
      </w:pPr>
      <w:r>
        <w:rPr>
          <w:rStyle w:val="FootnoteReference"/>
        </w:rPr>
        <w:footnoteRef/>
      </w:r>
      <w:r>
        <w:t xml:space="preserve"> Ibid.</w:t>
      </w:r>
    </w:p>
  </w:footnote>
  <w:footnote w:id="40">
    <w:p w14:paraId="14D6234C" w14:textId="3E765896" w:rsidR="006A22A4" w:rsidRDefault="006A22A4">
      <w:pPr>
        <w:pStyle w:val="FootnoteText"/>
      </w:pPr>
      <w:r>
        <w:rPr>
          <w:rStyle w:val="FootnoteReference"/>
        </w:rPr>
        <w:footnoteRef/>
      </w:r>
      <w:r>
        <w:t xml:space="preserve"> </w:t>
      </w:r>
      <w:r w:rsidRPr="006A22A4">
        <w:t xml:space="preserve">DT </w:t>
      </w:r>
      <w:proofErr w:type="spellStart"/>
      <w:r w:rsidRPr="006A22A4">
        <w:t>Global’s</w:t>
      </w:r>
      <w:proofErr w:type="spellEnd"/>
      <w:r w:rsidRPr="006A22A4">
        <w:t xml:space="preserve"> Locally Led Development Framework</w:t>
      </w:r>
      <w:r>
        <w:t xml:space="preserve">, </w:t>
      </w:r>
      <w:r w:rsidRPr="006A22A4">
        <w:t>2024</w:t>
      </w:r>
    </w:p>
  </w:footnote>
  <w:footnote w:id="41">
    <w:p w14:paraId="1B90209C" w14:textId="77777777" w:rsidR="005830D4" w:rsidRDefault="005830D4" w:rsidP="005830D4">
      <w:pPr>
        <w:pStyle w:val="FootnoteText"/>
      </w:pPr>
      <w:r w:rsidRPr="3326E6A4">
        <w:rPr>
          <w:rStyle w:val="FootnoteReference"/>
        </w:rPr>
        <w:footnoteRef/>
      </w:r>
      <w:r>
        <w:t xml:space="preserve"> </w:t>
      </w:r>
      <w:proofErr w:type="spellStart"/>
      <w:r>
        <w:t>Yanhambath</w:t>
      </w:r>
      <w:proofErr w:type="spellEnd"/>
      <w:r>
        <w:t xml:space="preserve">, F &amp; Gibert, A. (2023). A localisation journey – the Vanuatu Skills Partnership.  </w:t>
      </w:r>
    </w:p>
  </w:footnote>
  <w:footnote w:id="42">
    <w:p w14:paraId="033FB81F" w14:textId="77777777" w:rsidR="005830D4" w:rsidRDefault="005830D4" w:rsidP="005830D4">
      <w:pPr>
        <w:pStyle w:val="FootnoteText"/>
      </w:pPr>
      <w:r w:rsidRPr="3326E6A4">
        <w:rPr>
          <w:rStyle w:val="FootnoteReference"/>
        </w:rPr>
        <w:footnoteRef/>
      </w:r>
      <w:r>
        <w:t xml:space="preserve"> Barbara, J. (2021). How the Vanuatu Skills Partnership has supported local-level service delivery and decentralisation in Vanuatu.   </w:t>
      </w:r>
    </w:p>
  </w:footnote>
  <w:footnote w:id="43">
    <w:p w14:paraId="3E87409F" w14:textId="77777777" w:rsidR="005830D4" w:rsidRDefault="005830D4" w:rsidP="005830D4">
      <w:pPr>
        <w:pStyle w:val="FootnoteText"/>
      </w:pPr>
      <w:r w:rsidRPr="3326E6A4">
        <w:rPr>
          <w:rStyle w:val="FootnoteReference"/>
        </w:rPr>
        <w:footnoteRef/>
      </w:r>
      <w:r>
        <w:t xml:space="preserve"> </w:t>
      </w:r>
      <w:proofErr w:type="spellStart"/>
      <w:r>
        <w:t>Yanhambath</w:t>
      </w:r>
      <w:proofErr w:type="spellEnd"/>
      <w:r>
        <w:t xml:space="preserve">, F &amp; Gibert, A. (2023). A localisation journey – the Vanuatu Skills Partnership.   </w:t>
      </w:r>
    </w:p>
  </w:footnote>
  <w:footnote w:id="44">
    <w:p w14:paraId="0675D8E1" w14:textId="4EB8371F" w:rsidR="004C6557" w:rsidRDefault="004C6557">
      <w:pPr>
        <w:pStyle w:val="FootnoteText"/>
      </w:pPr>
      <w:r>
        <w:rPr>
          <w:rStyle w:val="FootnoteReference"/>
        </w:rPr>
        <w:footnoteRef/>
      </w:r>
      <w:r>
        <w:t xml:space="preserve"> </w:t>
      </w:r>
      <w:r w:rsidRPr="004C6557">
        <w:t xml:space="preserve">Silas, E. (2022). </w:t>
      </w:r>
      <w:hyperlink r:id="rId9">
        <w:r w:rsidRPr="004C6557">
          <w:rPr>
            <w:rStyle w:val="Hyperlink"/>
          </w:rPr>
          <w:t>Using MEL to support systemic reform: the case of Vanuatu Skills Partnership</w:t>
        </w:r>
      </w:hyperlink>
    </w:p>
  </w:footnote>
  <w:footnote w:id="45">
    <w:p w14:paraId="007635A9" w14:textId="07809615" w:rsidR="3326E6A4" w:rsidRDefault="3326E6A4" w:rsidP="005B3573">
      <w:pPr>
        <w:pStyle w:val="FootnoteText"/>
      </w:pPr>
      <w:r w:rsidRPr="3326E6A4">
        <w:rPr>
          <w:rStyle w:val="FootnoteReference"/>
        </w:rPr>
        <w:footnoteRef/>
      </w:r>
      <w:r>
        <w:t xml:space="preserve"> Vanuatu Skills Partnership, Annual Progress Snapshot, 2024  </w:t>
      </w:r>
    </w:p>
  </w:footnote>
  <w:footnote w:id="46">
    <w:p w14:paraId="65DBE8F6" w14:textId="31896196" w:rsidR="00AF585A" w:rsidRDefault="00AF585A">
      <w:pPr>
        <w:pStyle w:val="FootnoteText"/>
      </w:pPr>
      <w:r>
        <w:rPr>
          <w:rStyle w:val="FootnoteReference"/>
        </w:rPr>
        <w:footnoteRef/>
      </w:r>
      <w:r>
        <w:t xml:space="preserve"> Kinsella, S. &amp; McNaughton, B., Independent Evaluation of the Vanuatu Skills Partnership, 2021, p7</w:t>
      </w:r>
    </w:p>
  </w:footnote>
  <w:footnote w:id="47">
    <w:p w14:paraId="6B80647C" w14:textId="48D6B167" w:rsidR="008771E9" w:rsidRDefault="008771E9">
      <w:pPr>
        <w:pStyle w:val="FootnoteText"/>
      </w:pPr>
      <w:r>
        <w:rPr>
          <w:rStyle w:val="FootnoteReference"/>
        </w:rPr>
        <w:footnoteRef/>
      </w:r>
      <w:r>
        <w:t xml:space="preserve"> Ibid. p31</w:t>
      </w:r>
    </w:p>
  </w:footnote>
  <w:footnote w:id="48">
    <w:p w14:paraId="06376CA9" w14:textId="028F46E6" w:rsidR="3326E6A4" w:rsidRDefault="3326E6A4" w:rsidP="005B3573">
      <w:pPr>
        <w:pStyle w:val="FootnoteText"/>
      </w:pPr>
      <w:r w:rsidRPr="3326E6A4">
        <w:rPr>
          <w:rStyle w:val="FootnoteReference"/>
        </w:rPr>
        <w:footnoteRef/>
      </w:r>
      <w:r>
        <w:t xml:space="preserve"> Kinsella and McNaughton, 2021, page 5</w:t>
      </w:r>
    </w:p>
  </w:footnote>
  <w:footnote w:id="49">
    <w:p w14:paraId="6B831CF0" w14:textId="655EB1F6" w:rsidR="001A7124" w:rsidRPr="001A7124" w:rsidRDefault="001A7124" w:rsidP="001A7124">
      <w:pPr>
        <w:rPr>
          <w:sz w:val="18"/>
          <w:szCs w:val="18"/>
        </w:rPr>
      </w:pPr>
      <w:r w:rsidRPr="001A7124">
        <w:rPr>
          <w:rStyle w:val="FootnoteReference"/>
          <w:sz w:val="18"/>
          <w:szCs w:val="18"/>
        </w:rPr>
        <w:footnoteRef/>
      </w:r>
      <w:r w:rsidRPr="001A7124">
        <w:rPr>
          <w:sz w:val="18"/>
          <w:szCs w:val="18"/>
        </w:rPr>
        <w:t xml:space="preserve"> An additional concern is how to best manage the transition between the current and the new phases, and how to accommodate (or adjust) the fact that the VAESP contract end date is 11 months later than the VSP contract end date. </w:t>
      </w:r>
    </w:p>
  </w:footnote>
  <w:footnote w:id="50">
    <w:p w14:paraId="505A74BB" w14:textId="56CF77EF" w:rsidR="003238C4" w:rsidRDefault="003238C4">
      <w:pPr>
        <w:pStyle w:val="FootnoteText"/>
      </w:pPr>
      <w:r>
        <w:rPr>
          <w:rStyle w:val="FootnoteReference"/>
        </w:rPr>
        <w:footnoteRef/>
      </w:r>
      <w:r>
        <w:t xml:space="preserve"> This would not preclude a contractor engaging sub-contractors to provide specialist services or advice, if required.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6085" w14:textId="38E7AE2F" w:rsidR="00071EBE" w:rsidRPr="00071EBE" w:rsidRDefault="00071EBE" w:rsidP="00071EBE">
    <w:pPr>
      <w:pStyle w:val="Header"/>
      <w:jc w:val="right"/>
      <w:rPr>
        <w:sz w:val="18"/>
        <w:szCs w:val="18"/>
      </w:rPr>
    </w:pPr>
    <w:r>
      <w:rPr>
        <w:sz w:val="18"/>
        <w:szCs w:val="18"/>
      </w:rPr>
      <w:t>Vanuatu Education and Skills Design</w:t>
    </w:r>
    <w:r w:rsidR="002A2B0A">
      <w:rPr>
        <w:sz w:val="18"/>
        <w:szCs w:val="18"/>
      </w:rPr>
      <w:t xml:space="preserve"> Review</w:t>
    </w:r>
    <w:r>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CE27" w14:textId="4874B31D" w:rsidR="3B0D9F72" w:rsidRPr="00071EBE" w:rsidRDefault="3B0D9F72" w:rsidP="00071EBE">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0EA96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ADC06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30052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792F1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1660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50B29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30B5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42C78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1817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2CEC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F0ED4"/>
    <w:multiLevelType w:val="hybridMultilevel"/>
    <w:tmpl w:val="31B07E9C"/>
    <w:lvl w:ilvl="0" w:tplc="994445CC">
      <w:start w:val="1"/>
      <w:numFmt w:val="bullet"/>
      <w:lvlText w:val=""/>
      <w:lvlJc w:val="left"/>
      <w:pPr>
        <w:ind w:left="720" w:hanging="360"/>
      </w:pPr>
      <w:rPr>
        <w:rFonts w:ascii="Symbol" w:hAnsi="Symbol" w:hint="default"/>
      </w:rPr>
    </w:lvl>
    <w:lvl w:ilvl="1" w:tplc="2172757C">
      <w:start w:val="1"/>
      <w:numFmt w:val="bullet"/>
      <w:lvlText w:val="o"/>
      <w:lvlJc w:val="left"/>
      <w:pPr>
        <w:ind w:left="1440" w:hanging="360"/>
      </w:pPr>
      <w:rPr>
        <w:rFonts w:ascii="Courier New" w:hAnsi="Courier New" w:hint="default"/>
      </w:rPr>
    </w:lvl>
    <w:lvl w:ilvl="2" w:tplc="A62C6976">
      <w:start w:val="1"/>
      <w:numFmt w:val="bullet"/>
      <w:lvlText w:val=""/>
      <w:lvlJc w:val="left"/>
      <w:pPr>
        <w:ind w:left="2160" w:hanging="360"/>
      </w:pPr>
      <w:rPr>
        <w:rFonts w:ascii="Wingdings" w:hAnsi="Wingdings" w:hint="default"/>
      </w:rPr>
    </w:lvl>
    <w:lvl w:ilvl="3" w:tplc="5E9A92AC">
      <w:start w:val="1"/>
      <w:numFmt w:val="bullet"/>
      <w:lvlText w:val=""/>
      <w:lvlJc w:val="left"/>
      <w:pPr>
        <w:ind w:left="2880" w:hanging="360"/>
      </w:pPr>
      <w:rPr>
        <w:rFonts w:ascii="Symbol" w:hAnsi="Symbol" w:hint="default"/>
      </w:rPr>
    </w:lvl>
    <w:lvl w:ilvl="4" w:tplc="40403036">
      <w:start w:val="1"/>
      <w:numFmt w:val="bullet"/>
      <w:lvlText w:val="o"/>
      <w:lvlJc w:val="left"/>
      <w:pPr>
        <w:ind w:left="3600" w:hanging="360"/>
      </w:pPr>
      <w:rPr>
        <w:rFonts w:ascii="Courier New" w:hAnsi="Courier New" w:hint="default"/>
      </w:rPr>
    </w:lvl>
    <w:lvl w:ilvl="5" w:tplc="EE3640D4">
      <w:start w:val="1"/>
      <w:numFmt w:val="bullet"/>
      <w:lvlText w:val=""/>
      <w:lvlJc w:val="left"/>
      <w:pPr>
        <w:ind w:left="4320" w:hanging="360"/>
      </w:pPr>
      <w:rPr>
        <w:rFonts w:ascii="Wingdings" w:hAnsi="Wingdings" w:hint="default"/>
      </w:rPr>
    </w:lvl>
    <w:lvl w:ilvl="6" w:tplc="6E8EA304">
      <w:start w:val="1"/>
      <w:numFmt w:val="bullet"/>
      <w:lvlText w:val=""/>
      <w:lvlJc w:val="left"/>
      <w:pPr>
        <w:ind w:left="5040" w:hanging="360"/>
      </w:pPr>
      <w:rPr>
        <w:rFonts w:ascii="Symbol" w:hAnsi="Symbol" w:hint="default"/>
      </w:rPr>
    </w:lvl>
    <w:lvl w:ilvl="7" w:tplc="6DBC2870">
      <w:start w:val="1"/>
      <w:numFmt w:val="bullet"/>
      <w:lvlText w:val="o"/>
      <w:lvlJc w:val="left"/>
      <w:pPr>
        <w:ind w:left="5760" w:hanging="360"/>
      </w:pPr>
      <w:rPr>
        <w:rFonts w:ascii="Courier New" w:hAnsi="Courier New" w:hint="default"/>
      </w:rPr>
    </w:lvl>
    <w:lvl w:ilvl="8" w:tplc="CA42BDD2">
      <w:start w:val="1"/>
      <w:numFmt w:val="bullet"/>
      <w:lvlText w:val=""/>
      <w:lvlJc w:val="left"/>
      <w:pPr>
        <w:ind w:left="6480" w:hanging="360"/>
      </w:pPr>
      <w:rPr>
        <w:rFonts w:ascii="Wingdings" w:hAnsi="Wingdings" w:hint="default"/>
      </w:rPr>
    </w:lvl>
  </w:abstractNum>
  <w:abstractNum w:abstractNumId="11" w15:restartNumberingAfterBreak="0">
    <w:nsid w:val="0102A4CC"/>
    <w:multiLevelType w:val="hybridMultilevel"/>
    <w:tmpl w:val="FAE26ED8"/>
    <w:lvl w:ilvl="0" w:tplc="DCFE86D4">
      <w:start w:val="1"/>
      <w:numFmt w:val="decimal"/>
      <w:lvlText w:val="%1."/>
      <w:lvlJc w:val="left"/>
      <w:pPr>
        <w:ind w:left="720" w:hanging="360"/>
      </w:pPr>
    </w:lvl>
    <w:lvl w:ilvl="1" w:tplc="F2F2B5F6">
      <w:start w:val="1"/>
      <w:numFmt w:val="lowerLetter"/>
      <w:lvlText w:val="%2."/>
      <w:lvlJc w:val="left"/>
      <w:pPr>
        <w:ind w:left="1440" w:hanging="360"/>
      </w:pPr>
    </w:lvl>
    <w:lvl w:ilvl="2" w:tplc="29E8FA5A">
      <w:start w:val="1"/>
      <w:numFmt w:val="lowerRoman"/>
      <w:lvlText w:val="%3."/>
      <w:lvlJc w:val="right"/>
      <w:pPr>
        <w:ind w:left="2160" w:hanging="180"/>
      </w:pPr>
    </w:lvl>
    <w:lvl w:ilvl="3" w:tplc="D326CF4C">
      <w:start w:val="1"/>
      <w:numFmt w:val="decimal"/>
      <w:lvlText w:val="%4."/>
      <w:lvlJc w:val="left"/>
      <w:pPr>
        <w:ind w:left="2880" w:hanging="360"/>
      </w:pPr>
    </w:lvl>
    <w:lvl w:ilvl="4" w:tplc="38B25044">
      <w:start w:val="1"/>
      <w:numFmt w:val="lowerLetter"/>
      <w:lvlText w:val="%5."/>
      <w:lvlJc w:val="left"/>
      <w:pPr>
        <w:ind w:left="3600" w:hanging="360"/>
      </w:pPr>
    </w:lvl>
    <w:lvl w:ilvl="5" w:tplc="B3F0718C">
      <w:start w:val="1"/>
      <w:numFmt w:val="lowerRoman"/>
      <w:lvlText w:val="%6."/>
      <w:lvlJc w:val="right"/>
      <w:pPr>
        <w:ind w:left="4320" w:hanging="180"/>
      </w:pPr>
    </w:lvl>
    <w:lvl w:ilvl="6" w:tplc="603658EA">
      <w:start w:val="1"/>
      <w:numFmt w:val="decimal"/>
      <w:lvlText w:val="%7."/>
      <w:lvlJc w:val="left"/>
      <w:pPr>
        <w:ind w:left="5040" w:hanging="360"/>
      </w:pPr>
    </w:lvl>
    <w:lvl w:ilvl="7" w:tplc="78D88F38">
      <w:start w:val="1"/>
      <w:numFmt w:val="lowerLetter"/>
      <w:lvlText w:val="%8."/>
      <w:lvlJc w:val="left"/>
      <w:pPr>
        <w:ind w:left="5760" w:hanging="360"/>
      </w:pPr>
    </w:lvl>
    <w:lvl w:ilvl="8" w:tplc="D38089B8">
      <w:start w:val="1"/>
      <w:numFmt w:val="lowerRoman"/>
      <w:lvlText w:val="%9."/>
      <w:lvlJc w:val="right"/>
      <w:pPr>
        <w:ind w:left="6480" w:hanging="180"/>
      </w:pPr>
    </w:lvl>
  </w:abstractNum>
  <w:abstractNum w:abstractNumId="12" w15:restartNumberingAfterBreak="0">
    <w:nsid w:val="027E0CA8"/>
    <w:multiLevelType w:val="hybridMultilevel"/>
    <w:tmpl w:val="BD3C1A54"/>
    <w:lvl w:ilvl="0" w:tplc="4C222868">
      <w:start w:val="1"/>
      <w:numFmt w:val="bullet"/>
      <w:lvlText w:val=""/>
      <w:lvlJc w:val="left"/>
      <w:pPr>
        <w:ind w:left="720" w:hanging="360"/>
      </w:pPr>
      <w:rPr>
        <w:rFonts w:ascii="Symbol" w:hAnsi="Symbol" w:hint="default"/>
      </w:rPr>
    </w:lvl>
    <w:lvl w:ilvl="1" w:tplc="96CC7D0A">
      <w:start w:val="1"/>
      <w:numFmt w:val="bullet"/>
      <w:lvlText w:val="o"/>
      <w:lvlJc w:val="left"/>
      <w:pPr>
        <w:ind w:left="1440" w:hanging="360"/>
      </w:pPr>
      <w:rPr>
        <w:rFonts w:ascii="Courier New" w:hAnsi="Courier New" w:hint="default"/>
      </w:rPr>
    </w:lvl>
    <w:lvl w:ilvl="2" w:tplc="4D1CB0A0">
      <w:start w:val="1"/>
      <w:numFmt w:val="bullet"/>
      <w:lvlText w:val=""/>
      <w:lvlJc w:val="left"/>
      <w:pPr>
        <w:ind w:left="2160" w:hanging="360"/>
      </w:pPr>
      <w:rPr>
        <w:rFonts w:ascii="Wingdings" w:hAnsi="Wingdings" w:hint="default"/>
      </w:rPr>
    </w:lvl>
    <w:lvl w:ilvl="3" w:tplc="8F0A16DE">
      <w:start w:val="1"/>
      <w:numFmt w:val="bullet"/>
      <w:lvlText w:val=""/>
      <w:lvlJc w:val="left"/>
      <w:pPr>
        <w:ind w:left="2880" w:hanging="360"/>
      </w:pPr>
      <w:rPr>
        <w:rFonts w:ascii="Symbol" w:hAnsi="Symbol" w:hint="default"/>
      </w:rPr>
    </w:lvl>
    <w:lvl w:ilvl="4" w:tplc="9E8C02DE">
      <w:start w:val="1"/>
      <w:numFmt w:val="bullet"/>
      <w:lvlText w:val="o"/>
      <w:lvlJc w:val="left"/>
      <w:pPr>
        <w:ind w:left="3600" w:hanging="360"/>
      </w:pPr>
      <w:rPr>
        <w:rFonts w:ascii="Courier New" w:hAnsi="Courier New" w:hint="default"/>
      </w:rPr>
    </w:lvl>
    <w:lvl w:ilvl="5" w:tplc="56E4F6F4">
      <w:start w:val="1"/>
      <w:numFmt w:val="bullet"/>
      <w:lvlText w:val=""/>
      <w:lvlJc w:val="left"/>
      <w:pPr>
        <w:ind w:left="4320" w:hanging="360"/>
      </w:pPr>
      <w:rPr>
        <w:rFonts w:ascii="Wingdings" w:hAnsi="Wingdings" w:hint="default"/>
      </w:rPr>
    </w:lvl>
    <w:lvl w:ilvl="6" w:tplc="90C42D4C">
      <w:start w:val="1"/>
      <w:numFmt w:val="bullet"/>
      <w:lvlText w:val=""/>
      <w:lvlJc w:val="left"/>
      <w:pPr>
        <w:ind w:left="5040" w:hanging="360"/>
      </w:pPr>
      <w:rPr>
        <w:rFonts w:ascii="Symbol" w:hAnsi="Symbol" w:hint="default"/>
      </w:rPr>
    </w:lvl>
    <w:lvl w:ilvl="7" w:tplc="469E725E">
      <w:start w:val="1"/>
      <w:numFmt w:val="bullet"/>
      <w:lvlText w:val="o"/>
      <w:lvlJc w:val="left"/>
      <w:pPr>
        <w:ind w:left="5760" w:hanging="360"/>
      </w:pPr>
      <w:rPr>
        <w:rFonts w:ascii="Courier New" w:hAnsi="Courier New" w:hint="default"/>
      </w:rPr>
    </w:lvl>
    <w:lvl w:ilvl="8" w:tplc="07780B36">
      <w:start w:val="1"/>
      <w:numFmt w:val="bullet"/>
      <w:lvlText w:val=""/>
      <w:lvlJc w:val="left"/>
      <w:pPr>
        <w:ind w:left="6480" w:hanging="360"/>
      </w:pPr>
      <w:rPr>
        <w:rFonts w:ascii="Wingdings" w:hAnsi="Wingdings" w:hint="default"/>
      </w:rPr>
    </w:lvl>
  </w:abstractNum>
  <w:abstractNum w:abstractNumId="13" w15:restartNumberingAfterBreak="0">
    <w:nsid w:val="04B4B8DF"/>
    <w:multiLevelType w:val="hybridMultilevel"/>
    <w:tmpl w:val="32AC683C"/>
    <w:lvl w:ilvl="0" w:tplc="363C0C58">
      <w:start w:val="1"/>
      <w:numFmt w:val="lowerRoman"/>
      <w:lvlText w:val="%1."/>
      <w:lvlJc w:val="left"/>
      <w:pPr>
        <w:ind w:left="720" w:hanging="360"/>
      </w:pPr>
    </w:lvl>
    <w:lvl w:ilvl="1" w:tplc="08587CF2">
      <w:start w:val="1"/>
      <w:numFmt w:val="lowerLetter"/>
      <w:lvlText w:val="%2."/>
      <w:lvlJc w:val="left"/>
      <w:pPr>
        <w:ind w:left="1440" w:hanging="360"/>
      </w:pPr>
    </w:lvl>
    <w:lvl w:ilvl="2" w:tplc="B4769D0E">
      <w:start w:val="1"/>
      <w:numFmt w:val="lowerRoman"/>
      <w:lvlText w:val="%3."/>
      <w:lvlJc w:val="right"/>
      <w:pPr>
        <w:ind w:left="2160" w:hanging="180"/>
      </w:pPr>
    </w:lvl>
    <w:lvl w:ilvl="3" w:tplc="95E0158C">
      <w:start w:val="1"/>
      <w:numFmt w:val="decimal"/>
      <w:lvlText w:val="%4."/>
      <w:lvlJc w:val="left"/>
      <w:pPr>
        <w:ind w:left="2880" w:hanging="360"/>
      </w:pPr>
    </w:lvl>
    <w:lvl w:ilvl="4" w:tplc="1FD21EFC">
      <w:start w:val="1"/>
      <w:numFmt w:val="lowerLetter"/>
      <w:lvlText w:val="%5."/>
      <w:lvlJc w:val="left"/>
      <w:pPr>
        <w:ind w:left="3600" w:hanging="360"/>
      </w:pPr>
    </w:lvl>
    <w:lvl w:ilvl="5" w:tplc="27FA1760">
      <w:start w:val="1"/>
      <w:numFmt w:val="lowerRoman"/>
      <w:lvlText w:val="%6."/>
      <w:lvlJc w:val="right"/>
      <w:pPr>
        <w:ind w:left="4320" w:hanging="180"/>
      </w:pPr>
    </w:lvl>
    <w:lvl w:ilvl="6" w:tplc="0AACA3D2">
      <w:start w:val="1"/>
      <w:numFmt w:val="decimal"/>
      <w:lvlText w:val="%7."/>
      <w:lvlJc w:val="left"/>
      <w:pPr>
        <w:ind w:left="5040" w:hanging="360"/>
      </w:pPr>
    </w:lvl>
    <w:lvl w:ilvl="7" w:tplc="606A2CA8">
      <w:start w:val="1"/>
      <w:numFmt w:val="lowerLetter"/>
      <w:lvlText w:val="%8."/>
      <w:lvlJc w:val="left"/>
      <w:pPr>
        <w:ind w:left="5760" w:hanging="360"/>
      </w:pPr>
    </w:lvl>
    <w:lvl w:ilvl="8" w:tplc="B11E5D1E">
      <w:start w:val="1"/>
      <w:numFmt w:val="lowerRoman"/>
      <w:lvlText w:val="%9."/>
      <w:lvlJc w:val="right"/>
      <w:pPr>
        <w:ind w:left="6480" w:hanging="180"/>
      </w:pPr>
    </w:lvl>
  </w:abstractNum>
  <w:abstractNum w:abstractNumId="14" w15:restartNumberingAfterBreak="0">
    <w:nsid w:val="095544DF"/>
    <w:multiLevelType w:val="hybridMultilevel"/>
    <w:tmpl w:val="E810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65E6BB"/>
    <w:multiLevelType w:val="hybridMultilevel"/>
    <w:tmpl w:val="8642FEF2"/>
    <w:lvl w:ilvl="0" w:tplc="4AACFB3A">
      <w:start w:val="1"/>
      <w:numFmt w:val="lowerRoman"/>
      <w:lvlText w:val="%1."/>
      <w:lvlJc w:val="left"/>
      <w:pPr>
        <w:ind w:left="720" w:hanging="360"/>
      </w:pPr>
    </w:lvl>
    <w:lvl w:ilvl="1" w:tplc="6330A228">
      <w:start w:val="1"/>
      <w:numFmt w:val="lowerLetter"/>
      <w:lvlText w:val="%2."/>
      <w:lvlJc w:val="left"/>
      <w:pPr>
        <w:ind w:left="1440" w:hanging="360"/>
      </w:pPr>
    </w:lvl>
    <w:lvl w:ilvl="2" w:tplc="769EFDA6">
      <w:start w:val="1"/>
      <w:numFmt w:val="lowerRoman"/>
      <w:lvlText w:val="%3."/>
      <w:lvlJc w:val="right"/>
      <w:pPr>
        <w:ind w:left="2160" w:hanging="180"/>
      </w:pPr>
    </w:lvl>
    <w:lvl w:ilvl="3" w:tplc="902C515A">
      <w:start w:val="1"/>
      <w:numFmt w:val="decimal"/>
      <w:lvlText w:val="%4."/>
      <w:lvlJc w:val="left"/>
      <w:pPr>
        <w:ind w:left="2880" w:hanging="360"/>
      </w:pPr>
    </w:lvl>
    <w:lvl w:ilvl="4" w:tplc="775A46F0">
      <w:start w:val="1"/>
      <w:numFmt w:val="lowerLetter"/>
      <w:lvlText w:val="%5."/>
      <w:lvlJc w:val="left"/>
      <w:pPr>
        <w:ind w:left="3600" w:hanging="360"/>
      </w:pPr>
    </w:lvl>
    <w:lvl w:ilvl="5" w:tplc="C1E04EFA">
      <w:start w:val="1"/>
      <w:numFmt w:val="lowerRoman"/>
      <w:lvlText w:val="%6."/>
      <w:lvlJc w:val="right"/>
      <w:pPr>
        <w:ind w:left="4320" w:hanging="180"/>
      </w:pPr>
    </w:lvl>
    <w:lvl w:ilvl="6" w:tplc="21B4382C">
      <w:start w:val="1"/>
      <w:numFmt w:val="decimal"/>
      <w:lvlText w:val="%7."/>
      <w:lvlJc w:val="left"/>
      <w:pPr>
        <w:ind w:left="5040" w:hanging="360"/>
      </w:pPr>
    </w:lvl>
    <w:lvl w:ilvl="7" w:tplc="508C9118">
      <w:start w:val="1"/>
      <w:numFmt w:val="lowerLetter"/>
      <w:lvlText w:val="%8."/>
      <w:lvlJc w:val="left"/>
      <w:pPr>
        <w:ind w:left="5760" w:hanging="360"/>
      </w:pPr>
    </w:lvl>
    <w:lvl w:ilvl="8" w:tplc="E744AAEE">
      <w:start w:val="1"/>
      <w:numFmt w:val="lowerRoman"/>
      <w:lvlText w:val="%9."/>
      <w:lvlJc w:val="right"/>
      <w:pPr>
        <w:ind w:left="6480" w:hanging="180"/>
      </w:pPr>
    </w:lvl>
  </w:abstractNum>
  <w:abstractNum w:abstractNumId="16" w15:restartNumberingAfterBreak="0">
    <w:nsid w:val="09C458A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BAC3751"/>
    <w:multiLevelType w:val="hybridMultilevel"/>
    <w:tmpl w:val="7E5AB34A"/>
    <w:lvl w:ilvl="0" w:tplc="97EEF980">
      <w:start w:val="1"/>
      <w:numFmt w:val="lowerLetter"/>
      <w:lvlText w:val="%1."/>
      <w:lvlJc w:val="left"/>
      <w:pPr>
        <w:ind w:left="720" w:hanging="360"/>
      </w:pPr>
    </w:lvl>
    <w:lvl w:ilvl="1" w:tplc="2F0095E2">
      <w:start w:val="1"/>
      <w:numFmt w:val="lowerLetter"/>
      <w:lvlText w:val="%2."/>
      <w:lvlJc w:val="left"/>
      <w:pPr>
        <w:ind w:left="1440" w:hanging="360"/>
      </w:pPr>
    </w:lvl>
    <w:lvl w:ilvl="2" w:tplc="678E2D96">
      <w:start w:val="1"/>
      <w:numFmt w:val="lowerRoman"/>
      <w:lvlText w:val="%3."/>
      <w:lvlJc w:val="right"/>
      <w:pPr>
        <w:ind w:left="2160" w:hanging="180"/>
      </w:pPr>
    </w:lvl>
    <w:lvl w:ilvl="3" w:tplc="61AA52CE">
      <w:start w:val="1"/>
      <w:numFmt w:val="decimal"/>
      <w:lvlText w:val="%4."/>
      <w:lvlJc w:val="left"/>
      <w:pPr>
        <w:ind w:left="2880" w:hanging="360"/>
      </w:pPr>
    </w:lvl>
    <w:lvl w:ilvl="4" w:tplc="2F7027F6">
      <w:start w:val="1"/>
      <w:numFmt w:val="lowerLetter"/>
      <w:lvlText w:val="%5."/>
      <w:lvlJc w:val="left"/>
      <w:pPr>
        <w:ind w:left="3600" w:hanging="360"/>
      </w:pPr>
    </w:lvl>
    <w:lvl w:ilvl="5" w:tplc="919219F6">
      <w:start w:val="1"/>
      <w:numFmt w:val="lowerRoman"/>
      <w:lvlText w:val="%6."/>
      <w:lvlJc w:val="right"/>
      <w:pPr>
        <w:ind w:left="4320" w:hanging="180"/>
      </w:pPr>
    </w:lvl>
    <w:lvl w:ilvl="6" w:tplc="59F463F0">
      <w:start w:val="1"/>
      <w:numFmt w:val="decimal"/>
      <w:lvlText w:val="%7."/>
      <w:lvlJc w:val="left"/>
      <w:pPr>
        <w:ind w:left="5040" w:hanging="360"/>
      </w:pPr>
    </w:lvl>
    <w:lvl w:ilvl="7" w:tplc="56E04304">
      <w:start w:val="1"/>
      <w:numFmt w:val="lowerLetter"/>
      <w:lvlText w:val="%8."/>
      <w:lvlJc w:val="left"/>
      <w:pPr>
        <w:ind w:left="5760" w:hanging="360"/>
      </w:pPr>
    </w:lvl>
    <w:lvl w:ilvl="8" w:tplc="3C54BBBE">
      <w:start w:val="1"/>
      <w:numFmt w:val="lowerRoman"/>
      <w:lvlText w:val="%9."/>
      <w:lvlJc w:val="right"/>
      <w:pPr>
        <w:ind w:left="6480" w:hanging="180"/>
      </w:pPr>
    </w:lvl>
  </w:abstractNum>
  <w:abstractNum w:abstractNumId="18" w15:restartNumberingAfterBreak="0">
    <w:nsid w:val="11E93ABE"/>
    <w:multiLevelType w:val="multilevel"/>
    <w:tmpl w:val="74A2CF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146E67AD"/>
    <w:multiLevelType w:val="hybridMultilevel"/>
    <w:tmpl w:val="2CB8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7859AB"/>
    <w:multiLevelType w:val="hybridMultilevel"/>
    <w:tmpl w:val="BD026FB8"/>
    <w:lvl w:ilvl="0" w:tplc="44DE8858">
      <w:start w:val="1"/>
      <w:numFmt w:val="bullet"/>
      <w:lvlText w:val="·"/>
      <w:lvlJc w:val="left"/>
      <w:pPr>
        <w:ind w:left="720" w:hanging="360"/>
      </w:pPr>
      <w:rPr>
        <w:rFonts w:ascii="Symbol" w:hAnsi="Symbol" w:hint="default"/>
      </w:rPr>
    </w:lvl>
    <w:lvl w:ilvl="1" w:tplc="34669A82">
      <w:start w:val="1"/>
      <w:numFmt w:val="bullet"/>
      <w:lvlText w:val="o"/>
      <w:lvlJc w:val="left"/>
      <w:pPr>
        <w:ind w:left="1440" w:hanging="360"/>
      </w:pPr>
      <w:rPr>
        <w:rFonts w:ascii="Courier New" w:hAnsi="Courier New" w:hint="default"/>
      </w:rPr>
    </w:lvl>
    <w:lvl w:ilvl="2" w:tplc="18C8F3B4">
      <w:start w:val="1"/>
      <w:numFmt w:val="bullet"/>
      <w:lvlText w:val=""/>
      <w:lvlJc w:val="left"/>
      <w:pPr>
        <w:ind w:left="2160" w:hanging="360"/>
      </w:pPr>
      <w:rPr>
        <w:rFonts w:ascii="Wingdings" w:hAnsi="Wingdings" w:hint="default"/>
      </w:rPr>
    </w:lvl>
    <w:lvl w:ilvl="3" w:tplc="F984D804">
      <w:start w:val="1"/>
      <w:numFmt w:val="bullet"/>
      <w:lvlText w:val=""/>
      <w:lvlJc w:val="left"/>
      <w:pPr>
        <w:ind w:left="2880" w:hanging="360"/>
      </w:pPr>
      <w:rPr>
        <w:rFonts w:ascii="Symbol" w:hAnsi="Symbol" w:hint="default"/>
      </w:rPr>
    </w:lvl>
    <w:lvl w:ilvl="4" w:tplc="B4D4C804">
      <w:start w:val="1"/>
      <w:numFmt w:val="bullet"/>
      <w:lvlText w:val="o"/>
      <w:lvlJc w:val="left"/>
      <w:pPr>
        <w:ind w:left="3600" w:hanging="360"/>
      </w:pPr>
      <w:rPr>
        <w:rFonts w:ascii="Courier New" w:hAnsi="Courier New" w:hint="default"/>
      </w:rPr>
    </w:lvl>
    <w:lvl w:ilvl="5" w:tplc="EB26AC6C">
      <w:start w:val="1"/>
      <w:numFmt w:val="bullet"/>
      <w:lvlText w:val=""/>
      <w:lvlJc w:val="left"/>
      <w:pPr>
        <w:ind w:left="4320" w:hanging="360"/>
      </w:pPr>
      <w:rPr>
        <w:rFonts w:ascii="Wingdings" w:hAnsi="Wingdings" w:hint="default"/>
      </w:rPr>
    </w:lvl>
    <w:lvl w:ilvl="6" w:tplc="4B02F3E8">
      <w:start w:val="1"/>
      <w:numFmt w:val="bullet"/>
      <w:lvlText w:val=""/>
      <w:lvlJc w:val="left"/>
      <w:pPr>
        <w:ind w:left="5040" w:hanging="360"/>
      </w:pPr>
      <w:rPr>
        <w:rFonts w:ascii="Symbol" w:hAnsi="Symbol" w:hint="default"/>
      </w:rPr>
    </w:lvl>
    <w:lvl w:ilvl="7" w:tplc="9B6ABAA6">
      <w:start w:val="1"/>
      <w:numFmt w:val="bullet"/>
      <w:lvlText w:val="o"/>
      <w:lvlJc w:val="left"/>
      <w:pPr>
        <w:ind w:left="5760" w:hanging="360"/>
      </w:pPr>
      <w:rPr>
        <w:rFonts w:ascii="Courier New" w:hAnsi="Courier New" w:hint="default"/>
      </w:rPr>
    </w:lvl>
    <w:lvl w:ilvl="8" w:tplc="2512A2D6">
      <w:start w:val="1"/>
      <w:numFmt w:val="bullet"/>
      <w:lvlText w:val=""/>
      <w:lvlJc w:val="left"/>
      <w:pPr>
        <w:ind w:left="6480" w:hanging="360"/>
      </w:pPr>
      <w:rPr>
        <w:rFonts w:ascii="Wingdings" w:hAnsi="Wingdings" w:hint="default"/>
      </w:rPr>
    </w:lvl>
  </w:abstractNum>
  <w:abstractNum w:abstractNumId="21" w15:restartNumberingAfterBreak="0">
    <w:nsid w:val="16D8E48A"/>
    <w:multiLevelType w:val="hybridMultilevel"/>
    <w:tmpl w:val="37423468"/>
    <w:lvl w:ilvl="0" w:tplc="0298DE84">
      <w:start w:val="1"/>
      <w:numFmt w:val="bullet"/>
      <w:lvlText w:val="-"/>
      <w:lvlJc w:val="left"/>
      <w:pPr>
        <w:ind w:left="720" w:hanging="360"/>
      </w:pPr>
      <w:rPr>
        <w:rFonts w:ascii="Aptos" w:hAnsi="Aptos" w:hint="default"/>
      </w:rPr>
    </w:lvl>
    <w:lvl w:ilvl="1" w:tplc="037640DE">
      <w:start w:val="1"/>
      <w:numFmt w:val="bullet"/>
      <w:lvlText w:val="o"/>
      <w:lvlJc w:val="left"/>
      <w:pPr>
        <w:ind w:left="1440" w:hanging="360"/>
      </w:pPr>
      <w:rPr>
        <w:rFonts w:ascii="Courier New" w:hAnsi="Courier New" w:hint="default"/>
      </w:rPr>
    </w:lvl>
    <w:lvl w:ilvl="2" w:tplc="EAF08D58">
      <w:start w:val="1"/>
      <w:numFmt w:val="bullet"/>
      <w:lvlText w:val=""/>
      <w:lvlJc w:val="left"/>
      <w:pPr>
        <w:ind w:left="2160" w:hanging="360"/>
      </w:pPr>
      <w:rPr>
        <w:rFonts w:ascii="Wingdings" w:hAnsi="Wingdings" w:hint="default"/>
      </w:rPr>
    </w:lvl>
    <w:lvl w:ilvl="3" w:tplc="13E46300">
      <w:start w:val="1"/>
      <w:numFmt w:val="bullet"/>
      <w:lvlText w:val=""/>
      <w:lvlJc w:val="left"/>
      <w:pPr>
        <w:ind w:left="2880" w:hanging="360"/>
      </w:pPr>
      <w:rPr>
        <w:rFonts w:ascii="Symbol" w:hAnsi="Symbol" w:hint="default"/>
      </w:rPr>
    </w:lvl>
    <w:lvl w:ilvl="4" w:tplc="627CAF08">
      <w:start w:val="1"/>
      <w:numFmt w:val="bullet"/>
      <w:lvlText w:val="o"/>
      <w:lvlJc w:val="left"/>
      <w:pPr>
        <w:ind w:left="3600" w:hanging="360"/>
      </w:pPr>
      <w:rPr>
        <w:rFonts w:ascii="Courier New" w:hAnsi="Courier New" w:hint="default"/>
      </w:rPr>
    </w:lvl>
    <w:lvl w:ilvl="5" w:tplc="6D2490A0">
      <w:start w:val="1"/>
      <w:numFmt w:val="bullet"/>
      <w:lvlText w:val=""/>
      <w:lvlJc w:val="left"/>
      <w:pPr>
        <w:ind w:left="4320" w:hanging="360"/>
      </w:pPr>
      <w:rPr>
        <w:rFonts w:ascii="Wingdings" w:hAnsi="Wingdings" w:hint="default"/>
      </w:rPr>
    </w:lvl>
    <w:lvl w:ilvl="6" w:tplc="EB3E3626">
      <w:start w:val="1"/>
      <w:numFmt w:val="bullet"/>
      <w:lvlText w:val=""/>
      <w:lvlJc w:val="left"/>
      <w:pPr>
        <w:ind w:left="5040" w:hanging="360"/>
      </w:pPr>
      <w:rPr>
        <w:rFonts w:ascii="Symbol" w:hAnsi="Symbol" w:hint="default"/>
      </w:rPr>
    </w:lvl>
    <w:lvl w:ilvl="7" w:tplc="BE1A873C">
      <w:start w:val="1"/>
      <w:numFmt w:val="bullet"/>
      <w:lvlText w:val="o"/>
      <w:lvlJc w:val="left"/>
      <w:pPr>
        <w:ind w:left="5760" w:hanging="360"/>
      </w:pPr>
      <w:rPr>
        <w:rFonts w:ascii="Courier New" w:hAnsi="Courier New" w:hint="default"/>
      </w:rPr>
    </w:lvl>
    <w:lvl w:ilvl="8" w:tplc="77BE2F7A">
      <w:start w:val="1"/>
      <w:numFmt w:val="bullet"/>
      <w:lvlText w:val=""/>
      <w:lvlJc w:val="left"/>
      <w:pPr>
        <w:ind w:left="6480" w:hanging="360"/>
      </w:pPr>
      <w:rPr>
        <w:rFonts w:ascii="Wingdings" w:hAnsi="Wingdings" w:hint="default"/>
      </w:rPr>
    </w:lvl>
  </w:abstractNum>
  <w:abstractNum w:abstractNumId="22" w15:restartNumberingAfterBreak="0">
    <w:nsid w:val="17BB0A31"/>
    <w:multiLevelType w:val="hybridMultilevel"/>
    <w:tmpl w:val="88F6BF0A"/>
    <w:lvl w:ilvl="0" w:tplc="8ED036CE">
      <w:start w:val="1"/>
      <w:numFmt w:val="bullet"/>
      <w:lvlText w:val="-"/>
      <w:lvlJc w:val="left"/>
      <w:pPr>
        <w:ind w:left="720" w:hanging="360"/>
      </w:pPr>
      <w:rPr>
        <w:rFonts w:ascii="Aptos" w:hAnsi="Aptos" w:hint="default"/>
      </w:rPr>
    </w:lvl>
    <w:lvl w:ilvl="1" w:tplc="092EA70C">
      <w:start w:val="1"/>
      <w:numFmt w:val="bullet"/>
      <w:lvlText w:val="o"/>
      <w:lvlJc w:val="left"/>
      <w:pPr>
        <w:ind w:left="1440" w:hanging="360"/>
      </w:pPr>
      <w:rPr>
        <w:rFonts w:ascii="Courier New" w:hAnsi="Courier New" w:hint="default"/>
      </w:rPr>
    </w:lvl>
    <w:lvl w:ilvl="2" w:tplc="039E24A6">
      <w:start w:val="1"/>
      <w:numFmt w:val="bullet"/>
      <w:lvlText w:val=""/>
      <w:lvlJc w:val="left"/>
      <w:pPr>
        <w:ind w:left="2160" w:hanging="360"/>
      </w:pPr>
      <w:rPr>
        <w:rFonts w:ascii="Wingdings" w:hAnsi="Wingdings" w:hint="default"/>
      </w:rPr>
    </w:lvl>
    <w:lvl w:ilvl="3" w:tplc="51C8FA4A">
      <w:start w:val="1"/>
      <w:numFmt w:val="bullet"/>
      <w:lvlText w:val=""/>
      <w:lvlJc w:val="left"/>
      <w:pPr>
        <w:ind w:left="2880" w:hanging="360"/>
      </w:pPr>
      <w:rPr>
        <w:rFonts w:ascii="Symbol" w:hAnsi="Symbol" w:hint="default"/>
      </w:rPr>
    </w:lvl>
    <w:lvl w:ilvl="4" w:tplc="8D0C98F0">
      <w:start w:val="1"/>
      <w:numFmt w:val="bullet"/>
      <w:lvlText w:val="o"/>
      <w:lvlJc w:val="left"/>
      <w:pPr>
        <w:ind w:left="3600" w:hanging="360"/>
      </w:pPr>
      <w:rPr>
        <w:rFonts w:ascii="Courier New" w:hAnsi="Courier New" w:hint="default"/>
      </w:rPr>
    </w:lvl>
    <w:lvl w:ilvl="5" w:tplc="D3A01830">
      <w:start w:val="1"/>
      <w:numFmt w:val="bullet"/>
      <w:lvlText w:val=""/>
      <w:lvlJc w:val="left"/>
      <w:pPr>
        <w:ind w:left="4320" w:hanging="360"/>
      </w:pPr>
      <w:rPr>
        <w:rFonts w:ascii="Wingdings" w:hAnsi="Wingdings" w:hint="default"/>
      </w:rPr>
    </w:lvl>
    <w:lvl w:ilvl="6" w:tplc="5C80FDE4">
      <w:start w:val="1"/>
      <w:numFmt w:val="bullet"/>
      <w:lvlText w:val=""/>
      <w:lvlJc w:val="left"/>
      <w:pPr>
        <w:ind w:left="5040" w:hanging="360"/>
      </w:pPr>
      <w:rPr>
        <w:rFonts w:ascii="Symbol" w:hAnsi="Symbol" w:hint="default"/>
      </w:rPr>
    </w:lvl>
    <w:lvl w:ilvl="7" w:tplc="ABEE777E">
      <w:start w:val="1"/>
      <w:numFmt w:val="bullet"/>
      <w:lvlText w:val="o"/>
      <w:lvlJc w:val="left"/>
      <w:pPr>
        <w:ind w:left="5760" w:hanging="360"/>
      </w:pPr>
      <w:rPr>
        <w:rFonts w:ascii="Courier New" w:hAnsi="Courier New" w:hint="default"/>
      </w:rPr>
    </w:lvl>
    <w:lvl w:ilvl="8" w:tplc="BEA2CAA6">
      <w:start w:val="1"/>
      <w:numFmt w:val="bullet"/>
      <w:lvlText w:val=""/>
      <w:lvlJc w:val="left"/>
      <w:pPr>
        <w:ind w:left="6480" w:hanging="360"/>
      </w:pPr>
      <w:rPr>
        <w:rFonts w:ascii="Wingdings" w:hAnsi="Wingdings" w:hint="default"/>
      </w:rPr>
    </w:lvl>
  </w:abstractNum>
  <w:abstractNum w:abstractNumId="23" w15:restartNumberingAfterBreak="0">
    <w:nsid w:val="17FB2D80"/>
    <w:multiLevelType w:val="hybridMultilevel"/>
    <w:tmpl w:val="71B21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D8DC34"/>
    <w:multiLevelType w:val="hybridMultilevel"/>
    <w:tmpl w:val="71BA4B64"/>
    <w:lvl w:ilvl="0" w:tplc="C0B09E52">
      <w:start w:val="1"/>
      <w:numFmt w:val="bullet"/>
      <w:lvlText w:val=""/>
      <w:lvlJc w:val="left"/>
      <w:pPr>
        <w:ind w:left="720" w:hanging="360"/>
      </w:pPr>
      <w:rPr>
        <w:rFonts w:ascii="Symbol" w:hAnsi="Symbol" w:hint="default"/>
      </w:rPr>
    </w:lvl>
    <w:lvl w:ilvl="1" w:tplc="507892C0">
      <w:start w:val="1"/>
      <w:numFmt w:val="lowerLetter"/>
      <w:lvlText w:val="%2."/>
      <w:lvlJc w:val="left"/>
      <w:pPr>
        <w:ind w:left="1440" w:hanging="360"/>
      </w:pPr>
    </w:lvl>
    <w:lvl w:ilvl="2" w:tplc="5D062E32">
      <w:start w:val="1"/>
      <w:numFmt w:val="lowerRoman"/>
      <w:lvlText w:val="%3."/>
      <w:lvlJc w:val="right"/>
      <w:pPr>
        <w:ind w:left="2160" w:hanging="180"/>
      </w:pPr>
    </w:lvl>
    <w:lvl w:ilvl="3" w:tplc="8C287AF8">
      <w:start w:val="1"/>
      <w:numFmt w:val="decimal"/>
      <w:lvlText w:val="%4."/>
      <w:lvlJc w:val="left"/>
      <w:pPr>
        <w:ind w:left="2880" w:hanging="360"/>
      </w:pPr>
    </w:lvl>
    <w:lvl w:ilvl="4" w:tplc="EA0A4474">
      <w:start w:val="1"/>
      <w:numFmt w:val="lowerLetter"/>
      <w:lvlText w:val="%5."/>
      <w:lvlJc w:val="left"/>
      <w:pPr>
        <w:ind w:left="3600" w:hanging="360"/>
      </w:pPr>
    </w:lvl>
    <w:lvl w:ilvl="5" w:tplc="7EB4238C">
      <w:start w:val="1"/>
      <w:numFmt w:val="lowerRoman"/>
      <w:lvlText w:val="%6."/>
      <w:lvlJc w:val="right"/>
      <w:pPr>
        <w:ind w:left="4320" w:hanging="180"/>
      </w:pPr>
    </w:lvl>
    <w:lvl w:ilvl="6" w:tplc="17C2D6FC">
      <w:start w:val="1"/>
      <w:numFmt w:val="decimal"/>
      <w:lvlText w:val="%7."/>
      <w:lvlJc w:val="left"/>
      <w:pPr>
        <w:ind w:left="5040" w:hanging="360"/>
      </w:pPr>
    </w:lvl>
    <w:lvl w:ilvl="7" w:tplc="430A5D82">
      <w:start w:val="1"/>
      <w:numFmt w:val="lowerLetter"/>
      <w:lvlText w:val="%8."/>
      <w:lvlJc w:val="left"/>
      <w:pPr>
        <w:ind w:left="5760" w:hanging="360"/>
      </w:pPr>
    </w:lvl>
    <w:lvl w:ilvl="8" w:tplc="E0F0FF82">
      <w:start w:val="1"/>
      <w:numFmt w:val="lowerRoman"/>
      <w:lvlText w:val="%9."/>
      <w:lvlJc w:val="right"/>
      <w:pPr>
        <w:ind w:left="6480" w:hanging="180"/>
      </w:pPr>
    </w:lvl>
  </w:abstractNum>
  <w:abstractNum w:abstractNumId="25" w15:restartNumberingAfterBreak="0">
    <w:nsid w:val="1BA12F31"/>
    <w:multiLevelType w:val="multilevel"/>
    <w:tmpl w:val="6AF84B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6" w15:restartNumberingAfterBreak="0">
    <w:nsid w:val="1C622236"/>
    <w:multiLevelType w:val="hybridMultilevel"/>
    <w:tmpl w:val="737A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74101D"/>
    <w:multiLevelType w:val="hybridMultilevel"/>
    <w:tmpl w:val="A404B4EE"/>
    <w:lvl w:ilvl="0" w:tplc="C3B6D296">
      <w:start w:val="1"/>
      <w:numFmt w:val="bullet"/>
      <w:lvlText w:val="o"/>
      <w:lvlJc w:val="left"/>
      <w:pPr>
        <w:tabs>
          <w:tab w:val="num" w:pos="720"/>
        </w:tabs>
        <w:ind w:left="720" w:hanging="360"/>
      </w:pPr>
      <w:rPr>
        <w:rFonts w:ascii="Courier New,monospace" w:hAnsi="Courier New,monospace" w:hint="default"/>
      </w:rPr>
    </w:lvl>
    <w:lvl w:ilvl="1" w:tplc="54A4B236">
      <w:start w:val="1"/>
      <w:numFmt w:val="bullet"/>
      <w:lvlText w:val="o"/>
      <w:lvlJc w:val="left"/>
      <w:pPr>
        <w:tabs>
          <w:tab w:val="num" w:pos="1440"/>
        </w:tabs>
        <w:ind w:left="1440" w:hanging="360"/>
      </w:pPr>
      <w:rPr>
        <w:rFonts w:ascii="Courier New,monospace" w:hAnsi="Courier New,monospace" w:hint="default"/>
      </w:rPr>
    </w:lvl>
    <w:lvl w:ilvl="2" w:tplc="59DCB69A" w:tentative="1">
      <w:start w:val="1"/>
      <w:numFmt w:val="bullet"/>
      <w:lvlText w:val="o"/>
      <w:lvlJc w:val="left"/>
      <w:pPr>
        <w:tabs>
          <w:tab w:val="num" w:pos="2160"/>
        </w:tabs>
        <w:ind w:left="2160" w:hanging="360"/>
      </w:pPr>
      <w:rPr>
        <w:rFonts w:ascii="Courier New,monospace" w:hAnsi="Courier New,monospace" w:hint="default"/>
      </w:rPr>
    </w:lvl>
    <w:lvl w:ilvl="3" w:tplc="B4B62C54" w:tentative="1">
      <w:start w:val="1"/>
      <w:numFmt w:val="bullet"/>
      <w:lvlText w:val="o"/>
      <w:lvlJc w:val="left"/>
      <w:pPr>
        <w:tabs>
          <w:tab w:val="num" w:pos="2880"/>
        </w:tabs>
        <w:ind w:left="2880" w:hanging="360"/>
      </w:pPr>
      <w:rPr>
        <w:rFonts w:ascii="Courier New,monospace" w:hAnsi="Courier New,monospace" w:hint="default"/>
      </w:rPr>
    </w:lvl>
    <w:lvl w:ilvl="4" w:tplc="122A19B4" w:tentative="1">
      <w:start w:val="1"/>
      <w:numFmt w:val="bullet"/>
      <w:lvlText w:val="o"/>
      <w:lvlJc w:val="left"/>
      <w:pPr>
        <w:tabs>
          <w:tab w:val="num" w:pos="3600"/>
        </w:tabs>
        <w:ind w:left="3600" w:hanging="360"/>
      </w:pPr>
      <w:rPr>
        <w:rFonts w:ascii="Courier New,monospace" w:hAnsi="Courier New,monospace" w:hint="default"/>
      </w:rPr>
    </w:lvl>
    <w:lvl w:ilvl="5" w:tplc="7F94D224" w:tentative="1">
      <w:start w:val="1"/>
      <w:numFmt w:val="bullet"/>
      <w:lvlText w:val="o"/>
      <w:lvlJc w:val="left"/>
      <w:pPr>
        <w:tabs>
          <w:tab w:val="num" w:pos="4320"/>
        </w:tabs>
        <w:ind w:left="4320" w:hanging="360"/>
      </w:pPr>
      <w:rPr>
        <w:rFonts w:ascii="Courier New,monospace" w:hAnsi="Courier New,monospace" w:hint="default"/>
      </w:rPr>
    </w:lvl>
    <w:lvl w:ilvl="6" w:tplc="2F5C2DB2" w:tentative="1">
      <w:start w:val="1"/>
      <w:numFmt w:val="bullet"/>
      <w:lvlText w:val="o"/>
      <w:lvlJc w:val="left"/>
      <w:pPr>
        <w:tabs>
          <w:tab w:val="num" w:pos="5040"/>
        </w:tabs>
        <w:ind w:left="5040" w:hanging="360"/>
      </w:pPr>
      <w:rPr>
        <w:rFonts w:ascii="Courier New,monospace" w:hAnsi="Courier New,monospace" w:hint="default"/>
      </w:rPr>
    </w:lvl>
    <w:lvl w:ilvl="7" w:tplc="95FC5016" w:tentative="1">
      <w:start w:val="1"/>
      <w:numFmt w:val="bullet"/>
      <w:lvlText w:val="o"/>
      <w:lvlJc w:val="left"/>
      <w:pPr>
        <w:tabs>
          <w:tab w:val="num" w:pos="5760"/>
        </w:tabs>
        <w:ind w:left="5760" w:hanging="360"/>
      </w:pPr>
      <w:rPr>
        <w:rFonts w:ascii="Courier New,monospace" w:hAnsi="Courier New,monospace" w:hint="default"/>
      </w:rPr>
    </w:lvl>
    <w:lvl w:ilvl="8" w:tplc="D4960F6E" w:tentative="1">
      <w:start w:val="1"/>
      <w:numFmt w:val="bullet"/>
      <w:lvlText w:val="o"/>
      <w:lvlJc w:val="left"/>
      <w:pPr>
        <w:tabs>
          <w:tab w:val="num" w:pos="6480"/>
        </w:tabs>
        <w:ind w:left="6480" w:hanging="360"/>
      </w:pPr>
      <w:rPr>
        <w:rFonts w:ascii="Courier New,monospace" w:hAnsi="Courier New,monospace" w:hint="default"/>
      </w:rPr>
    </w:lvl>
  </w:abstractNum>
  <w:abstractNum w:abstractNumId="28" w15:restartNumberingAfterBreak="0">
    <w:nsid w:val="1E5D5686"/>
    <w:multiLevelType w:val="hybridMultilevel"/>
    <w:tmpl w:val="15665E36"/>
    <w:lvl w:ilvl="0" w:tplc="D858229C">
      <w:start w:val="1"/>
      <w:numFmt w:val="lowerRoman"/>
      <w:lvlText w:val="%1."/>
      <w:lvlJc w:val="left"/>
      <w:pPr>
        <w:ind w:left="360" w:hanging="360"/>
      </w:pPr>
    </w:lvl>
    <w:lvl w:ilvl="1" w:tplc="173CB2A0">
      <w:start w:val="1"/>
      <w:numFmt w:val="lowerLetter"/>
      <w:lvlText w:val="%2."/>
      <w:lvlJc w:val="left"/>
      <w:pPr>
        <w:ind w:left="1080" w:hanging="360"/>
      </w:pPr>
    </w:lvl>
    <w:lvl w:ilvl="2" w:tplc="128C073C">
      <w:start w:val="1"/>
      <w:numFmt w:val="lowerRoman"/>
      <w:lvlText w:val="%3."/>
      <w:lvlJc w:val="right"/>
      <w:pPr>
        <w:ind w:left="1800" w:hanging="180"/>
      </w:pPr>
    </w:lvl>
    <w:lvl w:ilvl="3" w:tplc="078845EC">
      <w:start w:val="1"/>
      <w:numFmt w:val="decimal"/>
      <w:lvlText w:val="%4."/>
      <w:lvlJc w:val="left"/>
      <w:pPr>
        <w:ind w:left="2520" w:hanging="360"/>
      </w:pPr>
    </w:lvl>
    <w:lvl w:ilvl="4" w:tplc="DD6C2390">
      <w:start w:val="1"/>
      <w:numFmt w:val="lowerLetter"/>
      <w:lvlText w:val="%5."/>
      <w:lvlJc w:val="left"/>
      <w:pPr>
        <w:ind w:left="3240" w:hanging="360"/>
      </w:pPr>
    </w:lvl>
    <w:lvl w:ilvl="5" w:tplc="C1FA3B22">
      <w:start w:val="1"/>
      <w:numFmt w:val="lowerRoman"/>
      <w:lvlText w:val="%6."/>
      <w:lvlJc w:val="right"/>
      <w:pPr>
        <w:ind w:left="3960" w:hanging="180"/>
      </w:pPr>
    </w:lvl>
    <w:lvl w:ilvl="6" w:tplc="DF44BC94">
      <w:start w:val="1"/>
      <w:numFmt w:val="decimal"/>
      <w:lvlText w:val="%7."/>
      <w:lvlJc w:val="left"/>
      <w:pPr>
        <w:ind w:left="4680" w:hanging="360"/>
      </w:pPr>
    </w:lvl>
    <w:lvl w:ilvl="7" w:tplc="1ABC074C">
      <w:start w:val="1"/>
      <w:numFmt w:val="lowerLetter"/>
      <w:lvlText w:val="%8."/>
      <w:lvlJc w:val="left"/>
      <w:pPr>
        <w:ind w:left="5400" w:hanging="360"/>
      </w:pPr>
    </w:lvl>
    <w:lvl w:ilvl="8" w:tplc="2AB0111C">
      <w:start w:val="1"/>
      <w:numFmt w:val="lowerRoman"/>
      <w:lvlText w:val="%9."/>
      <w:lvlJc w:val="right"/>
      <w:pPr>
        <w:ind w:left="6120" w:hanging="180"/>
      </w:pPr>
    </w:lvl>
  </w:abstractNum>
  <w:abstractNum w:abstractNumId="29" w15:restartNumberingAfterBreak="0">
    <w:nsid w:val="1ECA407A"/>
    <w:multiLevelType w:val="hybridMultilevel"/>
    <w:tmpl w:val="4B4AC876"/>
    <w:lvl w:ilvl="0" w:tplc="0CD811AC">
      <w:start w:val="1"/>
      <w:numFmt w:val="lowerLetter"/>
      <w:lvlText w:val="%1."/>
      <w:lvlJc w:val="left"/>
      <w:pPr>
        <w:ind w:left="360" w:hanging="360"/>
      </w:pPr>
    </w:lvl>
    <w:lvl w:ilvl="1" w:tplc="52004F9E">
      <w:start w:val="1"/>
      <w:numFmt w:val="lowerLetter"/>
      <w:lvlText w:val="%2."/>
      <w:lvlJc w:val="left"/>
      <w:pPr>
        <w:ind w:left="1440" w:hanging="360"/>
      </w:pPr>
    </w:lvl>
    <w:lvl w:ilvl="2" w:tplc="D00E4010">
      <w:start w:val="1"/>
      <w:numFmt w:val="lowerRoman"/>
      <w:lvlText w:val="%3."/>
      <w:lvlJc w:val="right"/>
      <w:pPr>
        <w:ind w:left="2160" w:hanging="180"/>
      </w:pPr>
    </w:lvl>
    <w:lvl w:ilvl="3" w:tplc="F1168F2C">
      <w:start w:val="1"/>
      <w:numFmt w:val="decimal"/>
      <w:lvlText w:val="%4."/>
      <w:lvlJc w:val="left"/>
      <w:pPr>
        <w:ind w:left="2880" w:hanging="360"/>
      </w:pPr>
    </w:lvl>
    <w:lvl w:ilvl="4" w:tplc="239C9EB2">
      <w:start w:val="1"/>
      <w:numFmt w:val="lowerLetter"/>
      <w:lvlText w:val="%5."/>
      <w:lvlJc w:val="left"/>
      <w:pPr>
        <w:ind w:left="3600" w:hanging="360"/>
      </w:pPr>
    </w:lvl>
    <w:lvl w:ilvl="5" w:tplc="837ED99E">
      <w:start w:val="1"/>
      <w:numFmt w:val="lowerRoman"/>
      <w:lvlText w:val="%6."/>
      <w:lvlJc w:val="right"/>
      <w:pPr>
        <w:ind w:left="4320" w:hanging="180"/>
      </w:pPr>
    </w:lvl>
    <w:lvl w:ilvl="6" w:tplc="32D216FA">
      <w:start w:val="1"/>
      <w:numFmt w:val="decimal"/>
      <w:lvlText w:val="%7."/>
      <w:lvlJc w:val="left"/>
      <w:pPr>
        <w:ind w:left="5040" w:hanging="360"/>
      </w:pPr>
    </w:lvl>
    <w:lvl w:ilvl="7" w:tplc="C1AA4BA6">
      <w:start w:val="1"/>
      <w:numFmt w:val="lowerLetter"/>
      <w:lvlText w:val="%8."/>
      <w:lvlJc w:val="left"/>
      <w:pPr>
        <w:ind w:left="5760" w:hanging="360"/>
      </w:pPr>
    </w:lvl>
    <w:lvl w:ilvl="8" w:tplc="7CC8780E">
      <w:start w:val="1"/>
      <w:numFmt w:val="lowerRoman"/>
      <w:lvlText w:val="%9."/>
      <w:lvlJc w:val="right"/>
      <w:pPr>
        <w:ind w:left="6480" w:hanging="180"/>
      </w:pPr>
    </w:lvl>
  </w:abstractNum>
  <w:abstractNum w:abstractNumId="30" w15:restartNumberingAfterBreak="0">
    <w:nsid w:val="1F57357C"/>
    <w:multiLevelType w:val="hybridMultilevel"/>
    <w:tmpl w:val="6958B2CA"/>
    <w:lvl w:ilvl="0" w:tplc="7F402A86">
      <w:start w:val="1"/>
      <w:numFmt w:val="lowerLetter"/>
      <w:lvlText w:val="%1."/>
      <w:lvlJc w:val="left"/>
      <w:pPr>
        <w:ind w:left="720" w:hanging="360"/>
      </w:pPr>
    </w:lvl>
    <w:lvl w:ilvl="1" w:tplc="CF5EDD82">
      <w:start w:val="1"/>
      <w:numFmt w:val="lowerLetter"/>
      <w:lvlText w:val="%2."/>
      <w:lvlJc w:val="left"/>
      <w:pPr>
        <w:ind w:left="1440" w:hanging="360"/>
      </w:pPr>
    </w:lvl>
    <w:lvl w:ilvl="2" w:tplc="870C557A">
      <w:start w:val="1"/>
      <w:numFmt w:val="lowerRoman"/>
      <w:lvlText w:val="%3."/>
      <w:lvlJc w:val="right"/>
      <w:pPr>
        <w:ind w:left="2160" w:hanging="180"/>
      </w:pPr>
    </w:lvl>
    <w:lvl w:ilvl="3" w:tplc="B4FEE112">
      <w:start w:val="1"/>
      <w:numFmt w:val="decimal"/>
      <w:lvlText w:val="%4."/>
      <w:lvlJc w:val="left"/>
      <w:pPr>
        <w:ind w:left="2880" w:hanging="360"/>
      </w:pPr>
    </w:lvl>
    <w:lvl w:ilvl="4" w:tplc="136688B8">
      <w:start w:val="1"/>
      <w:numFmt w:val="lowerLetter"/>
      <w:lvlText w:val="%5."/>
      <w:lvlJc w:val="left"/>
      <w:pPr>
        <w:ind w:left="3600" w:hanging="360"/>
      </w:pPr>
    </w:lvl>
    <w:lvl w:ilvl="5" w:tplc="7A08EE0C">
      <w:start w:val="1"/>
      <w:numFmt w:val="lowerRoman"/>
      <w:lvlText w:val="%6."/>
      <w:lvlJc w:val="right"/>
      <w:pPr>
        <w:ind w:left="4320" w:hanging="180"/>
      </w:pPr>
    </w:lvl>
    <w:lvl w:ilvl="6" w:tplc="0A7C9F0E">
      <w:start w:val="1"/>
      <w:numFmt w:val="decimal"/>
      <w:lvlText w:val="%7."/>
      <w:lvlJc w:val="left"/>
      <w:pPr>
        <w:ind w:left="5040" w:hanging="360"/>
      </w:pPr>
    </w:lvl>
    <w:lvl w:ilvl="7" w:tplc="4E8A680A">
      <w:start w:val="1"/>
      <w:numFmt w:val="lowerLetter"/>
      <w:lvlText w:val="%8."/>
      <w:lvlJc w:val="left"/>
      <w:pPr>
        <w:ind w:left="5760" w:hanging="360"/>
      </w:pPr>
    </w:lvl>
    <w:lvl w:ilvl="8" w:tplc="C248DEC4">
      <w:start w:val="1"/>
      <w:numFmt w:val="lowerRoman"/>
      <w:lvlText w:val="%9."/>
      <w:lvlJc w:val="right"/>
      <w:pPr>
        <w:ind w:left="6480" w:hanging="180"/>
      </w:pPr>
    </w:lvl>
  </w:abstractNum>
  <w:abstractNum w:abstractNumId="31" w15:restartNumberingAfterBreak="0">
    <w:nsid w:val="21D36168"/>
    <w:multiLevelType w:val="multilevel"/>
    <w:tmpl w:val="8DB25B50"/>
    <w:lvl w:ilvl="0">
      <w:start w:val="1"/>
      <w:numFmt w:val="bullet"/>
      <w:pStyle w:val="List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32" w15:restartNumberingAfterBreak="0">
    <w:nsid w:val="225A12AA"/>
    <w:multiLevelType w:val="multilevel"/>
    <w:tmpl w:val="710A15C2"/>
    <w:lvl w:ilvl="0">
      <w:start w:val="1"/>
      <w:numFmt w:val="decimal"/>
      <w:pStyle w:val="ListNumb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2BE0FFE"/>
    <w:multiLevelType w:val="hybridMultilevel"/>
    <w:tmpl w:val="85F0C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3EB2198"/>
    <w:multiLevelType w:val="hybridMultilevel"/>
    <w:tmpl w:val="218434FE"/>
    <w:lvl w:ilvl="0" w:tplc="42FE6E96">
      <w:numFmt w:val="bullet"/>
      <w:lvlText w:val=""/>
      <w:lvlJc w:val="left"/>
      <w:pPr>
        <w:ind w:left="720" w:hanging="360"/>
      </w:pPr>
      <w:rPr>
        <w:rFonts w:ascii="Symbol" w:eastAsiaTheme="minorEastAsia"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47E2F9E"/>
    <w:multiLevelType w:val="hybridMultilevel"/>
    <w:tmpl w:val="10305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DE6FAF"/>
    <w:multiLevelType w:val="hybridMultilevel"/>
    <w:tmpl w:val="B638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6553E75"/>
    <w:multiLevelType w:val="hybridMultilevel"/>
    <w:tmpl w:val="ECCAA50A"/>
    <w:lvl w:ilvl="0" w:tplc="0FA0DC7E">
      <w:start w:val="1"/>
      <w:numFmt w:val="bullet"/>
      <w:lvlText w:val="·"/>
      <w:lvlJc w:val="left"/>
      <w:pPr>
        <w:ind w:left="720" w:hanging="360"/>
      </w:pPr>
      <w:rPr>
        <w:rFonts w:ascii="Symbol" w:hAnsi="Symbol" w:hint="default"/>
      </w:rPr>
    </w:lvl>
    <w:lvl w:ilvl="1" w:tplc="59242B90">
      <w:start w:val="1"/>
      <w:numFmt w:val="bullet"/>
      <w:lvlText w:val="o"/>
      <w:lvlJc w:val="left"/>
      <w:pPr>
        <w:ind w:left="1440" w:hanging="360"/>
      </w:pPr>
      <w:rPr>
        <w:rFonts w:ascii="Courier New" w:hAnsi="Courier New" w:hint="default"/>
      </w:rPr>
    </w:lvl>
    <w:lvl w:ilvl="2" w:tplc="90E04C02">
      <w:start w:val="1"/>
      <w:numFmt w:val="bullet"/>
      <w:lvlText w:val=""/>
      <w:lvlJc w:val="left"/>
      <w:pPr>
        <w:ind w:left="2160" w:hanging="360"/>
      </w:pPr>
      <w:rPr>
        <w:rFonts w:ascii="Wingdings" w:hAnsi="Wingdings" w:hint="default"/>
      </w:rPr>
    </w:lvl>
    <w:lvl w:ilvl="3" w:tplc="36221282">
      <w:start w:val="1"/>
      <w:numFmt w:val="bullet"/>
      <w:lvlText w:val=""/>
      <w:lvlJc w:val="left"/>
      <w:pPr>
        <w:ind w:left="2880" w:hanging="360"/>
      </w:pPr>
      <w:rPr>
        <w:rFonts w:ascii="Symbol" w:hAnsi="Symbol" w:hint="default"/>
      </w:rPr>
    </w:lvl>
    <w:lvl w:ilvl="4" w:tplc="73EC95A2">
      <w:start w:val="1"/>
      <w:numFmt w:val="bullet"/>
      <w:lvlText w:val="o"/>
      <w:lvlJc w:val="left"/>
      <w:pPr>
        <w:ind w:left="3600" w:hanging="360"/>
      </w:pPr>
      <w:rPr>
        <w:rFonts w:ascii="Courier New" w:hAnsi="Courier New" w:hint="default"/>
      </w:rPr>
    </w:lvl>
    <w:lvl w:ilvl="5" w:tplc="15409B7E">
      <w:start w:val="1"/>
      <w:numFmt w:val="bullet"/>
      <w:lvlText w:val=""/>
      <w:lvlJc w:val="left"/>
      <w:pPr>
        <w:ind w:left="4320" w:hanging="360"/>
      </w:pPr>
      <w:rPr>
        <w:rFonts w:ascii="Wingdings" w:hAnsi="Wingdings" w:hint="default"/>
      </w:rPr>
    </w:lvl>
    <w:lvl w:ilvl="6" w:tplc="A23E9258">
      <w:start w:val="1"/>
      <w:numFmt w:val="bullet"/>
      <w:lvlText w:val=""/>
      <w:lvlJc w:val="left"/>
      <w:pPr>
        <w:ind w:left="5040" w:hanging="360"/>
      </w:pPr>
      <w:rPr>
        <w:rFonts w:ascii="Symbol" w:hAnsi="Symbol" w:hint="default"/>
      </w:rPr>
    </w:lvl>
    <w:lvl w:ilvl="7" w:tplc="DB282F70">
      <w:start w:val="1"/>
      <w:numFmt w:val="bullet"/>
      <w:lvlText w:val="o"/>
      <w:lvlJc w:val="left"/>
      <w:pPr>
        <w:ind w:left="5760" w:hanging="360"/>
      </w:pPr>
      <w:rPr>
        <w:rFonts w:ascii="Courier New" w:hAnsi="Courier New" w:hint="default"/>
      </w:rPr>
    </w:lvl>
    <w:lvl w:ilvl="8" w:tplc="3F6EAE26">
      <w:start w:val="1"/>
      <w:numFmt w:val="bullet"/>
      <w:lvlText w:val=""/>
      <w:lvlJc w:val="left"/>
      <w:pPr>
        <w:ind w:left="6480" w:hanging="360"/>
      </w:pPr>
      <w:rPr>
        <w:rFonts w:ascii="Wingdings" w:hAnsi="Wingdings" w:hint="default"/>
      </w:rPr>
    </w:lvl>
  </w:abstractNum>
  <w:abstractNum w:abstractNumId="38" w15:restartNumberingAfterBreak="0">
    <w:nsid w:val="266C32DF"/>
    <w:multiLevelType w:val="multilevel"/>
    <w:tmpl w:val="ADF656C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color w:val="31849B" w:themeColor="accent2" w:themeShade="BF"/>
      </w:rPr>
    </w:lvl>
    <w:lvl w:ilvl="2">
      <w:start w:val="1"/>
      <w:numFmt w:val="bullet"/>
      <w:lvlText w:val="o"/>
      <w:lvlJc w:val="left"/>
      <w:pPr>
        <w:ind w:left="1080" w:hanging="360"/>
      </w:pPr>
      <w:rPr>
        <w:rFonts w:ascii="Courier New" w:hAnsi="Courier New" w:hint="default"/>
        <w:color w:val="948A54" w:themeColor="accent5"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6E97123"/>
    <w:multiLevelType w:val="hybridMultilevel"/>
    <w:tmpl w:val="2F14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72AAC5"/>
    <w:multiLevelType w:val="hybridMultilevel"/>
    <w:tmpl w:val="97E0FD42"/>
    <w:lvl w:ilvl="0" w:tplc="8248820A">
      <w:start w:val="1"/>
      <w:numFmt w:val="lowerLetter"/>
      <w:lvlText w:val="%1."/>
      <w:lvlJc w:val="left"/>
      <w:pPr>
        <w:ind w:left="360" w:hanging="360"/>
      </w:pPr>
    </w:lvl>
    <w:lvl w:ilvl="1" w:tplc="4D1EFFDC">
      <w:start w:val="1"/>
      <w:numFmt w:val="lowerLetter"/>
      <w:lvlText w:val="%2."/>
      <w:lvlJc w:val="left"/>
      <w:pPr>
        <w:ind w:left="1440" w:hanging="360"/>
      </w:pPr>
    </w:lvl>
    <w:lvl w:ilvl="2" w:tplc="49CC8062">
      <w:start w:val="1"/>
      <w:numFmt w:val="lowerRoman"/>
      <w:lvlText w:val="%3."/>
      <w:lvlJc w:val="right"/>
      <w:pPr>
        <w:ind w:left="2160" w:hanging="180"/>
      </w:pPr>
    </w:lvl>
    <w:lvl w:ilvl="3" w:tplc="997EE0EC">
      <w:start w:val="1"/>
      <w:numFmt w:val="decimal"/>
      <w:lvlText w:val="%4."/>
      <w:lvlJc w:val="left"/>
      <w:pPr>
        <w:ind w:left="2880" w:hanging="360"/>
      </w:pPr>
    </w:lvl>
    <w:lvl w:ilvl="4" w:tplc="3C42182A">
      <w:start w:val="1"/>
      <w:numFmt w:val="lowerLetter"/>
      <w:lvlText w:val="%5."/>
      <w:lvlJc w:val="left"/>
      <w:pPr>
        <w:ind w:left="3600" w:hanging="360"/>
      </w:pPr>
    </w:lvl>
    <w:lvl w:ilvl="5" w:tplc="56DC9988">
      <w:start w:val="1"/>
      <w:numFmt w:val="lowerRoman"/>
      <w:lvlText w:val="%6."/>
      <w:lvlJc w:val="right"/>
      <w:pPr>
        <w:ind w:left="4320" w:hanging="180"/>
      </w:pPr>
    </w:lvl>
    <w:lvl w:ilvl="6" w:tplc="6E287488">
      <w:start w:val="1"/>
      <w:numFmt w:val="decimal"/>
      <w:lvlText w:val="%7."/>
      <w:lvlJc w:val="left"/>
      <w:pPr>
        <w:ind w:left="5040" w:hanging="360"/>
      </w:pPr>
    </w:lvl>
    <w:lvl w:ilvl="7" w:tplc="F7DC611E">
      <w:start w:val="1"/>
      <w:numFmt w:val="lowerLetter"/>
      <w:lvlText w:val="%8."/>
      <w:lvlJc w:val="left"/>
      <w:pPr>
        <w:ind w:left="5760" w:hanging="360"/>
      </w:pPr>
    </w:lvl>
    <w:lvl w:ilvl="8" w:tplc="296C799E">
      <w:start w:val="1"/>
      <w:numFmt w:val="lowerRoman"/>
      <w:lvlText w:val="%9."/>
      <w:lvlJc w:val="right"/>
      <w:pPr>
        <w:ind w:left="6480" w:hanging="180"/>
      </w:pPr>
    </w:lvl>
  </w:abstractNum>
  <w:abstractNum w:abstractNumId="41" w15:restartNumberingAfterBreak="0">
    <w:nsid w:val="2A1C0F3C"/>
    <w:multiLevelType w:val="hybridMultilevel"/>
    <w:tmpl w:val="9ACADCD0"/>
    <w:lvl w:ilvl="0" w:tplc="9486620E">
      <w:start w:val="1"/>
      <w:numFmt w:val="lowerLetter"/>
      <w:lvlText w:val="%1."/>
      <w:lvlJc w:val="left"/>
      <w:pPr>
        <w:ind w:left="720" w:hanging="360"/>
      </w:pPr>
    </w:lvl>
    <w:lvl w:ilvl="1" w:tplc="3CA01736">
      <w:start w:val="1"/>
      <w:numFmt w:val="lowerLetter"/>
      <w:lvlText w:val="%2."/>
      <w:lvlJc w:val="left"/>
      <w:pPr>
        <w:ind w:left="1440" w:hanging="360"/>
      </w:pPr>
    </w:lvl>
    <w:lvl w:ilvl="2" w:tplc="F57E6944">
      <w:start w:val="1"/>
      <w:numFmt w:val="lowerRoman"/>
      <w:lvlText w:val="%3."/>
      <w:lvlJc w:val="right"/>
      <w:pPr>
        <w:ind w:left="2160" w:hanging="180"/>
      </w:pPr>
    </w:lvl>
    <w:lvl w:ilvl="3" w:tplc="CAF81E48">
      <w:start w:val="1"/>
      <w:numFmt w:val="decimal"/>
      <w:lvlText w:val="%4."/>
      <w:lvlJc w:val="left"/>
      <w:pPr>
        <w:ind w:left="2880" w:hanging="360"/>
      </w:pPr>
    </w:lvl>
    <w:lvl w:ilvl="4" w:tplc="28F0D65A">
      <w:start w:val="1"/>
      <w:numFmt w:val="lowerLetter"/>
      <w:lvlText w:val="%5."/>
      <w:lvlJc w:val="left"/>
      <w:pPr>
        <w:ind w:left="3600" w:hanging="360"/>
      </w:pPr>
    </w:lvl>
    <w:lvl w:ilvl="5" w:tplc="D09C93BA">
      <w:start w:val="1"/>
      <w:numFmt w:val="lowerRoman"/>
      <w:lvlText w:val="%6."/>
      <w:lvlJc w:val="right"/>
      <w:pPr>
        <w:ind w:left="4320" w:hanging="180"/>
      </w:pPr>
    </w:lvl>
    <w:lvl w:ilvl="6" w:tplc="CDA6E0C2">
      <w:start w:val="1"/>
      <w:numFmt w:val="decimal"/>
      <w:lvlText w:val="%7."/>
      <w:lvlJc w:val="left"/>
      <w:pPr>
        <w:ind w:left="5040" w:hanging="360"/>
      </w:pPr>
    </w:lvl>
    <w:lvl w:ilvl="7" w:tplc="191000F2">
      <w:start w:val="1"/>
      <w:numFmt w:val="lowerLetter"/>
      <w:lvlText w:val="%8."/>
      <w:lvlJc w:val="left"/>
      <w:pPr>
        <w:ind w:left="5760" w:hanging="360"/>
      </w:pPr>
    </w:lvl>
    <w:lvl w:ilvl="8" w:tplc="918E9CC8">
      <w:start w:val="1"/>
      <w:numFmt w:val="lowerRoman"/>
      <w:lvlText w:val="%9."/>
      <w:lvlJc w:val="right"/>
      <w:pPr>
        <w:ind w:left="6480" w:hanging="180"/>
      </w:pPr>
    </w:lvl>
  </w:abstractNum>
  <w:abstractNum w:abstractNumId="42" w15:restartNumberingAfterBreak="0">
    <w:nsid w:val="2D1A6A94"/>
    <w:multiLevelType w:val="hybridMultilevel"/>
    <w:tmpl w:val="175E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9F5DB7"/>
    <w:multiLevelType w:val="hybridMultilevel"/>
    <w:tmpl w:val="FE2C696E"/>
    <w:lvl w:ilvl="0" w:tplc="8BAA88BE">
      <w:start w:val="1"/>
      <w:numFmt w:val="bullet"/>
      <w:lvlText w:val=""/>
      <w:lvlJc w:val="left"/>
      <w:pPr>
        <w:tabs>
          <w:tab w:val="num" w:pos="432"/>
        </w:tabs>
        <w:ind w:left="432" w:hanging="432"/>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2E6467BF"/>
    <w:multiLevelType w:val="multilevel"/>
    <w:tmpl w:val="470AA4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FC36B17"/>
    <w:multiLevelType w:val="hybridMultilevel"/>
    <w:tmpl w:val="5B6221D6"/>
    <w:lvl w:ilvl="0" w:tplc="7FF43340">
      <w:start w:val="1"/>
      <w:numFmt w:val="lowerLetter"/>
      <w:lvlText w:val="%1."/>
      <w:lvlJc w:val="left"/>
      <w:pPr>
        <w:ind w:left="360" w:hanging="360"/>
      </w:pPr>
    </w:lvl>
    <w:lvl w:ilvl="1" w:tplc="77269162">
      <w:start w:val="1"/>
      <w:numFmt w:val="lowerLetter"/>
      <w:lvlText w:val="%2."/>
      <w:lvlJc w:val="left"/>
      <w:pPr>
        <w:ind w:left="1440" w:hanging="360"/>
      </w:pPr>
    </w:lvl>
    <w:lvl w:ilvl="2" w:tplc="C60EA930">
      <w:start w:val="1"/>
      <w:numFmt w:val="lowerRoman"/>
      <w:lvlText w:val="%3."/>
      <w:lvlJc w:val="right"/>
      <w:pPr>
        <w:ind w:left="2160" w:hanging="180"/>
      </w:pPr>
    </w:lvl>
    <w:lvl w:ilvl="3" w:tplc="203E4C66">
      <w:start w:val="1"/>
      <w:numFmt w:val="decimal"/>
      <w:lvlText w:val="%4."/>
      <w:lvlJc w:val="left"/>
      <w:pPr>
        <w:ind w:left="2880" w:hanging="360"/>
      </w:pPr>
    </w:lvl>
    <w:lvl w:ilvl="4" w:tplc="633690AC">
      <w:start w:val="1"/>
      <w:numFmt w:val="lowerLetter"/>
      <w:lvlText w:val="%5."/>
      <w:lvlJc w:val="left"/>
      <w:pPr>
        <w:ind w:left="3600" w:hanging="360"/>
      </w:pPr>
    </w:lvl>
    <w:lvl w:ilvl="5" w:tplc="B9DA8B8A">
      <w:start w:val="1"/>
      <w:numFmt w:val="lowerRoman"/>
      <w:lvlText w:val="%6."/>
      <w:lvlJc w:val="right"/>
      <w:pPr>
        <w:ind w:left="4320" w:hanging="180"/>
      </w:pPr>
    </w:lvl>
    <w:lvl w:ilvl="6" w:tplc="C94049BC">
      <w:start w:val="1"/>
      <w:numFmt w:val="decimal"/>
      <w:lvlText w:val="%7."/>
      <w:lvlJc w:val="left"/>
      <w:pPr>
        <w:ind w:left="5040" w:hanging="360"/>
      </w:pPr>
    </w:lvl>
    <w:lvl w:ilvl="7" w:tplc="215ACC8A">
      <w:start w:val="1"/>
      <w:numFmt w:val="lowerLetter"/>
      <w:lvlText w:val="%8."/>
      <w:lvlJc w:val="left"/>
      <w:pPr>
        <w:ind w:left="5760" w:hanging="360"/>
      </w:pPr>
    </w:lvl>
    <w:lvl w:ilvl="8" w:tplc="59125E72">
      <w:start w:val="1"/>
      <w:numFmt w:val="lowerRoman"/>
      <w:lvlText w:val="%9."/>
      <w:lvlJc w:val="right"/>
      <w:pPr>
        <w:ind w:left="6480" w:hanging="180"/>
      </w:pPr>
    </w:lvl>
  </w:abstractNum>
  <w:abstractNum w:abstractNumId="46" w15:restartNumberingAfterBreak="0">
    <w:nsid w:val="30804842"/>
    <w:multiLevelType w:val="hybridMultilevel"/>
    <w:tmpl w:val="7ECA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C02C89"/>
    <w:multiLevelType w:val="hybridMultilevel"/>
    <w:tmpl w:val="A14EB984"/>
    <w:lvl w:ilvl="0" w:tplc="7CFA008A">
      <w:start w:val="1"/>
      <w:numFmt w:val="bullet"/>
      <w:lvlText w:val="-"/>
      <w:lvlJc w:val="left"/>
      <w:pPr>
        <w:ind w:left="720" w:hanging="360"/>
      </w:pPr>
      <w:rPr>
        <w:rFonts w:ascii="Aptos" w:hAnsi="Aptos" w:hint="default"/>
      </w:rPr>
    </w:lvl>
    <w:lvl w:ilvl="1" w:tplc="F81AB740">
      <w:start w:val="1"/>
      <w:numFmt w:val="bullet"/>
      <w:lvlText w:val="o"/>
      <w:lvlJc w:val="left"/>
      <w:pPr>
        <w:ind w:left="1440" w:hanging="360"/>
      </w:pPr>
      <w:rPr>
        <w:rFonts w:ascii="Courier New" w:hAnsi="Courier New" w:hint="default"/>
      </w:rPr>
    </w:lvl>
    <w:lvl w:ilvl="2" w:tplc="872E6CEC">
      <w:start w:val="1"/>
      <w:numFmt w:val="bullet"/>
      <w:lvlText w:val=""/>
      <w:lvlJc w:val="left"/>
      <w:pPr>
        <w:ind w:left="2160" w:hanging="360"/>
      </w:pPr>
      <w:rPr>
        <w:rFonts w:ascii="Wingdings" w:hAnsi="Wingdings" w:hint="default"/>
      </w:rPr>
    </w:lvl>
    <w:lvl w:ilvl="3" w:tplc="FAB46278">
      <w:start w:val="1"/>
      <w:numFmt w:val="bullet"/>
      <w:lvlText w:val=""/>
      <w:lvlJc w:val="left"/>
      <w:pPr>
        <w:ind w:left="2880" w:hanging="360"/>
      </w:pPr>
      <w:rPr>
        <w:rFonts w:ascii="Symbol" w:hAnsi="Symbol" w:hint="default"/>
      </w:rPr>
    </w:lvl>
    <w:lvl w:ilvl="4" w:tplc="FD2C0B16">
      <w:start w:val="1"/>
      <w:numFmt w:val="bullet"/>
      <w:lvlText w:val="o"/>
      <w:lvlJc w:val="left"/>
      <w:pPr>
        <w:ind w:left="3600" w:hanging="360"/>
      </w:pPr>
      <w:rPr>
        <w:rFonts w:ascii="Courier New" w:hAnsi="Courier New" w:hint="default"/>
      </w:rPr>
    </w:lvl>
    <w:lvl w:ilvl="5" w:tplc="A70E4596">
      <w:start w:val="1"/>
      <w:numFmt w:val="bullet"/>
      <w:lvlText w:val=""/>
      <w:lvlJc w:val="left"/>
      <w:pPr>
        <w:ind w:left="4320" w:hanging="360"/>
      </w:pPr>
      <w:rPr>
        <w:rFonts w:ascii="Wingdings" w:hAnsi="Wingdings" w:hint="default"/>
      </w:rPr>
    </w:lvl>
    <w:lvl w:ilvl="6" w:tplc="D90647F6">
      <w:start w:val="1"/>
      <w:numFmt w:val="bullet"/>
      <w:lvlText w:val=""/>
      <w:lvlJc w:val="left"/>
      <w:pPr>
        <w:ind w:left="5040" w:hanging="360"/>
      </w:pPr>
      <w:rPr>
        <w:rFonts w:ascii="Symbol" w:hAnsi="Symbol" w:hint="default"/>
      </w:rPr>
    </w:lvl>
    <w:lvl w:ilvl="7" w:tplc="36EA37FA">
      <w:start w:val="1"/>
      <w:numFmt w:val="bullet"/>
      <w:lvlText w:val="o"/>
      <w:lvlJc w:val="left"/>
      <w:pPr>
        <w:ind w:left="5760" w:hanging="360"/>
      </w:pPr>
      <w:rPr>
        <w:rFonts w:ascii="Courier New" w:hAnsi="Courier New" w:hint="default"/>
      </w:rPr>
    </w:lvl>
    <w:lvl w:ilvl="8" w:tplc="BB880630">
      <w:start w:val="1"/>
      <w:numFmt w:val="bullet"/>
      <w:lvlText w:val=""/>
      <w:lvlJc w:val="left"/>
      <w:pPr>
        <w:ind w:left="6480" w:hanging="360"/>
      </w:pPr>
      <w:rPr>
        <w:rFonts w:ascii="Wingdings" w:hAnsi="Wingdings" w:hint="default"/>
      </w:rPr>
    </w:lvl>
  </w:abstractNum>
  <w:abstractNum w:abstractNumId="48" w15:restartNumberingAfterBreak="0">
    <w:nsid w:val="3480D89A"/>
    <w:multiLevelType w:val="hybridMultilevel"/>
    <w:tmpl w:val="61D8067A"/>
    <w:lvl w:ilvl="0" w:tplc="C3B45E9E">
      <w:start w:val="1"/>
      <w:numFmt w:val="lowerLetter"/>
      <w:lvlText w:val="%1."/>
      <w:lvlJc w:val="left"/>
      <w:pPr>
        <w:ind w:left="360" w:hanging="360"/>
      </w:pPr>
    </w:lvl>
    <w:lvl w:ilvl="1" w:tplc="6C6A7AFE">
      <w:start w:val="1"/>
      <w:numFmt w:val="lowerLetter"/>
      <w:lvlText w:val="%2."/>
      <w:lvlJc w:val="left"/>
      <w:pPr>
        <w:ind w:left="1440" w:hanging="360"/>
      </w:pPr>
    </w:lvl>
    <w:lvl w:ilvl="2" w:tplc="0584F2EC">
      <w:start w:val="1"/>
      <w:numFmt w:val="lowerRoman"/>
      <w:lvlText w:val="%3."/>
      <w:lvlJc w:val="right"/>
      <w:pPr>
        <w:ind w:left="2160" w:hanging="180"/>
      </w:pPr>
    </w:lvl>
    <w:lvl w:ilvl="3" w:tplc="0FB4AEEA">
      <w:start w:val="1"/>
      <w:numFmt w:val="decimal"/>
      <w:lvlText w:val="%4."/>
      <w:lvlJc w:val="left"/>
      <w:pPr>
        <w:ind w:left="2880" w:hanging="360"/>
      </w:pPr>
    </w:lvl>
    <w:lvl w:ilvl="4" w:tplc="E5CC535E">
      <w:start w:val="1"/>
      <w:numFmt w:val="lowerLetter"/>
      <w:lvlText w:val="%5."/>
      <w:lvlJc w:val="left"/>
      <w:pPr>
        <w:ind w:left="3600" w:hanging="360"/>
      </w:pPr>
    </w:lvl>
    <w:lvl w:ilvl="5" w:tplc="C95A3976">
      <w:start w:val="1"/>
      <w:numFmt w:val="lowerRoman"/>
      <w:lvlText w:val="%6."/>
      <w:lvlJc w:val="right"/>
      <w:pPr>
        <w:ind w:left="4320" w:hanging="180"/>
      </w:pPr>
    </w:lvl>
    <w:lvl w:ilvl="6" w:tplc="E6CCD5F4">
      <w:start w:val="1"/>
      <w:numFmt w:val="decimal"/>
      <w:lvlText w:val="%7."/>
      <w:lvlJc w:val="left"/>
      <w:pPr>
        <w:ind w:left="5040" w:hanging="360"/>
      </w:pPr>
    </w:lvl>
    <w:lvl w:ilvl="7" w:tplc="9EBE668E">
      <w:start w:val="1"/>
      <w:numFmt w:val="lowerLetter"/>
      <w:lvlText w:val="%8."/>
      <w:lvlJc w:val="left"/>
      <w:pPr>
        <w:ind w:left="5760" w:hanging="360"/>
      </w:pPr>
    </w:lvl>
    <w:lvl w:ilvl="8" w:tplc="ABF44C5E">
      <w:start w:val="1"/>
      <w:numFmt w:val="lowerRoman"/>
      <w:lvlText w:val="%9."/>
      <w:lvlJc w:val="right"/>
      <w:pPr>
        <w:ind w:left="6480" w:hanging="180"/>
      </w:pPr>
    </w:lvl>
  </w:abstractNum>
  <w:abstractNum w:abstractNumId="49" w15:restartNumberingAfterBreak="0">
    <w:nsid w:val="36AF1F9F"/>
    <w:multiLevelType w:val="hybridMultilevel"/>
    <w:tmpl w:val="A760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191A37"/>
    <w:multiLevelType w:val="hybridMultilevel"/>
    <w:tmpl w:val="A628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05D1CA"/>
    <w:multiLevelType w:val="hybridMultilevel"/>
    <w:tmpl w:val="B28668A8"/>
    <w:lvl w:ilvl="0" w:tplc="6B787692">
      <w:start w:val="1"/>
      <w:numFmt w:val="bullet"/>
      <w:lvlText w:val="-"/>
      <w:lvlJc w:val="left"/>
      <w:pPr>
        <w:ind w:left="720" w:hanging="360"/>
      </w:pPr>
      <w:rPr>
        <w:rFonts w:ascii="Aptos" w:hAnsi="Aptos" w:hint="default"/>
      </w:rPr>
    </w:lvl>
    <w:lvl w:ilvl="1" w:tplc="41D4D43E">
      <w:start w:val="1"/>
      <w:numFmt w:val="bullet"/>
      <w:lvlText w:val="o"/>
      <w:lvlJc w:val="left"/>
      <w:pPr>
        <w:ind w:left="1440" w:hanging="360"/>
      </w:pPr>
      <w:rPr>
        <w:rFonts w:ascii="Courier New" w:hAnsi="Courier New" w:hint="default"/>
      </w:rPr>
    </w:lvl>
    <w:lvl w:ilvl="2" w:tplc="C8EA5DB4">
      <w:start w:val="1"/>
      <w:numFmt w:val="bullet"/>
      <w:lvlText w:val=""/>
      <w:lvlJc w:val="left"/>
      <w:pPr>
        <w:ind w:left="2160" w:hanging="360"/>
      </w:pPr>
      <w:rPr>
        <w:rFonts w:ascii="Wingdings" w:hAnsi="Wingdings" w:hint="default"/>
      </w:rPr>
    </w:lvl>
    <w:lvl w:ilvl="3" w:tplc="415CF56C">
      <w:start w:val="1"/>
      <w:numFmt w:val="bullet"/>
      <w:lvlText w:val=""/>
      <w:lvlJc w:val="left"/>
      <w:pPr>
        <w:ind w:left="2880" w:hanging="360"/>
      </w:pPr>
      <w:rPr>
        <w:rFonts w:ascii="Symbol" w:hAnsi="Symbol" w:hint="default"/>
      </w:rPr>
    </w:lvl>
    <w:lvl w:ilvl="4" w:tplc="ECF064BC">
      <w:start w:val="1"/>
      <w:numFmt w:val="bullet"/>
      <w:lvlText w:val="o"/>
      <w:lvlJc w:val="left"/>
      <w:pPr>
        <w:ind w:left="3600" w:hanging="360"/>
      </w:pPr>
      <w:rPr>
        <w:rFonts w:ascii="Courier New" w:hAnsi="Courier New" w:hint="default"/>
      </w:rPr>
    </w:lvl>
    <w:lvl w:ilvl="5" w:tplc="FC6C57D2">
      <w:start w:val="1"/>
      <w:numFmt w:val="bullet"/>
      <w:lvlText w:val=""/>
      <w:lvlJc w:val="left"/>
      <w:pPr>
        <w:ind w:left="4320" w:hanging="360"/>
      </w:pPr>
      <w:rPr>
        <w:rFonts w:ascii="Wingdings" w:hAnsi="Wingdings" w:hint="default"/>
      </w:rPr>
    </w:lvl>
    <w:lvl w:ilvl="6" w:tplc="6CC8BE00">
      <w:start w:val="1"/>
      <w:numFmt w:val="bullet"/>
      <w:lvlText w:val=""/>
      <w:lvlJc w:val="left"/>
      <w:pPr>
        <w:ind w:left="5040" w:hanging="360"/>
      </w:pPr>
      <w:rPr>
        <w:rFonts w:ascii="Symbol" w:hAnsi="Symbol" w:hint="default"/>
      </w:rPr>
    </w:lvl>
    <w:lvl w:ilvl="7" w:tplc="87648F0E">
      <w:start w:val="1"/>
      <w:numFmt w:val="bullet"/>
      <w:lvlText w:val="o"/>
      <w:lvlJc w:val="left"/>
      <w:pPr>
        <w:ind w:left="5760" w:hanging="360"/>
      </w:pPr>
      <w:rPr>
        <w:rFonts w:ascii="Courier New" w:hAnsi="Courier New" w:hint="default"/>
      </w:rPr>
    </w:lvl>
    <w:lvl w:ilvl="8" w:tplc="97529DE8">
      <w:start w:val="1"/>
      <w:numFmt w:val="bullet"/>
      <w:lvlText w:val=""/>
      <w:lvlJc w:val="left"/>
      <w:pPr>
        <w:ind w:left="6480" w:hanging="360"/>
      </w:pPr>
      <w:rPr>
        <w:rFonts w:ascii="Wingdings" w:hAnsi="Wingdings" w:hint="default"/>
      </w:rPr>
    </w:lvl>
  </w:abstractNum>
  <w:abstractNum w:abstractNumId="52" w15:restartNumberingAfterBreak="0">
    <w:nsid w:val="45174540"/>
    <w:multiLevelType w:val="hybridMultilevel"/>
    <w:tmpl w:val="DE02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A4B2D1"/>
    <w:multiLevelType w:val="hybridMultilevel"/>
    <w:tmpl w:val="613C9ABE"/>
    <w:lvl w:ilvl="0" w:tplc="D8D03DB6">
      <w:start w:val="1"/>
      <w:numFmt w:val="lowerLetter"/>
      <w:lvlText w:val="%1."/>
      <w:lvlJc w:val="left"/>
      <w:pPr>
        <w:ind w:left="360" w:hanging="360"/>
      </w:pPr>
    </w:lvl>
    <w:lvl w:ilvl="1" w:tplc="EF726920">
      <w:start w:val="1"/>
      <w:numFmt w:val="lowerLetter"/>
      <w:lvlText w:val="%2."/>
      <w:lvlJc w:val="left"/>
      <w:pPr>
        <w:ind w:left="1080" w:hanging="360"/>
      </w:pPr>
    </w:lvl>
    <w:lvl w:ilvl="2" w:tplc="86D8818C">
      <w:start w:val="1"/>
      <w:numFmt w:val="lowerRoman"/>
      <w:lvlText w:val="%3."/>
      <w:lvlJc w:val="right"/>
      <w:pPr>
        <w:ind w:left="1800" w:hanging="180"/>
      </w:pPr>
    </w:lvl>
    <w:lvl w:ilvl="3" w:tplc="49780EFC">
      <w:start w:val="1"/>
      <w:numFmt w:val="decimal"/>
      <w:lvlText w:val="%4."/>
      <w:lvlJc w:val="left"/>
      <w:pPr>
        <w:ind w:left="2520" w:hanging="360"/>
      </w:pPr>
    </w:lvl>
    <w:lvl w:ilvl="4" w:tplc="5A169AE8">
      <w:start w:val="1"/>
      <w:numFmt w:val="lowerLetter"/>
      <w:lvlText w:val="%5."/>
      <w:lvlJc w:val="left"/>
      <w:pPr>
        <w:ind w:left="3240" w:hanging="360"/>
      </w:pPr>
    </w:lvl>
    <w:lvl w:ilvl="5" w:tplc="3A60C882">
      <w:start w:val="1"/>
      <w:numFmt w:val="lowerRoman"/>
      <w:lvlText w:val="%6."/>
      <w:lvlJc w:val="right"/>
      <w:pPr>
        <w:ind w:left="3960" w:hanging="180"/>
      </w:pPr>
    </w:lvl>
    <w:lvl w:ilvl="6" w:tplc="ACBC1F8C">
      <w:start w:val="1"/>
      <w:numFmt w:val="decimal"/>
      <w:lvlText w:val="%7."/>
      <w:lvlJc w:val="left"/>
      <w:pPr>
        <w:ind w:left="4680" w:hanging="360"/>
      </w:pPr>
    </w:lvl>
    <w:lvl w:ilvl="7" w:tplc="BAA26146">
      <w:start w:val="1"/>
      <w:numFmt w:val="lowerLetter"/>
      <w:lvlText w:val="%8."/>
      <w:lvlJc w:val="left"/>
      <w:pPr>
        <w:ind w:left="5400" w:hanging="360"/>
      </w:pPr>
    </w:lvl>
    <w:lvl w:ilvl="8" w:tplc="22F696F2">
      <w:start w:val="1"/>
      <w:numFmt w:val="lowerRoman"/>
      <w:lvlText w:val="%9."/>
      <w:lvlJc w:val="right"/>
      <w:pPr>
        <w:ind w:left="6120" w:hanging="180"/>
      </w:pPr>
    </w:lvl>
  </w:abstractNum>
  <w:abstractNum w:abstractNumId="54" w15:restartNumberingAfterBreak="0">
    <w:nsid w:val="45DAC7F2"/>
    <w:multiLevelType w:val="hybridMultilevel"/>
    <w:tmpl w:val="CCB0F250"/>
    <w:lvl w:ilvl="0" w:tplc="8C9493B8">
      <w:start w:val="1"/>
      <w:numFmt w:val="lowerLetter"/>
      <w:lvlText w:val="%1."/>
      <w:lvlJc w:val="left"/>
      <w:pPr>
        <w:ind w:left="720" w:hanging="360"/>
      </w:pPr>
    </w:lvl>
    <w:lvl w:ilvl="1" w:tplc="644AE078">
      <w:start w:val="1"/>
      <w:numFmt w:val="lowerLetter"/>
      <w:lvlText w:val="%2."/>
      <w:lvlJc w:val="left"/>
      <w:pPr>
        <w:ind w:left="1440" w:hanging="360"/>
      </w:pPr>
    </w:lvl>
    <w:lvl w:ilvl="2" w:tplc="E93AFBD8">
      <w:start w:val="1"/>
      <w:numFmt w:val="lowerRoman"/>
      <w:lvlText w:val="%3."/>
      <w:lvlJc w:val="right"/>
      <w:pPr>
        <w:ind w:left="2160" w:hanging="180"/>
      </w:pPr>
    </w:lvl>
    <w:lvl w:ilvl="3" w:tplc="572EFC0A">
      <w:start w:val="1"/>
      <w:numFmt w:val="decimal"/>
      <w:lvlText w:val="%4."/>
      <w:lvlJc w:val="left"/>
      <w:pPr>
        <w:ind w:left="2880" w:hanging="360"/>
      </w:pPr>
    </w:lvl>
    <w:lvl w:ilvl="4" w:tplc="BAC6BA76">
      <w:start w:val="1"/>
      <w:numFmt w:val="lowerLetter"/>
      <w:lvlText w:val="%5."/>
      <w:lvlJc w:val="left"/>
      <w:pPr>
        <w:ind w:left="3600" w:hanging="360"/>
      </w:pPr>
    </w:lvl>
    <w:lvl w:ilvl="5" w:tplc="B50039D0">
      <w:start w:val="1"/>
      <w:numFmt w:val="lowerRoman"/>
      <w:lvlText w:val="%6."/>
      <w:lvlJc w:val="right"/>
      <w:pPr>
        <w:ind w:left="4320" w:hanging="180"/>
      </w:pPr>
    </w:lvl>
    <w:lvl w:ilvl="6" w:tplc="56AA4602">
      <w:start w:val="1"/>
      <w:numFmt w:val="decimal"/>
      <w:lvlText w:val="%7."/>
      <w:lvlJc w:val="left"/>
      <w:pPr>
        <w:ind w:left="5040" w:hanging="360"/>
      </w:pPr>
    </w:lvl>
    <w:lvl w:ilvl="7" w:tplc="49247DD8">
      <w:start w:val="1"/>
      <w:numFmt w:val="lowerLetter"/>
      <w:lvlText w:val="%8."/>
      <w:lvlJc w:val="left"/>
      <w:pPr>
        <w:ind w:left="5760" w:hanging="360"/>
      </w:pPr>
    </w:lvl>
    <w:lvl w:ilvl="8" w:tplc="6F161668">
      <w:start w:val="1"/>
      <w:numFmt w:val="lowerRoman"/>
      <w:lvlText w:val="%9."/>
      <w:lvlJc w:val="right"/>
      <w:pPr>
        <w:ind w:left="6480" w:hanging="180"/>
      </w:pPr>
    </w:lvl>
  </w:abstractNum>
  <w:abstractNum w:abstractNumId="55" w15:restartNumberingAfterBreak="0">
    <w:nsid w:val="477D52B7"/>
    <w:multiLevelType w:val="hybridMultilevel"/>
    <w:tmpl w:val="8F8A3AF4"/>
    <w:lvl w:ilvl="0" w:tplc="0276B786">
      <w:start w:val="1"/>
      <w:numFmt w:val="lowerLetter"/>
      <w:lvlText w:val="%1."/>
      <w:lvlJc w:val="left"/>
      <w:pPr>
        <w:ind w:left="360" w:hanging="360"/>
      </w:pPr>
    </w:lvl>
    <w:lvl w:ilvl="1" w:tplc="1BBC7498">
      <w:start w:val="1"/>
      <w:numFmt w:val="lowerLetter"/>
      <w:lvlText w:val="%2."/>
      <w:lvlJc w:val="left"/>
      <w:pPr>
        <w:ind w:left="1080" w:hanging="360"/>
      </w:pPr>
    </w:lvl>
    <w:lvl w:ilvl="2" w:tplc="8A7633FE">
      <w:start w:val="1"/>
      <w:numFmt w:val="lowerRoman"/>
      <w:lvlText w:val="%3."/>
      <w:lvlJc w:val="right"/>
      <w:pPr>
        <w:ind w:left="1800" w:hanging="180"/>
      </w:pPr>
    </w:lvl>
    <w:lvl w:ilvl="3" w:tplc="12CEC670">
      <w:start w:val="1"/>
      <w:numFmt w:val="decimal"/>
      <w:lvlText w:val="%4."/>
      <w:lvlJc w:val="left"/>
      <w:pPr>
        <w:ind w:left="2520" w:hanging="360"/>
      </w:pPr>
    </w:lvl>
    <w:lvl w:ilvl="4" w:tplc="50D0B348">
      <w:start w:val="1"/>
      <w:numFmt w:val="lowerLetter"/>
      <w:lvlText w:val="%5."/>
      <w:lvlJc w:val="left"/>
      <w:pPr>
        <w:ind w:left="3240" w:hanging="360"/>
      </w:pPr>
    </w:lvl>
    <w:lvl w:ilvl="5" w:tplc="77EC3400">
      <w:start w:val="1"/>
      <w:numFmt w:val="lowerRoman"/>
      <w:lvlText w:val="%6."/>
      <w:lvlJc w:val="right"/>
      <w:pPr>
        <w:ind w:left="3960" w:hanging="180"/>
      </w:pPr>
    </w:lvl>
    <w:lvl w:ilvl="6" w:tplc="544C6B9A">
      <w:start w:val="1"/>
      <w:numFmt w:val="decimal"/>
      <w:lvlText w:val="%7."/>
      <w:lvlJc w:val="left"/>
      <w:pPr>
        <w:ind w:left="4680" w:hanging="360"/>
      </w:pPr>
    </w:lvl>
    <w:lvl w:ilvl="7" w:tplc="5C9068B6">
      <w:start w:val="1"/>
      <w:numFmt w:val="lowerLetter"/>
      <w:lvlText w:val="%8."/>
      <w:lvlJc w:val="left"/>
      <w:pPr>
        <w:ind w:left="5400" w:hanging="360"/>
      </w:pPr>
    </w:lvl>
    <w:lvl w:ilvl="8" w:tplc="7F267A78">
      <w:start w:val="1"/>
      <w:numFmt w:val="lowerRoman"/>
      <w:lvlText w:val="%9."/>
      <w:lvlJc w:val="right"/>
      <w:pPr>
        <w:ind w:left="6120" w:hanging="180"/>
      </w:pPr>
    </w:lvl>
  </w:abstractNum>
  <w:abstractNum w:abstractNumId="56" w15:restartNumberingAfterBreak="0">
    <w:nsid w:val="49B3E2F9"/>
    <w:multiLevelType w:val="hybridMultilevel"/>
    <w:tmpl w:val="C45CB428"/>
    <w:lvl w:ilvl="0" w:tplc="1332DBEC">
      <w:start w:val="1"/>
      <w:numFmt w:val="bullet"/>
      <w:lvlText w:val=""/>
      <w:lvlJc w:val="left"/>
      <w:pPr>
        <w:ind w:left="720" w:hanging="360"/>
      </w:pPr>
      <w:rPr>
        <w:rFonts w:ascii="Symbol" w:hAnsi="Symbol" w:hint="default"/>
      </w:rPr>
    </w:lvl>
    <w:lvl w:ilvl="1" w:tplc="657CCAE0">
      <w:start w:val="1"/>
      <w:numFmt w:val="bullet"/>
      <w:lvlText w:val="o"/>
      <w:lvlJc w:val="left"/>
      <w:pPr>
        <w:ind w:left="1440" w:hanging="360"/>
      </w:pPr>
      <w:rPr>
        <w:rFonts w:ascii="Courier New" w:hAnsi="Courier New" w:hint="default"/>
      </w:rPr>
    </w:lvl>
    <w:lvl w:ilvl="2" w:tplc="896EA50C">
      <w:start w:val="1"/>
      <w:numFmt w:val="bullet"/>
      <w:lvlText w:val=""/>
      <w:lvlJc w:val="left"/>
      <w:pPr>
        <w:ind w:left="2160" w:hanging="360"/>
      </w:pPr>
      <w:rPr>
        <w:rFonts w:ascii="Wingdings" w:hAnsi="Wingdings" w:hint="default"/>
      </w:rPr>
    </w:lvl>
    <w:lvl w:ilvl="3" w:tplc="68C0EB6C">
      <w:start w:val="1"/>
      <w:numFmt w:val="bullet"/>
      <w:lvlText w:val=""/>
      <w:lvlJc w:val="left"/>
      <w:pPr>
        <w:ind w:left="2880" w:hanging="360"/>
      </w:pPr>
      <w:rPr>
        <w:rFonts w:ascii="Symbol" w:hAnsi="Symbol" w:hint="default"/>
      </w:rPr>
    </w:lvl>
    <w:lvl w:ilvl="4" w:tplc="490CD130">
      <w:start w:val="1"/>
      <w:numFmt w:val="bullet"/>
      <w:lvlText w:val="o"/>
      <w:lvlJc w:val="left"/>
      <w:pPr>
        <w:ind w:left="3600" w:hanging="360"/>
      </w:pPr>
      <w:rPr>
        <w:rFonts w:ascii="Courier New" w:hAnsi="Courier New" w:hint="default"/>
      </w:rPr>
    </w:lvl>
    <w:lvl w:ilvl="5" w:tplc="CF14E60E">
      <w:start w:val="1"/>
      <w:numFmt w:val="bullet"/>
      <w:lvlText w:val=""/>
      <w:lvlJc w:val="left"/>
      <w:pPr>
        <w:ind w:left="4320" w:hanging="360"/>
      </w:pPr>
      <w:rPr>
        <w:rFonts w:ascii="Wingdings" w:hAnsi="Wingdings" w:hint="default"/>
      </w:rPr>
    </w:lvl>
    <w:lvl w:ilvl="6" w:tplc="373EA3D8">
      <w:start w:val="1"/>
      <w:numFmt w:val="bullet"/>
      <w:lvlText w:val=""/>
      <w:lvlJc w:val="left"/>
      <w:pPr>
        <w:ind w:left="5040" w:hanging="360"/>
      </w:pPr>
      <w:rPr>
        <w:rFonts w:ascii="Symbol" w:hAnsi="Symbol" w:hint="default"/>
      </w:rPr>
    </w:lvl>
    <w:lvl w:ilvl="7" w:tplc="4154B964">
      <w:start w:val="1"/>
      <w:numFmt w:val="bullet"/>
      <w:lvlText w:val="o"/>
      <w:lvlJc w:val="left"/>
      <w:pPr>
        <w:ind w:left="5760" w:hanging="360"/>
      </w:pPr>
      <w:rPr>
        <w:rFonts w:ascii="Courier New" w:hAnsi="Courier New" w:hint="default"/>
      </w:rPr>
    </w:lvl>
    <w:lvl w:ilvl="8" w:tplc="B55C0B0E">
      <w:start w:val="1"/>
      <w:numFmt w:val="bullet"/>
      <w:lvlText w:val=""/>
      <w:lvlJc w:val="left"/>
      <w:pPr>
        <w:ind w:left="6480" w:hanging="360"/>
      </w:pPr>
      <w:rPr>
        <w:rFonts w:ascii="Wingdings" w:hAnsi="Wingdings" w:hint="default"/>
      </w:rPr>
    </w:lvl>
  </w:abstractNum>
  <w:abstractNum w:abstractNumId="57" w15:restartNumberingAfterBreak="0">
    <w:nsid w:val="4D8246E1"/>
    <w:multiLevelType w:val="multilevel"/>
    <w:tmpl w:val="CB701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F9C1DC9"/>
    <w:multiLevelType w:val="hybridMultilevel"/>
    <w:tmpl w:val="E32ED8DA"/>
    <w:lvl w:ilvl="0" w:tplc="C2F024CA">
      <w:start w:val="1"/>
      <w:numFmt w:val="bullet"/>
      <w:lvlText w:val=""/>
      <w:lvlJc w:val="left"/>
      <w:pPr>
        <w:ind w:left="720" w:hanging="360"/>
      </w:pPr>
      <w:rPr>
        <w:rFonts w:ascii="Symbol" w:hAnsi="Symbol" w:hint="default"/>
      </w:rPr>
    </w:lvl>
    <w:lvl w:ilvl="1" w:tplc="D3168568">
      <w:start w:val="1"/>
      <w:numFmt w:val="bullet"/>
      <w:lvlText w:val="o"/>
      <w:lvlJc w:val="left"/>
      <w:pPr>
        <w:ind w:left="1440" w:hanging="360"/>
      </w:pPr>
      <w:rPr>
        <w:rFonts w:ascii="Courier New" w:hAnsi="Courier New" w:hint="default"/>
      </w:rPr>
    </w:lvl>
    <w:lvl w:ilvl="2" w:tplc="4CBC1F0E">
      <w:start w:val="1"/>
      <w:numFmt w:val="bullet"/>
      <w:lvlText w:val=""/>
      <w:lvlJc w:val="left"/>
      <w:pPr>
        <w:ind w:left="2160" w:hanging="360"/>
      </w:pPr>
      <w:rPr>
        <w:rFonts w:ascii="Wingdings" w:hAnsi="Wingdings" w:hint="default"/>
      </w:rPr>
    </w:lvl>
    <w:lvl w:ilvl="3" w:tplc="E1587CF4">
      <w:start w:val="1"/>
      <w:numFmt w:val="bullet"/>
      <w:lvlText w:val=""/>
      <w:lvlJc w:val="left"/>
      <w:pPr>
        <w:ind w:left="2880" w:hanging="360"/>
      </w:pPr>
      <w:rPr>
        <w:rFonts w:ascii="Symbol" w:hAnsi="Symbol" w:hint="default"/>
      </w:rPr>
    </w:lvl>
    <w:lvl w:ilvl="4" w:tplc="408C8944">
      <w:start w:val="1"/>
      <w:numFmt w:val="bullet"/>
      <w:lvlText w:val="o"/>
      <w:lvlJc w:val="left"/>
      <w:pPr>
        <w:ind w:left="3600" w:hanging="360"/>
      </w:pPr>
      <w:rPr>
        <w:rFonts w:ascii="Courier New" w:hAnsi="Courier New" w:hint="default"/>
      </w:rPr>
    </w:lvl>
    <w:lvl w:ilvl="5" w:tplc="9B2ED60C">
      <w:start w:val="1"/>
      <w:numFmt w:val="bullet"/>
      <w:lvlText w:val=""/>
      <w:lvlJc w:val="left"/>
      <w:pPr>
        <w:ind w:left="4320" w:hanging="360"/>
      </w:pPr>
      <w:rPr>
        <w:rFonts w:ascii="Wingdings" w:hAnsi="Wingdings" w:hint="default"/>
      </w:rPr>
    </w:lvl>
    <w:lvl w:ilvl="6" w:tplc="2B001A4E">
      <w:start w:val="1"/>
      <w:numFmt w:val="bullet"/>
      <w:lvlText w:val=""/>
      <w:lvlJc w:val="left"/>
      <w:pPr>
        <w:ind w:left="5040" w:hanging="360"/>
      </w:pPr>
      <w:rPr>
        <w:rFonts w:ascii="Symbol" w:hAnsi="Symbol" w:hint="default"/>
      </w:rPr>
    </w:lvl>
    <w:lvl w:ilvl="7" w:tplc="77C099F4">
      <w:start w:val="1"/>
      <w:numFmt w:val="bullet"/>
      <w:lvlText w:val="o"/>
      <w:lvlJc w:val="left"/>
      <w:pPr>
        <w:ind w:left="5760" w:hanging="360"/>
      </w:pPr>
      <w:rPr>
        <w:rFonts w:ascii="Courier New" w:hAnsi="Courier New" w:hint="default"/>
      </w:rPr>
    </w:lvl>
    <w:lvl w:ilvl="8" w:tplc="CC74F3A8">
      <w:start w:val="1"/>
      <w:numFmt w:val="bullet"/>
      <w:lvlText w:val=""/>
      <w:lvlJc w:val="left"/>
      <w:pPr>
        <w:ind w:left="6480" w:hanging="360"/>
      </w:pPr>
      <w:rPr>
        <w:rFonts w:ascii="Wingdings" w:hAnsi="Wingdings" w:hint="default"/>
      </w:rPr>
    </w:lvl>
  </w:abstractNum>
  <w:abstractNum w:abstractNumId="59" w15:restartNumberingAfterBreak="0">
    <w:nsid w:val="525085A4"/>
    <w:multiLevelType w:val="hybridMultilevel"/>
    <w:tmpl w:val="26748098"/>
    <w:lvl w:ilvl="0" w:tplc="A9A24846">
      <w:start w:val="1"/>
      <w:numFmt w:val="lowerLetter"/>
      <w:lvlText w:val="%1."/>
      <w:lvlJc w:val="left"/>
      <w:pPr>
        <w:ind w:left="360" w:hanging="360"/>
      </w:pPr>
    </w:lvl>
    <w:lvl w:ilvl="1" w:tplc="08D8A19C">
      <w:start w:val="1"/>
      <w:numFmt w:val="lowerLetter"/>
      <w:lvlText w:val="%2."/>
      <w:lvlJc w:val="left"/>
      <w:pPr>
        <w:ind w:left="1440" w:hanging="360"/>
      </w:pPr>
    </w:lvl>
    <w:lvl w:ilvl="2" w:tplc="576A0BA2">
      <w:start w:val="1"/>
      <w:numFmt w:val="lowerRoman"/>
      <w:lvlText w:val="%3."/>
      <w:lvlJc w:val="right"/>
      <w:pPr>
        <w:ind w:left="2160" w:hanging="180"/>
      </w:pPr>
    </w:lvl>
    <w:lvl w:ilvl="3" w:tplc="A93AC378">
      <w:start w:val="1"/>
      <w:numFmt w:val="decimal"/>
      <w:lvlText w:val="%4."/>
      <w:lvlJc w:val="left"/>
      <w:pPr>
        <w:ind w:left="2880" w:hanging="360"/>
      </w:pPr>
    </w:lvl>
    <w:lvl w:ilvl="4" w:tplc="61C8C4C4">
      <w:start w:val="1"/>
      <w:numFmt w:val="lowerLetter"/>
      <w:lvlText w:val="%5."/>
      <w:lvlJc w:val="left"/>
      <w:pPr>
        <w:ind w:left="3600" w:hanging="360"/>
      </w:pPr>
    </w:lvl>
    <w:lvl w:ilvl="5" w:tplc="2634F5FC">
      <w:start w:val="1"/>
      <w:numFmt w:val="lowerRoman"/>
      <w:lvlText w:val="%6."/>
      <w:lvlJc w:val="right"/>
      <w:pPr>
        <w:ind w:left="4320" w:hanging="180"/>
      </w:pPr>
    </w:lvl>
    <w:lvl w:ilvl="6" w:tplc="84C28E26">
      <w:start w:val="1"/>
      <w:numFmt w:val="decimal"/>
      <w:lvlText w:val="%7."/>
      <w:lvlJc w:val="left"/>
      <w:pPr>
        <w:ind w:left="5040" w:hanging="360"/>
      </w:pPr>
    </w:lvl>
    <w:lvl w:ilvl="7" w:tplc="DE6C974E">
      <w:start w:val="1"/>
      <w:numFmt w:val="lowerLetter"/>
      <w:lvlText w:val="%8."/>
      <w:lvlJc w:val="left"/>
      <w:pPr>
        <w:ind w:left="5760" w:hanging="360"/>
      </w:pPr>
    </w:lvl>
    <w:lvl w:ilvl="8" w:tplc="F2C2BE50">
      <w:start w:val="1"/>
      <w:numFmt w:val="lowerRoman"/>
      <w:lvlText w:val="%9."/>
      <w:lvlJc w:val="right"/>
      <w:pPr>
        <w:ind w:left="6480" w:hanging="180"/>
      </w:pPr>
    </w:lvl>
  </w:abstractNum>
  <w:abstractNum w:abstractNumId="60" w15:restartNumberingAfterBreak="0">
    <w:nsid w:val="53AF1609"/>
    <w:multiLevelType w:val="hybridMultilevel"/>
    <w:tmpl w:val="3E64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5200DEC"/>
    <w:multiLevelType w:val="hybridMultilevel"/>
    <w:tmpl w:val="997EF80C"/>
    <w:lvl w:ilvl="0" w:tplc="7124EC24">
      <w:start w:val="1"/>
      <w:numFmt w:val="lowerRoman"/>
      <w:lvlText w:val="%1."/>
      <w:lvlJc w:val="left"/>
      <w:pPr>
        <w:ind w:left="360" w:hanging="360"/>
      </w:pPr>
    </w:lvl>
    <w:lvl w:ilvl="1" w:tplc="CD64F9B2">
      <w:start w:val="1"/>
      <w:numFmt w:val="lowerLetter"/>
      <w:lvlText w:val="%2."/>
      <w:lvlJc w:val="left"/>
      <w:pPr>
        <w:ind w:left="1080" w:hanging="360"/>
      </w:pPr>
    </w:lvl>
    <w:lvl w:ilvl="2" w:tplc="ECCA9690">
      <w:start w:val="1"/>
      <w:numFmt w:val="lowerRoman"/>
      <w:lvlText w:val="%3."/>
      <w:lvlJc w:val="right"/>
      <w:pPr>
        <w:ind w:left="1800" w:hanging="180"/>
      </w:pPr>
    </w:lvl>
    <w:lvl w:ilvl="3" w:tplc="81181CFA">
      <w:start w:val="1"/>
      <w:numFmt w:val="decimal"/>
      <w:lvlText w:val="%4."/>
      <w:lvlJc w:val="left"/>
      <w:pPr>
        <w:ind w:left="2520" w:hanging="360"/>
      </w:pPr>
    </w:lvl>
    <w:lvl w:ilvl="4" w:tplc="2370C89C">
      <w:start w:val="1"/>
      <w:numFmt w:val="lowerLetter"/>
      <w:lvlText w:val="%5."/>
      <w:lvlJc w:val="left"/>
      <w:pPr>
        <w:ind w:left="3240" w:hanging="360"/>
      </w:pPr>
    </w:lvl>
    <w:lvl w:ilvl="5" w:tplc="A9DE5EC8">
      <w:start w:val="1"/>
      <w:numFmt w:val="lowerRoman"/>
      <w:lvlText w:val="%6."/>
      <w:lvlJc w:val="right"/>
      <w:pPr>
        <w:ind w:left="3960" w:hanging="180"/>
      </w:pPr>
    </w:lvl>
    <w:lvl w:ilvl="6" w:tplc="B95C7132">
      <w:start w:val="1"/>
      <w:numFmt w:val="decimal"/>
      <w:lvlText w:val="%7."/>
      <w:lvlJc w:val="left"/>
      <w:pPr>
        <w:ind w:left="4680" w:hanging="360"/>
      </w:pPr>
    </w:lvl>
    <w:lvl w:ilvl="7" w:tplc="02F4C820">
      <w:start w:val="1"/>
      <w:numFmt w:val="lowerLetter"/>
      <w:lvlText w:val="%8."/>
      <w:lvlJc w:val="left"/>
      <w:pPr>
        <w:ind w:left="5400" w:hanging="360"/>
      </w:pPr>
    </w:lvl>
    <w:lvl w:ilvl="8" w:tplc="EA0A20FA">
      <w:start w:val="1"/>
      <w:numFmt w:val="lowerRoman"/>
      <w:lvlText w:val="%9."/>
      <w:lvlJc w:val="right"/>
      <w:pPr>
        <w:ind w:left="6120" w:hanging="180"/>
      </w:pPr>
    </w:lvl>
  </w:abstractNum>
  <w:abstractNum w:abstractNumId="62" w15:restartNumberingAfterBreak="0">
    <w:nsid w:val="556D72FA"/>
    <w:multiLevelType w:val="hybridMultilevel"/>
    <w:tmpl w:val="58728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77A0205"/>
    <w:multiLevelType w:val="hybridMultilevel"/>
    <w:tmpl w:val="1FAED472"/>
    <w:lvl w:ilvl="0" w:tplc="9032710C">
      <w:start w:val="1"/>
      <w:numFmt w:val="decimal"/>
      <w:lvlText w:val="%1."/>
      <w:lvlJc w:val="left"/>
      <w:pPr>
        <w:ind w:left="720" w:hanging="360"/>
      </w:pPr>
    </w:lvl>
    <w:lvl w:ilvl="1" w:tplc="67B8802C">
      <w:start w:val="1"/>
      <w:numFmt w:val="lowerLetter"/>
      <w:lvlText w:val="%2."/>
      <w:lvlJc w:val="left"/>
      <w:pPr>
        <w:ind w:left="1440" w:hanging="360"/>
      </w:pPr>
    </w:lvl>
    <w:lvl w:ilvl="2" w:tplc="7A80FFA8">
      <w:start w:val="1"/>
      <w:numFmt w:val="lowerRoman"/>
      <w:lvlText w:val="%3."/>
      <w:lvlJc w:val="right"/>
      <w:pPr>
        <w:ind w:left="2160" w:hanging="180"/>
      </w:pPr>
    </w:lvl>
    <w:lvl w:ilvl="3" w:tplc="877AB34E">
      <w:start w:val="1"/>
      <w:numFmt w:val="decimal"/>
      <w:lvlText w:val="%4."/>
      <w:lvlJc w:val="left"/>
      <w:pPr>
        <w:ind w:left="2880" w:hanging="360"/>
      </w:pPr>
    </w:lvl>
    <w:lvl w:ilvl="4" w:tplc="2E12B956">
      <w:start w:val="1"/>
      <w:numFmt w:val="lowerLetter"/>
      <w:lvlText w:val="%5."/>
      <w:lvlJc w:val="left"/>
      <w:pPr>
        <w:ind w:left="3600" w:hanging="360"/>
      </w:pPr>
    </w:lvl>
    <w:lvl w:ilvl="5" w:tplc="863292A0">
      <w:start w:val="1"/>
      <w:numFmt w:val="lowerRoman"/>
      <w:lvlText w:val="%6."/>
      <w:lvlJc w:val="right"/>
      <w:pPr>
        <w:ind w:left="4320" w:hanging="180"/>
      </w:pPr>
    </w:lvl>
    <w:lvl w:ilvl="6" w:tplc="87AAF14E">
      <w:start w:val="1"/>
      <w:numFmt w:val="decimal"/>
      <w:lvlText w:val="%7."/>
      <w:lvlJc w:val="left"/>
      <w:pPr>
        <w:ind w:left="5040" w:hanging="360"/>
      </w:pPr>
    </w:lvl>
    <w:lvl w:ilvl="7" w:tplc="F5A69B86">
      <w:start w:val="1"/>
      <w:numFmt w:val="lowerLetter"/>
      <w:lvlText w:val="%8."/>
      <w:lvlJc w:val="left"/>
      <w:pPr>
        <w:ind w:left="5760" w:hanging="360"/>
      </w:pPr>
    </w:lvl>
    <w:lvl w:ilvl="8" w:tplc="14B6E9B6">
      <w:start w:val="1"/>
      <w:numFmt w:val="lowerRoman"/>
      <w:lvlText w:val="%9."/>
      <w:lvlJc w:val="right"/>
      <w:pPr>
        <w:ind w:left="6480" w:hanging="180"/>
      </w:pPr>
    </w:lvl>
  </w:abstractNum>
  <w:abstractNum w:abstractNumId="64" w15:restartNumberingAfterBreak="0">
    <w:nsid w:val="5963688A"/>
    <w:multiLevelType w:val="hybridMultilevel"/>
    <w:tmpl w:val="988CA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193D60"/>
    <w:multiLevelType w:val="hybridMultilevel"/>
    <w:tmpl w:val="941ED220"/>
    <w:lvl w:ilvl="0" w:tplc="928C7D54">
      <w:start w:val="5"/>
      <w:numFmt w:val="bullet"/>
      <w:lvlText w:val="-"/>
      <w:lvlJc w:val="left"/>
      <w:pPr>
        <w:ind w:left="720" w:hanging="360"/>
      </w:pPr>
      <w:rPr>
        <w:rFonts w:ascii="Corbel" w:eastAsiaTheme="minorHAnsi" w:hAnsi="Corbe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11341B"/>
    <w:multiLevelType w:val="hybridMultilevel"/>
    <w:tmpl w:val="63B47F9E"/>
    <w:lvl w:ilvl="0" w:tplc="46F20F08">
      <w:start w:val="1"/>
      <w:numFmt w:val="lowerLetter"/>
      <w:lvlText w:val="(%1)"/>
      <w:lvlJc w:val="left"/>
      <w:pPr>
        <w:ind w:left="720" w:hanging="360"/>
      </w:pPr>
    </w:lvl>
    <w:lvl w:ilvl="1" w:tplc="E594E3A4">
      <w:start w:val="1"/>
      <w:numFmt w:val="lowerLetter"/>
      <w:lvlText w:val="%2."/>
      <w:lvlJc w:val="left"/>
      <w:pPr>
        <w:ind w:left="1440" w:hanging="360"/>
      </w:pPr>
    </w:lvl>
    <w:lvl w:ilvl="2" w:tplc="A9E41560">
      <w:start w:val="1"/>
      <w:numFmt w:val="lowerRoman"/>
      <w:lvlText w:val="%3."/>
      <w:lvlJc w:val="right"/>
      <w:pPr>
        <w:ind w:left="2160" w:hanging="180"/>
      </w:pPr>
    </w:lvl>
    <w:lvl w:ilvl="3" w:tplc="549AEA3C">
      <w:start w:val="1"/>
      <w:numFmt w:val="decimal"/>
      <w:lvlText w:val="%4."/>
      <w:lvlJc w:val="left"/>
      <w:pPr>
        <w:ind w:left="2880" w:hanging="360"/>
      </w:pPr>
    </w:lvl>
    <w:lvl w:ilvl="4" w:tplc="A230B758">
      <w:start w:val="1"/>
      <w:numFmt w:val="lowerLetter"/>
      <w:lvlText w:val="%5."/>
      <w:lvlJc w:val="left"/>
      <w:pPr>
        <w:ind w:left="3600" w:hanging="360"/>
      </w:pPr>
    </w:lvl>
    <w:lvl w:ilvl="5" w:tplc="4614CE1C">
      <w:start w:val="1"/>
      <w:numFmt w:val="lowerRoman"/>
      <w:lvlText w:val="%6."/>
      <w:lvlJc w:val="right"/>
      <w:pPr>
        <w:ind w:left="4320" w:hanging="180"/>
      </w:pPr>
    </w:lvl>
    <w:lvl w:ilvl="6" w:tplc="A85A322E">
      <w:start w:val="1"/>
      <w:numFmt w:val="decimal"/>
      <w:lvlText w:val="%7."/>
      <w:lvlJc w:val="left"/>
      <w:pPr>
        <w:ind w:left="5040" w:hanging="360"/>
      </w:pPr>
    </w:lvl>
    <w:lvl w:ilvl="7" w:tplc="570E4B76">
      <w:start w:val="1"/>
      <w:numFmt w:val="lowerLetter"/>
      <w:lvlText w:val="%8."/>
      <w:lvlJc w:val="left"/>
      <w:pPr>
        <w:ind w:left="5760" w:hanging="360"/>
      </w:pPr>
    </w:lvl>
    <w:lvl w:ilvl="8" w:tplc="653873E6">
      <w:start w:val="1"/>
      <w:numFmt w:val="lowerRoman"/>
      <w:lvlText w:val="%9."/>
      <w:lvlJc w:val="right"/>
      <w:pPr>
        <w:ind w:left="6480" w:hanging="180"/>
      </w:pPr>
    </w:lvl>
  </w:abstractNum>
  <w:abstractNum w:abstractNumId="67" w15:restartNumberingAfterBreak="0">
    <w:nsid w:val="5DF6192F"/>
    <w:multiLevelType w:val="hybridMultilevel"/>
    <w:tmpl w:val="AF76DD52"/>
    <w:lvl w:ilvl="0" w:tplc="2A623E84">
      <w:start w:val="1"/>
      <w:numFmt w:val="lowerLetter"/>
      <w:lvlText w:val="%1."/>
      <w:lvlJc w:val="left"/>
      <w:pPr>
        <w:ind w:left="360" w:hanging="360"/>
      </w:pPr>
    </w:lvl>
    <w:lvl w:ilvl="1" w:tplc="9976D7F0">
      <w:start w:val="1"/>
      <w:numFmt w:val="lowerLetter"/>
      <w:lvlText w:val="%2."/>
      <w:lvlJc w:val="left"/>
      <w:pPr>
        <w:ind w:left="1080" w:hanging="360"/>
      </w:pPr>
    </w:lvl>
    <w:lvl w:ilvl="2" w:tplc="8D14E4CA">
      <w:start w:val="1"/>
      <w:numFmt w:val="lowerRoman"/>
      <w:lvlText w:val="%3."/>
      <w:lvlJc w:val="right"/>
      <w:pPr>
        <w:ind w:left="1800" w:hanging="180"/>
      </w:pPr>
    </w:lvl>
    <w:lvl w:ilvl="3" w:tplc="9738B794">
      <w:start w:val="1"/>
      <w:numFmt w:val="decimal"/>
      <w:lvlText w:val="%4."/>
      <w:lvlJc w:val="left"/>
      <w:pPr>
        <w:ind w:left="2520" w:hanging="360"/>
      </w:pPr>
    </w:lvl>
    <w:lvl w:ilvl="4" w:tplc="37FC45CA">
      <w:start w:val="1"/>
      <w:numFmt w:val="lowerLetter"/>
      <w:lvlText w:val="%5."/>
      <w:lvlJc w:val="left"/>
      <w:pPr>
        <w:ind w:left="3240" w:hanging="360"/>
      </w:pPr>
    </w:lvl>
    <w:lvl w:ilvl="5" w:tplc="D7F69FD0">
      <w:start w:val="1"/>
      <w:numFmt w:val="lowerRoman"/>
      <w:lvlText w:val="%6."/>
      <w:lvlJc w:val="right"/>
      <w:pPr>
        <w:ind w:left="3960" w:hanging="180"/>
      </w:pPr>
    </w:lvl>
    <w:lvl w:ilvl="6" w:tplc="9F32F348">
      <w:start w:val="1"/>
      <w:numFmt w:val="decimal"/>
      <w:lvlText w:val="%7."/>
      <w:lvlJc w:val="left"/>
      <w:pPr>
        <w:ind w:left="4680" w:hanging="360"/>
      </w:pPr>
    </w:lvl>
    <w:lvl w:ilvl="7" w:tplc="ABF0C126">
      <w:start w:val="1"/>
      <w:numFmt w:val="lowerLetter"/>
      <w:lvlText w:val="%8."/>
      <w:lvlJc w:val="left"/>
      <w:pPr>
        <w:ind w:left="5400" w:hanging="360"/>
      </w:pPr>
    </w:lvl>
    <w:lvl w:ilvl="8" w:tplc="44C82E8C">
      <w:start w:val="1"/>
      <w:numFmt w:val="lowerRoman"/>
      <w:lvlText w:val="%9."/>
      <w:lvlJc w:val="right"/>
      <w:pPr>
        <w:ind w:left="6120" w:hanging="180"/>
      </w:pPr>
    </w:lvl>
  </w:abstractNum>
  <w:abstractNum w:abstractNumId="68" w15:restartNumberingAfterBreak="0">
    <w:nsid w:val="5E470D11"/>
    <w:multiLevelType w:val="hybridMultilevel"/>
    <w:tmpl w:val="D132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98014E"/>
    <w:multiLevelType w:val="multilevel"/>
    <w:tmpl w:val="8E78FD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9769B06"/>
    <w:multiLevelType w:val="hybridMultilevel"/>
    <w:tmpl w:val="0B425AD8"/>
    <w:lvl w:ilvl="0" w:tplc="9EA25C06">
      <w:start w:val="1"/>
      <w:numFmt w:val="lowerLetter"/>
      <w:lvlText w:val="%1."/>
      <w:lvlJc w:val="left"/>
      <w:pPr>
        <w:ind w:left="720" w:hanging="360"/>
      </w:pPr>
    </w:lvl>
    <w:lvl w:ilvl="1" w:tplc="D2B29198">
      <w:start w:val="1"/>
      <w:numFmt w:val="lowerLetter"/>
      <w:lvlText w:val="%2."/>
      <w:lvlJc w:val="left"/>
      <w:pPr>
        <w:ind w:left="1440" w:hanging="360"/>
      </w:pPr>
    </w:lvl>
    <w:lvl w:ilvl="2" w:tplc="1C92542E">
      <w:start w:val="1"/>
      <w:numFmt w:val="lowerRoman"/>
      <w:lvlText w:val="%3."/>
      <w:lvlJc w:val="right"/>
      <w:pPr>
        <w:ind w:left="2160" w:hanging="180"/>
      </w:pPr>
    </w:lvl>
    <w:lvl w:ilvl="3" w:tplc="008C6252">
      <w:start w:val="1"/>
      <w:numFmt w:val="decimal"/>
      <w:lvlText w:val="%4."/>
      <w:lvlJc w:val="left"/>
      <w:pPr>
        <w:ind w:left="2880" w:hanging="360"/>
      </w:pPr>
    </w:lvl>
    <w:lvl w:ilvl="4" w:tplc="6A84E684">
      <w:start w:val="1"/>
      <w:numFmt w:val="lowerLetter"/>
      <w:lvlText w:val="%5."/>
      <w:lvlJc w:val="left"/>
      <w:pPr>
        <w:ind w:left="3600" w:hanging="360"/>
      </w:pPr>
    </w:lvl>
    <w:lvl w:ilvl="5" w:tplc="0638F37C">
      <w:start w:val="1"/>
      <w:numFmt w:val="lowerRoman"/>
      <w:lvlText w:val="%6."/>
      <w:lvlJc w:val="right"/>
      <w:pPr>
        <w:ind w:left="4320" w:hanging="180"/>
      </w:pPr>
    </w:lvl>
    <w:lvl w:ilvl="6" w:tplc="85B0475A">
      <w:start w:val="1"/>
      <w:numFmt w:val="decimal"/>
      <w:lvlText w:val="%7."/>
      <w:lvlJc w:val="left"/>
      <w:pPr>
        <w:ind w:left="5040" w:hanging="360"/>
      </w:pPr>
    </w:lvl>
    <w:lvl w:ilvl="7" w:tplc="D74ADD4E">
      <w:start w:val="1"/>
      <w:numFmt w:val="lowerLetter"/>
      <w:lvlText w:val="%8."/>
      <w:lvlJc w:val="left"/>
      <w:pPr>
        <w:ind w:left="5760" w:hanging="360"/>
      </w:pPr>
    </w:lvl>
    <w:lvl w:ilvl="8" w:tplc="94E0C994">
      <w:start w:val="1"/>
      <w:numFmt w:val="lowerRoman"/>
      <w:lvlText w:val="%9."/>
      <w:lvlJc w:val="right"/>
      <w:pPr>
        <w:ind w:left="6480" w:hanging="180"/>
      </w:pPr>
    </w:lvl>
  </w:abstractNum>
  <w:abstractNum w:abstractNumId="71" w15:restartNumberingAfterBreak="0">
    <w:nsid w:val="6D3133D2"/>
    <w:multiLevelType w:val="hybridMultilevel"/>
    <w:tmpl w:val="85105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60837C"/>
    <w:multiLevelType w:val="hybridMultilevel"/>
    <w:tmpl w:val="40BE2300"/>
    <w:lvl w:ilvl="0" w:tplc="0CC064A8">
      <w:start w:val="1"/>
      <w:numFmt w:val="lowerLetter"/>
      <w:lvlText w:val="%1."/>
      <w:lvlJc w:val="left"/>
      <w:pPr>
        <w:ind w:left="360" w:hanging="360"/>
      </w:pPr>
    </w:lvl>
    <w:lvl w:ilvl="1" w:tplc="1C381792">
      <w:start w:val="1"/>
      <w:numFmt w:val="lowerLetter"/>
      <w:lvlText w:val="%2."/>
      <w:lvlJc w:val="left"/>
      <w:pPr>
        <w:ind w:left="1080" w:hanging="360"/>
      </w:pPr>
    </w:lvl>
    <w:lvl w:ilvl="2" w:tplc="B5FE3F14">
      <w:start w:val="1"/>
      <w:numFmt w:val="lowerRoman"/>
      <w:lvlText w:val="%3."/>
      <w:lvlJc w:val="right"/>
      <w:pPr>
        <w:ind w:left="1800" w:hanging="180"/>
      </w:pPr>
    </w:lvl>
    <w:lvl w:ilvl="3" w:tplc="45AADD6A">
      <w:start w:val="1"/>
      <w:numFmt w:val="decimal"/>
      <w:lvlText w:val="%4."/>
      <w:lvlJc w:val="left"/>
      <w:pPr>
        <w:ind w:left="2520" w:hanging="360"/>
      </w:pPr>
    </w:lvl>
    <w:lvl w:ilvl="4" w:tplc="A69E9EA0">
      <w:start w:val="1"/>
      <w:numFmt w:val="lowerLetter"/>
      <w:lvlText w:val="%5."/>
      <w:lvlJc w:val="left"/>
      <w:pPr>
        <w:ind w:left="3240" w:hanging="360"/>
      </w:pPr>
    </w:lvl>
    <w:lvl w:ilvl="5" w:tplc="04D26926">
      <w:start w:val="1"/>
      <w:numFmt w:val="lowerRoman"/>
      <w:lvlText w:val="%6."/>
      <w:lvlJc w:val="right"/>
      <w:pPr>
        <w:ind w:left="3960" w:hanging="180"/>
      </w:pPr>
    </w:lvl>
    <w:lvl w:ilvl="6" w:tplc="5646347E">
      <w:start w:val="1"/>
      <w:numFmt w:val="decimal"/>
      <w:lvlText w:val="%7."/>
      <w:lvlJc w:val="left"/>
      <w:pPr>
        <w:ind w:left="4680" w:hanging="360"/>
      </w:pPr>
    </w:lvl>
    <w:lvl w:ilvl="7" w:tplc="0F020CF6">
      <w:start w:val="1"/>
      <w:numFmt w:val="lowerLetter"/>
      <w:lvlText w:val="%8."/>
      <w:lvlJc w:val="left"/>
      <w:pPr>
        <w:ind w:left="5400" w:hanging="360"/>
      </w:pPr>
    </w:lvl>
    <w:lvl w:ilvl="8" w:tplc="B2F8475A">
      <w:start w:val="1"/>
      <w:numFmt w:val="lowerRoman"/>
      <w:lvlText w:val="%9."/>
      <w:lvlJc w:val="right"/>
      <w:pPr>
        <w:ind w:left="6120" w:hanging="180"/>
      </w:pPr>
    </w:lvl>
  </w:abstractNum>
  <w:abstractNum w:abstractNumId="73" w15:restartNumberingAfterBreak="0">
    <w:nsid w:val="6EB2CF56"/>
    <w:multiLevelType w:val="hybridMultilevel"/>
    <w:tmpl w:val="2B5CD26C"/>
    <w:lvl w:ilvl="0" w:tplc="FBD47EE6">
      <w:start w:val="1"/>
      <w:numFmt w:val="lowerLetter"/>
      <w:lvlText w:val="%1."/>
      <w:lvlJc w:val="left"/>
      <w:pPr>
        <w:ind w:left="720" w:hanging="360"/>
      </w:pPr>
    </w:lvl>
    <w:lvl w:ilvl="1" w:tplc="C8D8851C">
      <w:start w:val="1"/>
      <w:numFmt w:val="lowerLetter"/>
      <w:lvlText w:val="%2."/>
      <w:lvlJc w:val="left"/>
      <w:pPr>
        <w:ind w:left="1440" w:hanging="360"/>
      </w:pPr>
    </w:lvl>
    <w:lvl w:ilvl="2" w:tplc="044EA20A">
      <w:start w:val="1"/>
      <w:numFmt w:val="lowerRoman"/>
      <w:lvlText w:val="%3."/>
      <w:lvlJc w:val="right"/>
      <w:pPr>
        <w:ind w:left="2160" w:hanging="180"/>
      </w:pPr>
    </w:lvl>
    <w:lvl w:ilvl="3" w:tplc="061CD5C6">
      <w:start w:val="1"/>
      <w:numFmt w:val="decimal"/>
      <w:lvlText w:val="%4."/>
      <w:lvlJc w:val="left"/>
      <w:pPr>
        <w:ind w:left="2880" w:hanging="360"/>
      </w:pPr>
    </w:lvl>
    <w:lvl w:ilvl="4" w:tplc="C8C02768">
      <w:start w:val="1"/>
      <w:numFmt w:val="lowerLetter"/>
      <w:lvlText w:val="%5."/>
      <w:lvlJc w:val="left"/>
      <w:pPr>
        <w:ind w:left="3600" w:hanging="360"/>
      </w:pPr>
    </w:lvl>
    <w:lvl w:ilvl="5" w:tplc="08BEB7CC">
      <w:start w:val="1"/>
      <w:numFmt w:val="lowerRoman"/>
      <w:lvlText w:val="%6."/>
      <w:lvlJc w:val="right"/>
      <w:pPr>
        <w:ind w:left="4320" w:hanging="180"/>
      </w:pPr>
    </w:lvl>
    <w:lvl w:ilvl="6" w:tplc="99B43BC2">
      <w:start w:val="1"/>
      <w:numFmt w:val="decimal"/>
      <w:lvlText w:val="%7."/>
      <w:lvlJc w:val="left"/>
      <w:pPr>
        <w:ind w:left="5040" w:hanging="360"/>
      </w:pPr>
    </w:lvl>
    <w:lvl w:ilvl="7" w:tplc="08F4D428">
      <w:start w:val="1"/>
      <w:numFmt w:val="lowerLetter"/>
      <w:lvlText w:val="%8."/>
      <w:lvlJc w:val="left"/>
      <w:pPr>
        <w:ind w:left="5760" w:hanging="360"/>
      </w:pPr>
    </w:lvl>
    <w:lvl w:ilvl="8" w:tplc="9312B25A">
      <w:start w:val="1"/>
      <w:numFmt w:val="lowerRoman"/>
      <w:lvlText w:val="%9."/>
      <w:lvlJc w:val="right"/>
      <w:pPr>
        <w:ind w:left="6480" w:hanging="180"/>
      </w:pPr>
    </w:lvl>
  </w:abstractNum>
  <w:abstractNum w:abstractNumId="74" w15:restartNumberingAfterBreak="0">
    <w:nsid w:val="709E1D1A"/>
    <w:multiLevelType w:val="hybridMultilevel"/>
    <w:tmpl w:val="4080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140682"/>
    <w:multiLevelType w:val="hybridMultilevel"/>
    <w:tmpl w:val="B65ED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7F45A26"/>
    <w:multiLevelType w:val="hybridMultilevel"/>
    <w:tmpl w:val="035C636C"/>
    <w:lvl w:ilvl="0" w:tplc="A6440968">
      <w:start w:val="1"/>
      <w:numFmt w:val="lowerLetter"/>
      <w:lvlText w:val="%1."/>
      <w:lvlJc w:val="left"/>
      <w:pPr>
        <w:ind w:left="720" w:hanging="360"/>
      </w:pPr>
    </w:lvl>
    <w:lvl w:ilvl="1" w:tplc="5A36325A">
      <w:start w:val="1"/>
      <w:numFmt w:val="lowerLetter"/>
      <w:lvlText w:val="%2."/>
      <w:lvlJc w:val="left"/>
      <w:pPr>
        <w:ind w:left="1440" w:hanging="360"/>
      </w:pPr>
    </w:lvl>
    <w:lvl w:ilvl="2" w:tplc="FC000DB0">
      <w:start w:val="1"/>
      <w:numFmt w:val="lowerRoman"/>
      <w:lvlText w:val="%3."/>
      <w:lvlJc w:val="right"/>
      <w:pPr>
        <w:ind w:left="2160" w:hanging="180"/>
      </w:pPr>
    </w:lvl>
    <w:lvl w:ilvl="3" w:tplc="5B7AF358">
      <w:start w:val="1"/>
      <w:numFmt w:val="decimal"/>
      <w:lvlText w:val="%4."/>
      <w:lvlJc w:val="left"/>
      <w:pPr>
        <w:ind w:left="2880" w:hanging="360"/>
      </w:pPr>
    </w:lvl>
    <w:lvl w:ilvl="4" w:tplc="FC806C94">
      <w:start w:val="1"/>
      <w:numFmt w:val="lowerLetter"/>
      <w:lvlText w:val="%5."/>
      <w:lvlJc w:val="left"/>
      <w:pPr>
        <w:ind w:left="3600" w:hanging="360"/>
      </w:pPr>
    </w:lvl>
    <w:lvl w:ilvl="5" w:tplc="E35CC52A">
      <w:start w:val="1"/>
      <w:numFmt w:val="lowerRoman"/>
      <w:lvlText w:val="%6."/>
      <w:lvlJc w:val="right"/>
      <w:pPr>
        <w:ind w:left="4320" w:hanging="180"/>
      </w:pPr>
    </w:lvl>
    <w:lvl w:ilvl="6" w:tplc="6FF8DA8E">
      <w:start w:val="1"/>
      <w:numFmt w:val="decimal"/>
      <w:lvlText w:val="%7."/>
      <w:lvlJc w:val="left"/>
      <w:pPr>
        <w:ind w:left="5040" w:hanging="360"/>
      </w:pPr>
    </w:lvl>
    <w:lvl w:ilvl="7" w:tplc="3DBA635A">
      <w:start w:val="1"/>
      <w:numFmt w:val="lowerLetter"/>
      <w:lvlText w:val="%8."/>
      <w:lvlJc w:val="left"/>
      <w:pPr>
        <w:ind w:left="5760" w:hanging="360"/>
      </w:pPr>
    </w:lvl>
    <w:lvl w:ilvl="8" w:tplc="072C6986">
      <w:start w:val="1"/>
      <w:numFmt w:val="lowerRoman"/>
      <w:lvlText w:val="%9."/>
      <w:lvlJc w:val="right"/>
      <w:pPr>
        <w:ind w:left="6480" w:hanging="180"/>
      </w:pPr>
    </w:lvl>
  </w:abstractNum>
  <w:abstractNum w:abstractNumId="77" w15:restartNumberingAfterBreak="0">
    <w:nsid w:val="78413981"/>
    <w:multiLevelType w:val="hybridMultilevel"/>
    <w:tmpl w:val="AC408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AC36169"/>
    <w:multiLevelType w:val="hybridMultilevel"/>
    <w:tmpl w:val="632E7736"/>
    <w:lvl w:ilvl="0" w:tplc="7212C008">
      <w:start w:val="1"/>
      <w:numFmt w:val="bullet"/>
      <w:lvlText w:val="o"/>
      <w:lvlJc w:val="left"/>
      <w:pPr>
        <w:tabs>
          <w:tab w:val="num" w:pos="720"/>
        </w:tabs>
        <w:ind w:left="720" w:hanging="360"/>
      </w:pPr>
      <w:rPr>
        <w:rFonts w:ascii="Courier New" w:hAnsi="Courier New" w:hint="default"/>
      </w:rPr>
    </w:lvl>
    <w:lvl w:ilvl="1" w:tplc="71D2FBB4">
      <w:start w:val="1"/>
      <w:numFmt w:val="bullet"/>
      <w:lvlText w:val="o"/>
      <w:lvlJc w:val="left"/>
      <w:pPr>
        <w:tabs>
          <w:tab w:val="num" w:pos="1440"/>
        </w:tabs>
        <w:ind w:left="1440" w:hanging="360"/>
      </w:pPr>
      <w:rPr>
        <w:rFonts w:ascii="Courier New" w:hAnsi="Courier New" w:hint="default"/>
      </w:rPr>
    </w:lvl>
    <w:lvl w:ilvl="2" w:tplc="E5DE05D2" w:tentative="1">
      <w:start w:val="1"/>
      <w:numFmt w:val="bullet"/>
      <w:lvlText w:val="o"/>
      <w:lvlJc w:val="left"/>
      <w:pPr>
        <w:tabs>
          <w:tab w:val="num" w:pos="2160"/>
        </w:tabs>
        <w:ind w:left="2160" w:hanging="360"/>
      </w:pPr>
      <w:rPr>
        <w:rFonts w:ascii="Courier New" w:hAnsi="Courier New" w:hint="default"/>
      </w:rPr>
    </w:lvl>
    <w:lvl w:ilvl="3" w:tplc="8C1450DC" w:tentative="1">
      <w:start w:val="1"/>
      <w:numFmt w:val="bullet"/>
      <w:lvlText w:val="o"/>
      <w:lvlJc w:val="left"/>
      <w:pPr>
        <w:tabs>
          <w:tab w:val="num" w:pos="2880"/>
        </w:tabs>
        <w:ind w:left="2880" w:hanging="360"/>
      </w:pPr>
      <w:rPr>
        <w:rFonts w:ascii="Courier New" w:hAnsi="Courier New" w:hint="default"/>
      </w:rPr>
    </w:lvl>
    <w:lvl w:ilvl="4" w:tplc="97A2B004" w:tentative="1">
      <w:start w:val="1"/>
      <w:numFmt w:val="bullet"/>
      <w:lvlText w:val="o"/>
      <w:lvlJc w:val="left"/>
      <w:pPr>
        <w:tabs>
          <w:tab w:val="num" w:pos="3600"/>
        </w:tabs>
        <w:ind w:left="3600" w:hanging="360"/>
      </w:pPr>
      <w:rPr>
        <w:rFonts w:ascii="Courier New" w:hAnsi="Courier New" w:hint="default"/>
      </w:rPr>
    </w:lvl>
    <w:lvl w:ilvl="5" w:tplc="000AC860" w:tentative="1">
      <w:start w:val="1"/>
      <w:numFmt w:val="bullet"/>
      <w:lvlText w:val="o"/>
      <w:lvlJc w:val="left"/>
      <w:pPr>
        <w:tabs>
          <w:tab w:val="num" w:pos="4320"/>
        </w:tabs>
        <w:ind w:left="4320" w:hanging="360"/>
      </w:pPr>
      <w:rPr>
        <w:rFonts w:ascii="Courier New" w:hAnsi="Courier New" w:hint="default"/>
      </w:rPr>
    </w:lvl>
    <w:lvl w:ilvl="6" w:tplc="8A183D02" w:tentative="1">
      <w:start w:val="1"/>
      <w:numFmt w:val="bullet"/>
      <w:lvlText w:val="o"/>
      <w:lvlJc w:val="left"/>
      <w:pPr>
        <w:tabs>
          <w:tab w:val="num" w:pos="5040"/>
        </w:tabs>
        <w:ind w:left="5040" w:hanging="360"/>
      </w:pPr>
      <w:rPr>
        <w:rFonts w:ascii="Courier New" w:hAnsi="Courier New" w:hint="default"/>
      </w:rPr>
    </w:lvl>
    <w:lvl w:ilvl="7" w:tplc="0ACC8C5C" w:tentative="1">
      <w:start w:val="1"/>
      <w:numFmt w:val="bullet"/>
      <w:lvlText w:val="o"/>
      <w:lvlJc w:val="left"/>
      <w:pPr>
        <w:tabs>
          <w:tab w:val="num" w:pos="5760"/>
        </w:tabs>
        <w:ind w:left="5760" w:hanging="360"/>
      </w:pPr>
      <w:rPr>
        <w:rFonts w:ascii="Courier New" w:hAnsi="Courier New" w:hint="default"/>
      </w:rPr>
    </w:lvl>
    <w:lvl w:ilvl="8" w:tplc="0D0CF8B0" w:tentative="1">
      <w:start w:val="1"/>
      <w:numFmt w:val="bullet"/>
      <w:lvlText w:val="o"/>
      <w:lvlJc w:val="left"/>
      <w:pPr>
        <w:tabs>
          <w:tab w:val="num" w:pos="6480"/>
        </w:tabs>
        <w:ind w:left="6480" w:hanging="360"/>
      </w:pPr>
      <w:rPr>
        <w:rFonts w:ascii="Courier New" w:hAnsi="Courier New" w:hint="default"/>
      </w:rPr>
    </w:lvl>
  </w:abstractNum>
  <w:abstractNum w:abstractNumId="79" w15:restartNumberingAfterBreak="0">
    <w:nsid w:val="7D8D4D3D"/>
    <w:multiLevelType w:val="hybridMultilevel"/>
    <w:tmpl w:val="9F22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CC5BF7"/>
    <w:multiLevelType w:val="hybridMultilevel"/>
    <w:tmpl w:val="C3E0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54296C"/>
    <w:multiLevelType w:val="hybridMultilevel"/>
    <w:tmpl w:val="B5D6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B25133"/>
    <w:multiLevelType w:val="hybridMultilevel"/>
    <w:tmpl w:val="AD34477E"/>
    <w:lvl w:ilvl="0" w:tplc="8BAA88BE">
      <w:start w:val="1"/>
      <w:numFmt w:val="bullet"/>
      <w:lvlText w:val=""/>
      <w:lvlJc w:val="left"/>
      <w:pPr>
        <w:tabs>
          <w:tab w:val="num" w:pos="432"/>
        </w:tabs>
        <w:ind w:left="432" w:hanging="432"/>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1268194805">
    <w:abstractNumId w:val="17"/>
  </w:num>
  <w:num w:numId="2" w16cid:durableId="1096363357">
    <w:abstractNumId w:val="70"/>
  </w:num>
  <w:num w:numId="3" w16cid:durableId="1799562765">
    <w:abstractNumId w:val="40"/>
  </w:num>
  <w:num w:numId="4" w16cid:durableId="109009146">
    <w:abstractNumId w:val="58"/>
  </w:num>
  <w:num w:numId="5" w16cid:durableId="808591776">
    <w:abstractNumId w:val="12"/>
  </w:num>
  <w:num w:numId="6" w16cid:durableId="1682049811">
    <w:abstractNumId w:val="10"/>
  </w:num>
  <w:num w:numId="7" w16cid:durableId="236477390">
    <w:abstractNumId w:val="21"/>
  </w:num>
  <w:num w:numId="8" w16cid:durableId="244189668">
    <w:abstractNumId w:val="73"/>
  </w:num>
  <w:num w:numId="9" w16cid:durableId="2031372800">
    <w:abstractNumId w:val="45"/>
  </w:num>
  <w:num w:numId="10" w16cid:durableId="1684628553">
    <w:abstractNumId w:val="11"/>
  </w:num>
  <w:num w:numId="11" w16cid:durableId="258296902">
    <w:abstractNumId w:val="63"/>
  </w:num>
  <w:num w:numId="12" w16cid:durableId="2016806592">
    <w:abstractNumId w:val="56"/>
  </w:num>
  <w:num w:numId="13" w16cid:durableId="878011964">
    <w:abstractNumId w:val="66"/>
  </w:num>
  <w:num w:numId="14" w16cid:durableId="51075943">
    <w:abstractNumId w:val="24"/>
  </w:num>
  <w:num w:numId="15" w16cid:durableId="1014960057">
    <w:abstractNumId w:val="76"/>
  </w:num>
  <w:num w:numId="16" w16cid:durableId="350450937">
    <w:abstractNumId w:val="59"/>
  </w:num>
  <w:num w:numId="17" w16cid:durableId="773207233">
    <w:abstractNumId w:val="72"/>
  </w:num>
  <w:num w:numId="18" w16cid:durableId="1199926779">
    <w:abstractNumId w:val="29"/>
  </w:num>
  <w:num w:numId="19" w16cid:durableId="1212307428">
    <w:abstractNumId w:val="48"/>
  </w:num>
  <w:num w:numId="20" w16cid:durableId="547568366">
    <w:abstractNumId w:val="61"/>
  </w:num>
  <w:num w:numId="21" w16cid:durableId="2089232234">
    <w:abstractNumId w:val="28"/>
  </w:num>
  <w:num w:numId="22" w16cid:durableId="356737502">
    <w:abstractNumId w:val="53"/>
  </w:num>
  <w:num w:numId="23" w16cid:durableId="685865456">
    <w:abstractNumId w:val="37"/>
  </w:num>
  <w:num w:numId="24" w16cid:durableId="2040665133">
    <w:abstractNumId w:val="20"/>
  </w:num>
  <w:num w:numId="25" w16cid:durableId="1075317682">
    <w:abstractNumId w:val="13"/>
  </w:num>
  <w:num w:numId="26" w16cid:durableId="1228998454">
    <w:abstractNumId w:val="55"/>
  </w:num>
  <w:num w:numId="27" w16cid:durableId="464741641">
    <w:abstractNumId w:val="30"/>
  </w:num>
  <w:num w:numId="28" w16cid:durableId="171339455">
    <w:abstractNumId w:val="54"/>
  </w:num>
  <w:num w:numId="29" w16cid:durableId="2131509859">
    <w:abstractNumId w:val="47"/>
  </w:num>
  <w:num w:numId="30" w16cid:durableId="1246646265">
    <w:abstractNumId w:val="15"/>
  </w:num>
  <w:num w:numId="31" w16cid:durableId="1846819558">
    <w:abstractNumId w:val="67"/>
  </w:num>
  <w:num w:numId="32" w16cid:durableId="573126977">
    <w:abstractNumId w:val="41"/>
  </w:num>
  <w:num w:numId="33" w16cid:durableId="1928734048">
    <w:abstractNumId w:val="51"/>
  </w:num>
  <w:num w:numId="34" w16cid:durableId="1796488276">
    <w:abstractNumId w:val="52"/>
  </w:num>
  <w:num w:numId="35" w16cid:durableId="452864238">
    <w:abstractNumId w:val="68"/>
  </w:num>
  <w:num w:numId="36" w16cid:durableId="1387339470">
    <w:abstractNumId w:val="26"/>
  </w:num>
  <w:num w:numId="37" w16cid:durableId="1877235203">
    <w:abstractNumId w:val="19"/>
  </w:num>
  <w:num w:numId="38" w16cid:durableId="1413040577">
    <w:abstractNumId w:val="79"/>
  </w:num>
  <w:num w:numId="39" w16cid:durableId="1598561206">
    <w:abstractNumId w:val="60"/>
  </w:num>
  <w:num w:numId="40" w16cid:durableId="335768268">
    <w:abstractNumId w:val="81"/>
  </w:num>
  <w:num w:numId="41" w16cid:durableId="1188252315">
    <w:abstractNumId w:val="49"/>
  </w:num>
  <w:num w:numId="42" w16cid:durableId="613946971">
    <w:abstractNumId w:val="64"/>
  </w:num>
  <w:num w:numId="43" w16cid:durableId="1637101875">
    <w:abstractNumId w:val="39"/>
  </w:num>
  <w:num w:numId="44" w16cid:durableId="770861993">
    <w:abstractNumId w:val="82"/>
  </w:num>
  <w:num w:numId="45" w16cid:durableId="1321545875">
    <w:abstractNumId w:val="43"/>
  </w:num>
  <w:num w:numId="46" w16cid:durableId="1238903123">
    <w:abstractNumId w:val="50"/>
  </w:num>
  <w:num w:numId="47" w16cid:durableId="628390369">
    <w:abstractNumId w:val="46"/>
  </w:num>
  <w:num w:numId="48" w16cid:durableId="762990571">
    <w:abstractNumId w:val="42"/>
  </w:num>
  <w:num w:numId="49" w16cid:durableId="681398888">
    <w:abstractNumId w:val="9"/>
  </w:num>
  <w:num w:numId="50" w16cid:durableId="636422202">
    <w:abstractNumId w:val="8"/>
  </w:num>
  <w:num w:numId="51" w16cid:durableId="1289821078">
    <w:abstractNumId w:val="7"/>
  </w:num>
  <w:num w:numId="52" w16cid:durableId="112096873">
    <w:abstractNumId w:val="3"/>
  </w:num>
  <w:num w:numId="53" w16cid:durableId="1217545124">
    <w:abstractNumId w:val="65"/>
  </w:num>
  <w:num w:numId="54" w16cid:durableId="1229924875">
    <w:abstractNumId w:val="6"/>
  </w:num>
  <w:num w:numId="55" w16cid:durableId="381910015">
    <w:abstractNumId w:val="5"/>
  </w:num>
  <w:num w:numId="56" w16cid:durableId="396249771">
    <w:abstractNumId w:val="4"/>
  </w:num>
  <w:num w:numId="57" w16cid:durableId="1342732946">
    <w:abstractNumId w:val="2"/>
  </w:num>
  <w:num w:numId="58" w16cid:durableId="1471633002">
    <w:abstractNumId w:val="1"/>
  </w:num>
  <w:num w:numId="59" w16cid:durableId="1723478320">
    <w:abstractNumId w:val="0"/>
  </w:num>
  <w:num w:numId="60" w16cid:durableId="356588390">
    <w:abstractNumId w:val="38"/>
  </w:num>
  <w:num w:numId="61" w16cid:durableId="923876766">
    <w:abstractNumId w:val="69"/>
  </w:num>
  <w:num w:numId="62" w16cid:durableId="1970473011">
    <w:abstractNumId w:val="31"/>
  </w:num>
  <w:num w:numId="63" w16cid:durableId="740295804">
    <w:abstractNumId w:val="31"/>
    <w:lvlOverride w:ilvl="0">
      <w:lvl w:ilvl="0">
        <w:start w:val="1"/>
        <w:numFmt w:val="bullet"/>
        <w:pStyle w:val="ListBullet"/>
        <w:lvlText w:val="–"/>
        <w:lvlJc w:val="left"/>
        <w:pPr>
          <w:ind w:left="360" w:hanging="360"/>
        </w:pPr>
        <w:rPr>
          <w:rFonts w:ascii="Calibri" w:hAnsi="Calibri" w:hint="default"/>
        </w:rPr>
      </w:lvl>
    </w:lvlOverride>
    <w:lvlOverride w:ilvl="1">
      <w:lvl w:ilvl="1">
        <w:start w:val="1"/>
        <w:numFmt w:val="bullet"/>
        <w:lvlText w:val="o"/>
        <w:lvlJc w:val="left"/>
        <w:pPr>
          <w:ind w:left="720" w:hanging="360"/>
        </w:pPr>
        <w:rPr>
          <w:rFonts w:ascii="Courier New" w:hAnsi="Courier New"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o"/>
        <w:lvlJc w:val="left"/>
        <w:pPr>
          <w:ind w:left="1800" w:hanging="360"/>
        </w:pPr>
        <w:rPr>
          <w:rFonts w:ascii="Courier New" w:hAnsi="Courier New"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Symbol" w:hAnsi="Symbol" w:hint="default"/>
        </w:rPr>
      </w:lvl>
    </w:lvlOverride>
    <w:lvlOverride w:ilvl="7">
      <w:lvl w:ilvl="7">
        <w:start w:val="1"/>
        <w:numFmt w:val="bullet"/>
        <w:lvlText w:val="o"/>
        <w:lvlJc w:val="left"/>
        <w:pPr>
          <w:ind w:left="2880" w:hanging="360"/>
        </w:pPr>
        <w:rPr>
          <w:rFonts w:ascii="Courier New" w:hAnsi="Courier New" w:hint="default"/>
        </w:rPr>
      </w:lvl>
    </w:lvlOverride>
    <w:lvlOverride w:ilvl="8">
      <w:lvl w:ilvl="8">
        <w:start w:val="1"/>
        <w:numFmt w:val="bullet"/>
        <w:lvlText w:val=""/>
        <w:lvlJc w:val="left"/>
        <w:pPr>
          <w:ind w:left="3240" w:hanging="360"/>
        </w:pPr>
        <w:rPr>
          <w:rFonts w:ascii="Wingdings" w:hAnsi="Wingdings" w:hint="default"/>
        </w:rPr>
      </w:lvl>
    </w:lvlOverride>
  </w:num>
  <w:num w:numId="64" w16cid:durableId="783960607">
    <w:abstractNumId w:val="77"/>
  </w:num>
  <w:num w:numId="65" w16cid:durableId="1481071576">
    <w:abstractNumId w:val="33"/>
  </w:num>
  <w:num w:numId="66" w16cid:durableId="1012293303">
    <w:abstractNumId w:val="25"/>
  </w:num>
  <w:num w:numId="67" w16cid:durableId="1364018634">
    <w:abstractNumId w:val="32"/>
  </w:num>
  <w:num w:numId="68" w16cid:durableId="1027871472">
    <w:abstractNumId w:val="16"/>
  </w:num>
  <w:num w:numId="69" w16cid:durableId="1575971529">
    <w:abstractNumId w:val="34"/>
  </w:num>
  <w:num w:numId="70" w16cid:durableId="268196569">
    <w:abstractNumId w:val="75"/>
  </w:num>
  <w:num w:numId="71" w16cid:durableId="535897368">
    <w:abstractNumId w:val="78"/>
  </w:num>
  <w:num w:numId="72" w16cid:durableId="1936548014">
    <w:abstractNumId w:val="44"/>
  </w:num>
  <w:num w:numId="73" w16cid:durableId="32771366">
    <w:abstractNumId w:val="18"/>
  </w:num>
  <w:num w:numId="74" w16cid:durableId="712002728">
    <w:abstractNumId w:val="27"/>
  </w:num>
  <w:num w:numId="75" w16cid:durableId="1528173730">
    <w:abstractNumId w:val="18"/>
  </w:num>
  <w:num w:numId="76" w16cid:durableId="1984844030">
    <w:abstractNumId w:val="18"/>
  </w:num>
  <w:num w:numId="77" w16cid:durableId="1668900088">
    <w:abstractNumId w:val="18"/>
  </w:num>
  <w:num w:numId="78" w16cid:durableId="1506625972">
    <w:abstractNumId w:val="18"/>
  </w:num>
  <w:num w:numId="79" w16cid:durableId="272254531">
    <w:abstractNumId w:val="18"/>
  </w:num>
  <w:num w:numId="80" w16cid:durableId="1103309366">
    <w:abstractNumId w:val="18"/>
  </w:num>
  <w:num w:numId="81" w16cid:durableId="962662015">
    <w:abstractNumId w:val="71"/>
  </w:num>
  <w:num w:numId="82" w16cid:durableId="284426480">
    <w:abstractNumId w:val="36"/>
  </w:num>
  <w:num w:numId="83" w16cid:durableId="1646347845">
    <w:abstractNumId w:val="80"/>
  </w:num>
  <w:num w:numId="84" w16cid:durableId="892929886">
    <w:abstractNumId w:val="62"/>
  </w:num>
  <w:num w:numId="85" w16cid:durableId="971861022">
    <w:abstractNumId w:val="23"/>
  </w:num>
  <w:num w:numId="86" w16cid:durableId="1542741361">
    <w:abstractNumId w:val="74"/>
  </w:num>
  <w:num w:numId="87" w16cid:durableId="831218538">
    <w:abstractNumId w:val="35"/>
  </w:num>
  <w:num w:numId="88" w16cid:durableId="1426729010">
    <w:abstractNumId w:val="57"/>
  </w:num>
  <w:num w:numId="89" w16cid:durableId="1681663222">
    <w:abstractNumId w:val="22"/>
  </w:num>
  <w:num w:numId="90" w16cid:durableId="1805077859">
    <w:abstractNumId w:val="14"/>
  </w:num>
  <w:num w:numId="91" w16cid:durableId="1022055984">
    <w:abstractNumId w:val="18"/>
  </w:num>
  <w:num w:numId="92" w16cid:durableId="2127233956">
    <w:abstractNumId w:val="18"/>
  </w:num>
  <w:num w:numId="93" w16cid:durableId="1019504287">
    <w:abstractNumId w:val="18"/>
  </w:num>
  <w:num w:numId="94" w16cid:durableId="499197887">
    <w:abstractNumId w:val="18"/>
  </w:num>
  <w:num w:numId="95" w16cid:durableId="1670134948">
    <w:abstractNumId w:val="18"/>
  </w:num>
  <w:num w:numId="96" w16cid:durableId="1158613392">
    <w:abstractNumId w:val="1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77C"/>
    <w:rsid w:val="00000AFD"/>
    <w:rsid w:val="00010DEA"/>
    <w:rsid w:val="00011D70"/>
    <w:rsid w:val="00014AB7"/>
    <w:rsid w:val="000256BE"/>
    <w:rsid w:val="000426FE"/>
    <w:rsid w:val="00045A6D"/>
    <w:rsid w:val="00046E0D"/>
    <w:rsid w:val="00047976"/>
    <w:rsid w:val="000604C7"/>
    <w:rsid w:val="00061392"/>
    <w:rsid w:val="00069FEF"/>
    <w:rsid w:val="00071EBE"/>
    <w:rsid w:val="000720BC"/>
    <w:rsid w:val="000764C5"/>
    <w:rsid w:val="00092C6A"/>
    <w:rsid w:val="000965EF"/>
    <w:rsid w:val="00097A05"/>
    <w:rsid w:val="000A00DF"/>
    <w:rsid w:val="000B1787"/>
    <w:rsid w:val="000B7080"/>
    <w:rsid w:val="000CFD21"/>
    <w:rsid w:val="000D735E"/>
    <w:rsid w:val="000DB72F"/>
    <w:rsid w:val="000DE469"/>
    <w:rsid w:val="000E1786"/>
    <w:rsid w:val="000E1C28"/>
    <w:rsid w:val="000E59CC"/>
    <w:rsid w:val="000FA9CB"/>
    <w:rsid w:val="000FB5CC"/>
    <w:rsid w:val="00106A33"/>
    <w:rsid w:val="001111EF"/>
    <w:rsid w:val="00112F13"/>
    <w:rsid w:val="00120E16"/>
    <w:rsid w:val="001267FE"/>
    <w:rsid w:val="00130B77"/>
    <w:rsid w:val="00140772"/>
    <w:rsid w:val="00140848"/>
    <w:rsid w:val="001468B0"/>
    <w:rsid w:val="00151EFA"/>
    <w:rsid w:val="00167D77"/>
    <w:rsid w:val="00172432"/>
    <w:rsid w:val="0017397D"/>
    <w:rsid w:val="00175EF9"/>
    <w:rsid w:val="00184F9C"/>
    <w:rsid w:val="001863A1"/>
    <w:rsid w:val="00186F9E"/>
    <w:rsid w:val="0019722A"/>
    <w:rsid w:val="001A7124"/>
    <w:rsid w:val="001B03BA"/>
    <w:rsid w:val="001B36D8"/>
    <w:rsid w:val="001B63E7"/>
    <w:rsid w:val="001C365C"/>
    <w:rsid w:val="001C5567"/>
    <w:rsid w:val="001D6682"/>
    <w:rsid w:val="001E2685"/>
    <w:rsid w:val="001E525A"/>
    <w:rsid w:val="001E5BAE"/>
    <w:rsid w:val="001E7060"/>
    <w:rsid w:val="001E7803"/>
    <w:rsid w:val="00203F35"/>
    <w:rsid w:val="00212AD7"/>
    <w:rsid w:val="00212D86"/>
    <w:rsid w:val="00214F11"/>
    <w:rsid w:val="0021702D"/>
    <w:rsid w:val="00220F55"/>
    <w:rsid w:val="00222007"/>
    <w:rsid w:val="00225BBD"/>
    <w:rsid w:val="00226FAE"/>
    <w:rsid w:val="0023329D"/>
    <w:rsid w:val="00235D38"/>
    <w:rsid w:val="00236127"/>
    <w:rsid w:val="00240286"/>
    <w:rsid w:val="00242650"/>
    <w:rsid w:val="00243829"/>
    <w:rsid w:val="00246CDC"/>
    <w:rsid w:val="002477FC"/>
    <w:rsid w:val="00250230"/>
    <w:rsid w:val="00254A97"/>
    <w:rsid w:val="00257801"/>
    <w:rsid w:val="002632ED"/>
    <w:rsid w:val="00265F44"/>
    <w:rsid w:val="00270DB8"/>
    <w:rsid w:val="00281C56"/>
    <w:rsid w:val="0028242C"/>
    <w:rsid w:val="00292A6B"/>
    <w:rsid w:val="00293F6C"/>
    <w:rsid w:val="002A0684"/>
    <w:rsid w:val="002A2B0A"/>
    <w:rsid w:val="002A7906"/>
    <w:rsid w:val="002B1631"/>
    <w:rsid w:val="002B36B9"/>
    <w:rsid w:val="002B4038"/>
    <w:rsid w:val="002C3F04"/>
    <w:rsid w:val="002D075A"/>
    <w:rsid w:val="002D3B71"/>
    <w:rsid w:val="002E2F57"/>
    <w:rsid w:val="002E641D"/>
    <w:rsid w:val="002E6D20"/>
    <w:rsid w:val="002E796A"/>
    <w:rsid w:val="002E7E64"/>
    <w:rsid w:val="002F1C23"/>
    <w:rsid w:val="002F23EE"/>
    <w:rsid w:val="002F4CCC"/>
    <w:rsid w:val="002F5BB4"/>
    <w:rsid w:val="003009C7"/>
    <w:rsid w:val="0030BA5C"/>
    <w:rsid w:val="00311808"/>
    <w:rsid w:val="00311904"/>
    <w:rsid w:val="003238C4"/>
    <w:rsid w:val="00326273"/>
    <w:rsid w:val="003300D9"/>
    <w:rsid w:val="00330948"/>
    <w:rsid w:val="00335837"/>
    <w:rsid w:val="00340446"/>
    <w:rsid w:val="00340D7A"/>
    <w:rsid w:val="00341604"/>
    <w:rsid w:val="003561AD"/>
    <w:rsid w:val="00373EF5"/>
    <w:rsid w:val="0039315C"/>
    <w:rsid w:val="00397AC0"/>
    <w:rsid w:val="003A77DA"/>
    <w:rsid w:val="003B6E3F"/>
    <w:rsid w:val="003C1EE4"/>
    <w:rsid w:val="003E25F5"/>
    <w:rsid w:val="003E5AFD"/>
    <w:rsid w:val="003F0EC4"/>
    <w:rsid w:val="003F282D"/>
    <w:rsid w:val="00401419"/>
    <w:rsid w:val="00403761"/>
    <w:rsid w:val="00415E6E"/>
    <w:rsid w:val="004270F1"/>
    <w:rsid w:val="00430F38"/>
    <w:rsid w:val="00437645"/>
    <w:rsid w:val="0044097B"/>
    <w:rsid w:val="00440F46"/>
    <w:rsid w:val="0045290D"/>
    <w:rsid w:val="00452DAC"/>
    <w:rsid w:val="0046076B"/>
    <w:rsid w:val="004643C0"/>
    <w:rsid w:val="00470C34"/>
    <w:rsid w:val="00470EC3"/>
    <w:rsid w:val="00471F0A"/>
    <w:rsid w:val="004818E1"/>
    <w:rsid w:val="004837BF"/>
    <w:rsid w:val="0048771E"/>
    <w:rsid w:val="00495488"/>
    <w:rsid w:val="004A0497"/>
    <w:rsid w:val="004A1D1B"/>
    <w:rsid w:val="004A24C6"/>
    <w:rsid w:val="004A5BC7"/>
    <w:rsid w:val="004B5D90"/>
    <w:rsid w:val="004C0880"/>
    <w:rsid w:val="004C196B"/>
    <w:rsid w:val="004C1A3E"/>
    <w:rsid w:val="004C6557"/>
    <w:rsid w:val="004C715D"/>
    <w:rsid w:val="004C77F9"/>
    <w:rsid w:val="004C7B64"/>
    <w:rsid w:val="004E4AB1"/>
    <w:rsid w:val="004F22F1"/>
    <w:rsid w:val="004F52DE"/>
    <w:rsid w:val="004F75E9"/>
    <w:rsid w:val="0051234A"/>
    <w:rsid w:val="00515E71"/>
    <w:rsid w:val="00534172"/>
    <w:rsid w:val="00537A84"/>
    <w:rsid w:val="005410CC"/>
    <w:rsid w:val="0054153F"/>
    <w:rsid w:val="00541A39"/>
    <w:rsid w:val="005467A1"/>
    <w:rsid w:val="005644F1"/>
    <w:rsid w:val="00566740"/>
    <w:rsid w:val="00572074"/>
    <w:rsid w:val="005730AC"/>
    <w:rsid w:val="00573F4A"/>
    <w:rsid w:val="005830D4"/>
    <w:rsid w:val="00591263"/>
    <w:rsid w:val="0059652B"/>
    <w:rsid w:val="00597172"/>
    <w:rsid w:val="005A2C75"/>
    <w:rsid w:val="005A2F41"/>
    <w:rsid w:val="005A618C"/>
    <w:rsid w:val="005A7969"/>
    <w:rsid w:val="005B0F4A"/>
    <w:rsid w:val="005B1628"/>
    <w:rsid w:val="005B21C0"/>
    <w:rsid w:val="005B3573"/>
    <w:rsid w:val="005B446E"/>
    <w:rsid w:val="005B60BF"/>
    <w:rsid w:val="005B7138"/>
    <w:rsid w:val="005C131B"/>
    <w:rsid w:val="005D3374"/>
    <w:rsid w:val="005D4FF2"/>
    <w:rsid w:val="005E4A6D"/>
    <w:rsid w:val="005E722B"/>
    <w:rsid w:val="00610E92"/>
    <w:rsid w:val="00614139"/>
    <w:rsid w:val="00630D99"/>
    <w:rsid w:val="00631B3E"/>
    <w:rsid w:val="00632E0C"/>
    <w:rsid w:val="0064079B"/>
    <w:rsid w:val="0064656C"/>
    <w:rsid w:val="00646E24"/>
    <w:rsid w:val="006522F0"/>
    <w:rsid w:val="0065380F"/>
    <w:rsid w:val="00665C7D"/>
    <w:rsid w:val="00670915"/>
    <w:rsid w:val="006807CF"/>
    <w:rsid w:val="0068328D"/>
    <w:rsid w:val="00685344"/>
    <w:rsid w:val="006932D5"/>
    <w:rsid w:val="0069600A"/>
    <w:rsid w:val="006A22A4"/>
    <w:rsid w:val="006A7BC9"/>
    <w:rsid w:val="006B4FE9"/>
    <w:rsid w:val="006C06DB"/>
    <w:rsid w:val="006C141A"/>
    <w:rsid w:val="006C68DD"/>
    <w:rsid w:val="006DF793"/>
    <w:rsid w:val="006E308B"/>
    <w:rsid w:val="006E514F"/>
    <w:rsid w:val="006F0154"/>
    <w:rsid w:val="006F2568"/>
    <w:rsid w:val="006F4327"/>
    <w:rsid w:val="006F6B6C"/>
    <w:rsid w:val="007022B1"/>
    <w:rsid w:val="007032D0"/>
    <w:rsid w:val="0070695B"/>
    <w:rsid w:val="00707464"/>
    <w:rsid w:val="007103EA"/>
    <w:rsid w:val="007175C7"/>
    <w:rsid w:val="007178A7"/>
    <w:rsid w:val="007327FB"/>
    <w:rsid w:val="00736109"/>
    <w:rsid w:val="0074014C"/>
    <w:rsid w:val="00747A78"/>
    <w:rsid w:val="00754137"/>
    <w:rsid w:val="007563D5"/>
    <w:rsid w:val="00756495"/>
    <w:rsid w:val="00757548"/>
    <w:rsid w:val="0077354C"/>
    <w:rsid w:val="007751E4"/>
    <w:rsid w:val="00775E89"/>
    <w:rsid w:val="00785568"/>
    <w:rsid w:val="00794BD8"/>
    <w:rsid w:val="0079601A"/>
    <w:rsid w:val="00797173"/>
    <w:rsid w:val="007A6664"/>
    <w:rsid w:val="007B3255"/>
    <w:rsid w:val="007B37B6"/>
    <w:rsid w:val="007B64F7"/>
    <w:rsid w:val="007C187A"/>
    <w:rsid w:val="007C259F"/>
    <w:rsid w:val="007C5A40"/>
    <w:rsid w:val="007C7C2B"/>
    <w:rsid w:val="007D349E"/>
    <w:rsid w:val="007D5C41"/>
    <w:rsid w:val="007E73E6"/>
    <w:rsid w:val="007F7948"/>
    <w:rsid w:val="00800AE9"/>
    <w:rsid w:val="00801C2D"/>
    <w:rsid w:val="00807A64"/>
    <w:rsid w:val="0081322C"/>
    <w:rsid w:val="00814BE6"/>
    <w:rsid w:val="00820D21"/>
    <w:rsid w:val="008314C3"/>
    <w:rsid w:val="00834D35"/>
    <w:rsid w:val="008355F6"/>
    <w:rsid w:val="00836B1D"/>
    <w:rsid w:val="008400DC"/>
    <w:rsid w:val="00850E5C"/>
    <w:rsid w:val="00851D8B"/>
    <w:rsid w:val="00851F2A"/>
    <w:rsid w:val="00852C65"/>
    <w:rsid w:val="008559DF"/>
    <w:rsid w:val="00857C1E"/>
    <w:rsid w:val="0086210B"/>
    <w:rsid w:val="00862C84"/>
    <w:rsid w:val="0086E663"/>
    <w:rsid w:val="00876D30"/>
    <w:rsid w:val="008771E9"/>
    <w:rsid w:val="00882511"/>
    <w:rsid w:val="00882713"/>
    <w:rsid w:val="008878F3"/>
    <w:rsid w:val="0089410D"/>
    <w:rsid w:val="008A29DF"/>
    <w:rsid w:val="008A44C0"/>
    <w:rsid w:val="008A4CF6"/>
    <w:rsid w:val="008B222B"/>
    <w:rsid w:val="008B4360"/>
    <w:rsid w:val="008B687D"/>
    <w:rsid w:val="008C0705"/>
    <w:rsid w:val="008C1251"/>
    <w:rsid w:val="008C2989"/>
    <w:rsid w:val="008C2E03"/>
    <w:rsid w:val="008C4C27"/>
    <w:rsid w:val="008D033D"/>
    <w:rsid w:val="008D1470"/>
    <w:rsid w:val="008E388F"/>
    <w:rsid w:val="009019B5"/>
    <w:rsid w:val="00912D2C"/>
    <w:rsid w:val="00914A76"/>
    <w:rsid w:val="00931F43"/>
    <w:rsid w:val="00934E3B"/>
    <w:rsid w:val="00940428"/>
    <w:rsid w:val="009426EB"/>
    <w:rsid w:val="009520E2"/>
    <w:rsid w:val="00954264"/>
    <w:rsid w:val="0095602B"/>
    <w:rsid w:val="00956D88"/>
    <w:rsid w:val="00960153"/>
    <w:rsid w:val="00960E4F"/>
    <w:rsid w:val="00966312"/>
    <w:rsid w:val="009803A7"/>
    <w:rsid w:val="009857BC"/>
    <w:rsid w:val="009867BA"/>
    <w:rsid w:val="00993780"/>
    <w:rsid w:val="009A305D"/>
    <w:rsid w:val="009C5A64"/>
    <w:rsid w:val="009D0782"/>
    <w:rsid w:val="009D3A48"/>
    <w:rsid w:val="009D77BF"/>
    <w:rsid w:val="009E2030"/>
    <w:rsid w:val="009EF6A5"/>
    <w:rsid w:val="009F1B17"/>
    <w:rsid w:val="009F33AC"/>
    <w:rsid w:val="009F3D72"/>
    <w:rsid w:val="009F582F"/>
    <w:rsid w:val="00A0124A"/>
    <w:rsid w:val="00A0189A"/>
    <w:rsid w:val="00A0240C"/>
    <w:rsid w:val="00A08DC5"/>
    <w:rsid w:val="00A13A12"/>
    <w:rsid w:val="00A30EBF"/>
    <w:rsid w:val="00A33487"/>
    <w:rsid w:val="00A377E4"/>
    <w:rsid w:val="00A43302"/>
    <w:rsid w:val="00A44138"/>
    <w:rsid w:val="00A44769"/>
    <w:rsid w:val="00A44943"/>
    <w:rsid w:val="00A44BA4"/>
    <w:rsid w:val="00A46419"/>
    <w:rsid w:val="00A468E0"/>
    <w:rsid w:val="00A55FFC"/>
    <w:rsid w:val="00A575C3"/>
    <w:rsid w:val="00A64ECE"/>
    <w:rsid w:val="00A65650"/>
    <w:rsid w:val="00A65F01"/>
    <w:rsid w:val="00A67074"/>
    <w:rsid w:val="00A90D52"/>
    <w:rsid w:val="00A91EA6"/>
    <w:rsid w:val="00A93644"/>
    <w:rsid w:val="00A9419F"/>
    <w:rsid w:val="00A94F78"/>
    <w:rsid w:val="00AA719C"/>
    <w:rsid w:val="00AA7203"/>
    <w:rsid w:val="00AB31A2"/>
    <w:rsid w:val="00AB37A8"/>
    <w:rsid w:val="00AB5023"/>
    <w:rsid w:val="00AC4760"/>
    <w:rsid w:val="00AD72B9"/>
    <w:rsid w:val="00AE1917"/>
    <w:rsid w:val="00AE45DE"/>
    <w:rsid w:val="00AE62AB"/>
    <w:rsid w:val="00AE6C75"/>
    <w:rsid w:val="00AE7BDB"/>
    <w:rsid w:val="00AF077B"/>
    <w:rsid w:val="00AF31E6"/>
    <w:rsid w:val="00AF585A"/>
    <w:rsid w:val="00B024C7"/>
    <w:rsid w:val="00B03272"/>
    <w:rsid w:val="00B04586"/>
    <w:rsid w:val="00B04DC0"/>
    <w:rsid w:val="00B06101"/>
    <w:rsid w:val="00B10AC2"/>
    <w:rsid w:val="00B11440"/>
    <w:rsid w:val="00B1195A"/>
    <w:rsid w:val="00B158C6"/>
    <w:rsid w:val="00B245A4"/>
    <w:rsid w:val="00B319AE"/>
    <w:rsid w:val="00B3280A"/>
    <w:rsid w:val="00B41377"/>
    <w:rsid w:val="00B422E6"/>
    <w:rsid w:val="00B43D46"/>
    <w:rsid w:val="00B44FAE"/>
    <w:rsid w:val="00B451D9"/>
    <w:rsid w:val="00B52BE2"/>
    <w:rsid w:val="00B545D2"/>
    <w:rsid w:val="00B54925"/>
    <w:rsid w:val="00B726B0"/>
    <w:rsid w:val="00B746B6"/>
    <w:rsid w:val="00B7796B"/>
    <w:rsid w:val="00B83512"/>
    <w:rsid w:val="00B97460"/>
    <w:rsid w:val="00B9760A"/>
    <w:rsid w:val="00BA160D"/>
    <w:rsid w:val="00BA477C"/>
    <w:rsid w:val="00BB0744"/>
    <w:rsid w:val="00BB1851"/>
    <w:rsid w:val="00BC62AB"/>
    <w:rsid w:val="00BC6F8B"/>
    <w:rsid w:val="00BD2F75"/>
    <w:rsid w:val="00BD3FE7"/>
    <w:rsid w:val="00BD642D"/>
    <w:rsid w:val="00BE33CA"/>
    <w:rsid w:val="00BE3927"/>
    <w:rsid w:val="00BE576F"/>
    <w:rsid w:val="00BE6DF5"/>
    <w:rsid w:val="00BE71BB"/>
    <w:rsid w:val="00BF325C"/>
    <w:rsid w:val="00BF3B46"/>
    <w:rsid w:val="00C014BD"/>
    <w:rsid w:val="00C24DBA"/>
    <w:rsid w:val="00C27168"/>
    <w:rsid w:val="00C35E40"/>
    <w:rsid w:val="00C3684C"/>
    <w:rsid w:val="00C3AFAD"/>
    <w:rsid w:val="00C40DF3"/>
    <w:rsid w:val="00C42436"/>
    <w:rsid w:val="00C429DA"/>
    <w:rsid w:val="00C47B7E"/>
    <w:rsid w:val="00C52D1A"/>
    <w:rsid w:val="00C538FD"/>
    <w:rsid w:val="00C54CD9"/>
    <w:rsid w:val="00C64D0F"/>
    <w:rsid w:val="00C66351"/>
    <w:rsid w:val="00C86A07"/>
    <w:rsid w:val="00C952FF"/>
    <w:rsid w:val="00C95D9E"/>
    <w:rsid w:val="00CB11AD"/>
    <w:rsid w:val="00CB2A5A"/>
    <w:rsid w:val="00CB5140"/>
    <w:rsid w:val="00CB5195"/>
    <w:rsid w:val="00CB5A85"/>
    <w:rsid w:val="00CB7546"/>
    <w:rsid w:val="00CC10CC"/>
    <w:rsid w:val="00CC3ADD"/>
    <w:rsid w:val="00CC7545"/>
    <w:rsid w:val="00CC7832"/>
    <w:rsid w:val="00CD0698"/>
    <w:rsid w:val="00CD20DA"/>
    <w:rsid w:val="00CE01FC"/>
    <w:rsid w:val="00CF00EF"/>
    <w:rsid w:val="00CF06FD"/>
    <w:rsid w:val="00CF737A"/>
    <w:rsid w:val="00D00D23"/>
    <w:rsid w:val="00D05718"/>
    <w:rsid w:val="00D05B36"/>
    <w:rsid w:val="00D079BF"/>
    <w:rsid w:val="00D12294"/>
    <w:rsid w:val="00D1450E"/>
    <w:rsid w:val="00D209F7"/>
    <w:rsid w:val="00D25106"/>
    <w:rsid w:val="00D3029E"/>
    <w:rsid w:val="00D32963"/>
    <w:rsid w:val="00D32FAE"/>
    <w:rsid w:val="00D418CB"/>
    <w:rsid w:val="00D41CBB"/>
    <w:rsid w:val="00D41EC2"/>
    <w:rsid w:val="00D55690"/>
    <w:rsid w:val="00D56EBC"/>
    <w:rsid w:val="00D62DBC"/>
    <w:rsid w:val="00D65E4F"/>
    <w:rsid w:val="00D66D26"/>
    <w:rsid w:val="00D81621"/>
    <w:rsid w:val="00D84B4C"/>
    <w:rsid w:val="00D850D3"/>
    <w:rsid w:val="00D85677"/>
    <w:rsid w:val="00D95162"/>
    <w:rsid w:val="00D963AE"/>
    <w:rsid w:val="00DB1766"/>
    <w:rsid w:val="00DB3DDB"/>
    <w:rsid w:val="00DB4E16"/>
    <w:rsid w:val="00DB53A0"/>
    <w:rsid w:val="00DC1A20"/>
    <w:rsid w:val="00DC3D68"/>
    <w:rsid w:val="00DD0CB8"/>
    <w:rsid w:val="00DD46C1"/>
    <w:rsid w:val="00DD60D3"/>
    <w:rsid w:val="00DE4F2C"/>
    <w:rsid w:val="00DE5B0A"/>
    <w:rsid w:val="00DE6079"/>
    <w:rsid w:val="00DE6A40"/>
    <w:rsid w:val="00DF2B43"/>
    <w:rsid w:val="00DF6A4E"/>
    <w:rsid w:val="00E15B92"/>
    <w:rsid w:val="00E16197"/>
    <w:rsid w:val="00E2424B"/>
    <w:rsid w:val="00E32559"/>
    <w:rsid w:val="00E32CA8"/>
    <w:rsid w:val="00E34669"/>
    <w:rsid w:val="00E34931"/>
    <w:rsid w:val="00E41F86"/>
    <w:rsid w:val="00E47614"/>
    <w:rsid w:val="00E544E7"/>
    <w:rsid w:val="00E5627D"/>
    <w:rsid w:val="00E57062"/>
    <w:rsid w:val="00E6675C"/>
    <w:rsid w:val="00E66AE9"/>
    <w:rsid w:val="00E7480B"/>
    <w:rsid w:val="00E81016"/>
    <w:rsid w:val="00E90F59"/>
    <w:rsid w:val="00E9400D"/>
    <w:rsid w:val="00EA6128"/>
    <w:rsid w:val="00EA617C"/>
    <w:rsid w:val="00EA7156"/>
    <w:rsid w:val="00EB058D"/>
    <w:rsid w:val="00EB21CE"/>
    <w:rsid w:val="00EBB32D"/>
    <w:rsid w:val="00ED36B8"/>
    <w:rsid w:val="00ED6C0C"/>
    <w:rsid w:val="00EE06F7"/>
    <w:rsid w:val="00EE499C"/>
    <w:rsid w:val="00EE61D7"/>
    <w:rsid w:val="00EF3757"/>
    <w:rsid w:val="00EF4270"/>
    <w:rsid w:val="00F108FC"/>
    <w:rsid w:val="00F15637"/>
    <w:rsid w:val="00F17679"/>
    <w:rsid w:val="00F1DAD2"/>
    <w:rsid w:val="00F20D8B"/>
    <w:rsid w:val="00F2290C"/>
    <w:rsid w:val="00F2411E"/>
    <w:rsid w:val="00F26B70"/>
    <w:rsid w:val="00F478AA"/>
    <w:rsid w:val="00F61A8C"/>
    <w:rsid w:val="00F62176"/>
    <w:rsid w:val="00F701D0"/>
    <w:rsid w:val="00F740FE"/>
    <w:rsid w:val="00F761A4"/>
    <w:rsid w:val="00F84E7C"/>
    <w:rsid w:val="00F86B44"/>
    <w:rsid w:val="00F87674"/>
    <w:rsid w:val="00F8DAAD"/>
    <w:rsid w:val="00F8E520"/>
    <w:rsid w:val="00F91E1F"/>
    <w:rsid w:val="00F921EC"/>
    <w:rsid w:val="00F96531"/>
    <w:rsid w:val="00F97727"/>
    <w:rsid w:val="00F97D3E"/>
    <w:rsid w:val="00F9856C"/>
    <w:rsid w:val="00FA12E6"/>
    <w:rsid w:val="00FA55AE"/>
    <w:rsid w:val="00FB3796"/>
    <w:rsid w:val="00FC0961"/>
    <w:rsid w:val="00FC0B9E"/>
    <w:rsid w:val="00FC5B3C"/>
    <w:rsid w:val="00FC6F66"/>
    <w:rsid w:val="00FE69A8"/>
    <w:rsid w:val="00FE7B5A"/>
    <w:rsid w:val="00FF08E2"/>
    <w:rsid w:val="0103A750"/>
    <w:rsid w:val="01145849"/>
    <w:rsid w:val="0118AED3"/>
    <w:rsid w:val="011CF66E"/>
    <w:rsid w:val="011D20B3"/>
    <w:rsid w:val="0133AE43"/>
    <w:rsid w:val="01371F6E"/>
    <w:rsid w:val="013954D6"/>
    <w:rsid w:val="013AF8ED"/>
    <w:rsid w:val="013C11DA"/>
    <w:rsid w:val="0141F595"/>
    <w:rsid w:val="01431535"/>
    <w:rsid w:val="01481FD1"/>
    <w:rsid w:val="0148270D"/>
    <w:rsid w:val="01528198"/>
    <w:rsid w:val="0154CEEE"/>
    <w:rsid w:val="0156D90D"/>
    <w:rsid w:val="015A5998"/>
    <w:rsid w:val="015E7349"/>
    <w:rsid w:val="015EA652"/>
    <w:rsid w:val="01641B14"/>
    <w:rsid w:val="0168D221"/>
    <w:rsid w:val="016AD98C"/>
    <w:rsid w:val="017BD43E"/>
    <w:rsid w:val="017E71F3"/>
    <w:rsid w:val="0184CF30"/>
    <w:rsid w:val="0186944E"/>
    <w:rsid w:val="01876347"/>
    <w:rsid w:val="018D11D0"/>
    <w:rsid w:val="019EA037"/>
    <w:rsid w:val="01A71A85"/>
    <w:rsid w:val="01AAAC43"/>
    <w:rsid w:val="01B1CF79"/>
    <w:rsid w:val="01BD79C3"/>
    <w:rsid w:val="01BF89E1"/>
    <w:rsid w:val="01BFED0D"/>
    <w:rsid w:val="01C0B70A"/>
    <w:rsid w:val="01C8145E"/>
    <w:rsid w:val="01C915A5"/>
    <w:rsid w:val="01D3FDEC"/>
    <w:rsid w:val="01D7A3E9"/>
    <w:rsid w:val="01D9EA6D"/>
    <w:rsid w:val="01EA7874"/>
    <w:rsid w:val="01FC5E6B"/>
    <w:rsid w:val="0202B8F7"/>
    <w:rsid w:val="020FD71F"/>
    <w:rsid w:val="02238CDE"/>
    <w:rsid w:val="022BF036"/>
    <w:rsid w:val="023455D8"/>
    <w:rsid w:val="023BA932"/>
    <w:rsid w:val="023BEFF5"/>
    <w:rsid w:val="024518AF"/>
    <w:rsid w:val="02543A2F"/>
    <w:rsid w:val="0254A101"/>
    <w:rsid w:val="025DB469"/>
    <w:rsid w:val="0267203C"/>
    <w:rsid w:val="0271260C"/>
    <w:rsid w:val="0274FEE0"/>
    <w:rsid w:val="02762BCA"/>
    <w:rsid w:val="0276A094"/>
    <w:rsid w:val="027886FD"/>
    <w:rsid w:val="027B8F92"/>
    <w:rsid w:val="0283DC60"/>
    <w:rsid w:val="028C9997"/>
    <w:rsid w:val="0291DA04"/>
    <w:rsid w:val="029374FB"/>
    <w:rsid w:val="02971564"/>
    <w:rsid w:val="029D801E"/>
    <w:rsid w:val="02A69931"/>
    <w:rsid w:val="02AD17B5"/>
    <w:rsid w:val="02C3EDF4"/>
    <w:rsid w:val="02C7408F"/>
    <w:rsid w:val="02CA91EF"/>
    <w:rsid w:val="02D9F2AF"/>
    <w:rsid w:val="02DB7419"/>
    <w:rsid w:val="02FAA2F9"/>
    <w:rsid w:val="02FF0308"/>
    <w:rsid w:val="03014C6D"/>
    <w:rsid w:val="0308CF7E"/>
    <w:rsid w:val="030D445D"/>
    <w:rsid w:val="03253D69"/>
    <w:rsid w:val="0327EDC0"/>
    <w:rsid w:val="033491C5"/>
    <w:rsid w:val="0335567D"/>
    <w:rsid w:val="0340F70E"/>
    <w:rsid w:val="0344EBA0"/>
    <w:rsid w:val="035797C6"/>
    <w:rsid w:val="0359D3E9"/>
    <w:rsid w:val="035C12AB"/>
    <w:rsid w:val="03743C99"/>
    <w:rsid w:val="0379CEE8"/>
    <w:rsid w:val="037DFECC"/>
    <w:rsid w:val="0384FD3F"/>
    <w:rsid w:val="0388199B"/>
    <w:rsid w:val="038FED5C"/>
    <w:rsid w:val="039BAC06"/>
    <w:rsid w:val="03A366EF"/>
    <w:rsid w:val="03A91A1C"/>
    <w:rsid w:val="03AEF0E2"/>
    <w:rsid w:val="03AF339C"/>
    <w:rsid w:val="03B4DE01"/>
    <w:rsid w:val="03C12C7A"/>
    <w:rsid w:val="03CA8F92"/>
    <w:rsid w:val="03DD1B99"/>
    <w:rsid w:val="03DF4080"/>
    <w:rsid w:val="03E0E6EE"/>
    <w:rsid w:val="03E1B60B"/>
    <w:rsid w:val="03E3950A"/>
    <w:rsid w:val="03EB8273"/>
    <w:rsid w:val="03F7AA3E"/>
    <w:rsid w:val="03FC6B28"/>
    <w:rsid w:val="03FD27C5"/>
    <w:rsid w:val="040C8FEB"/>
    <w:rsid w:val="04113192"/>
    <w:rsid w:val="0411DD7D"/>
    <w:rsid w:val="041C0A6F"/>
    <w:rsid w:val="042FE6BB"/>
    <w:rsid w:val="0439FEE2"/>
    <w:rsid w:val="04599604"/>
    <w:rsid w:val="045CB6F5"/>
    <w:rsid w:val="045D2ABE"/>
    <w:rsid w:val="045FFE58"/>
    <w:rsid w:val="04632902"/>
    <w:rsid w:val="04845F3E"/>
    <w:rsid w:val="04896075"/>
    <w:rsid w:val="048EE0FE"/>
    <w:rsid w:val="04938A24"/>
    <w:rsid w:val="0497B7E9"/>
    <w:rsid w:val="04A8FAE0"/>
    <w:rsid w:val="04AD174C"/>
    <w:rsid w:val="04B8FA75"/>
    <w:rsid w:val="04BCA6CA"/>
    <w:rsid w:val="04BEF95E"/>
    <w:rsid w:val="04C7C3AA"/>
    <w:rsid w:val="04D3E5C9"/>
    <w:rsid w:val="04D68756"/>
    <w:rsid w:val="04E18539"/>
    <w:rsid w:val="04E30468"/>
    <w:rsid w:val="04E57407"/>
    <w:rsid w:val="04E8BFEF"/>
    <w:rsid w:val="04F2C89D"/>
    <w:rsid w:val="050A3E56"/>
    <w:rsid w:val="052DF99C"/>
    <w:rsid w:val="053011E3"/>
    <w:rsid w:val="05331562"/>
    <w:rsid w:val="05340D2C"/>
    <w:rsid w:val="05340FB8"/>
    <w:rsid w:val="0539B40C"/>
    <w:rsid w:val="054198C1"/>
    <w:rsid w:val="054C7AA0"/>
    <w:rsid w:val="0553D432"/>
    <w:rsid w:val="055B0BF8"/>
    <w:rsid w:val="055E8D75"/>
    <w:rsid w:val="055FF590"/>
    <w:rsid w:val="05738986"/>
    <w:rsid w:val="05793211"/>
    <w:rsid w:val="05794870"/>
    <w:rsid w:val="0580DA48"/>
    <w:rsid w:val="05867562"/>
    <w:rsid w:val="058B03BE"/>
    <w:rsid w:val="0597EF58"/>
    <w:rsid w:val="05A1EB21"/>
    <w:rsid w:val="05A23682"/>
    <w:rsid w:val="05A5D1EF"/>
    <w:rsid w:val="05B40FA7"/>
    <w:rsid w:val="05D3D990"/>
    <w:rsid w:val="05E0E013"/>
    <w:rsid w:val="05EDFC27"/>
    <w:rsid w:val="05F83E5F"/>
    <w:rsid w:val="060755A3"/>
    <w:rsid w:val="061860C1"/>
    <w:rsid w:val="061C7AF4"/>
    <w:rsid w:val="0623C20D"/>
    <w:rsid w:val="062B56FE"/>
    <w:rsid w:val="062BAEDE"/>
    <w:rsid w:val="063CC1B1"/>
    <w:rsid w:val="063E9DD3"/>
    <w:rsid w:val="064DF472"/>
    <w:rsid w:val="065EE00B"/>
    <w:rsid w:val="06671E1F"/>
    <w:rsid w:val="0669C5F2"/>
    <w:rsid w:val="067E084C"/>
    <w:rsid w:val="067F3D17"/>
    <w:rsid w:val="068D75C8"/>
    <w:rsid w:val="0692228C"/>
    <w:rsid w:val="06931461"/>
    <w:rsid w:val="0694F2AE"/>
    <w:rsid w:val="0698981D"/>
    <w:rsid w:val="06A77C70"/>
    <w:rsid w:val="06A857F2"/>
    <w:rsid w:val="06A982EC"/>
    <w:rsid w:val="06ABB246"/>
    <w:rsid w:val="06B2AF87"/>
    <w:rsid w:val="06B62A67"/>
    <w:rsid w:val="06B6AB28"/>
    <w:rsid w:val="06BA3B0D"/>
    <w:rsid w:val="06BB073B"/>
    <w:rsid w:val="06D7DDC5"/>
    <w:rsid w:val="06E29E03"/>
    <w:rsid w:val="06E7F124"/>
    <w:rsid w:val="06F4D984"/>
    <w:rsid w:val="06FA14D0"/>
    <w:rsid w:val="06FA4B7C"/>
    <w:rsid w:val="06FDBF44"/>
    <w:rsid w:val="0701829A"/>
    <w:rsid w:val="0708E875"/>
    <w:rsid w:val="070FF5C5"/>
    <w:rsid w:val="0715DDF6"/>
    <w:rsid w:val="071AB83A"/>
    <w:rsid w:val="071F511B"/>
    <w:rsid w:val="07297585"/>
    <w:rsid w:val="073350B1"/>
    <w:rsid w:val="0734EDFA"/>
    <w:rsid w:val="073821A0"/>
    <w:rsid w:val="073D3243"/>
    <w:rsid w:val="073E6886"/>
    <w:rsid w:val="0744D1AD"/>
    <w:rsid w:val="0747F767"/>
    <w:rsid w:val="07498B84"/>
    <w:rsid w:val="074C3B16"/>
    <w:rsid w:val="0750AC7E"/>
    <w:rsid w:val="0755F7EA"/>
    <w:rsid w:val="0763CAF0"/>
    <w:rsid w:val="076D6DAA"/>
    <w:rsid w:val="07893726"/>
    <w:rsid w:val="07897822"/>
    <w:rsid w:val="079039B7"/>
    <w:rsid w:val="079F0330"/>
    <w:rsid w:val="07A10F67"/>
    <w:rsid w:val="07A1C688"/>
    <w:rsid w:val="07A808B7"/>
    <w:rsid w:val="07ABAE6A"/>
    <w:rsid w:val="07ABB872"/>
    <w:rsid w:val="07AFDCF2"/>
    <w:rsid w:val="07B37B34"/>
    <w:rsid w:val="07B3A717"/>
    <w:rsid w:val="07B40F28"/>
    <w:rsid w:val="07C1180B"/>
    <w:rsid w:val="07D2DB9D"/>
    <w:rsid w:val="07D8DDF7"/>
    <w:rsid w:val="07DBE460"/>
    <w:rsid w:val="07DE68BC"/>
    <w:rsid w:val="08102104"/>
    <w:rsid w:val="0819D31F"/>
    <w:rsid w:val="082416DE"/>
    <w:rsid w:val="083532B4"/>
    <w:rsid w:val="083695FB"/>
    <w:rsid w:val="083DF63E"/>
    <w:rsid w:val="083FBC29"/>
    <w:rsid w:val="084AFA80"/>
    <w:rsid w:val="084D81E7"/>
    <w:rsid w:val="084DCA0B"/>
    <w:rsid w:val="084FBC2E"/>
    <w:rsid w:val="085E4621"/>
    <w:rsid w:val="08636DD0"/>
    <w:rsid w:val="08709689"/>
    <w:rsid w:val="0876C677"/>
    <w:rsid w:val="08823894"/>
    <w:rsid w:val="0899B9FC"/>
    <w:rsid w:val="08A5E4C9"/>
    <w:rsid w:val="08A79A7F"/>
    <w:rsid w:val="08B0E217"/>
    <w:rsid w:val="08B5C503"/>
    <w:rsid w:val="08B706CD"/>
    <w:rsid w:val="08C94146"/>
    <w:rsid w:val="08CEF835"/>
    <w:rsid w:val="08D3FC17"/>
    <w:rsid w:val="08D8C880"/>
    <w:rsid w:val="08E25393"/>
    <w:rsid w:val="08E83A64"/>
    <w:rsid w:val="08F153FC"/>
    <w:rsid w:val="08FEA402"/>
    <w:rsid w:val="0901865B"/>
    <w:rsid w:val="0904E2AA"/>
    <w:rsid w:val="090AC1AC"/>
    <w:rsid w:val="092D095B"/>
    <w:rsid w:val="09354236"/>
    <w:rsid w:val="0936781A"/>
    <w:rsid w:val="093B8E94"/>
    <w:rsid w:val="0949C834"/>
    <w:rsid w:val="094B19AF"/>
    <w:rsid w:val="094DC3AB"/>
    <w:rsid w:val="0950E161"/>
    <w:rsid w:val="09522F39"/>
    <w:rsid w:val="095E9B34"/>
    <w:rsid w:val="0966FA35"/>
    <w:rsid w:val="09857B19"/>
    <w:rsid w:val="098B0FF7"/>
    <w:rsid w:val="099AA7DB"/>
    <w:rsid w:val="099FD5BC"/>
    <w:rsid w:val="09A087B5"/>
    <w:rsid w:val="09AFE2A0"/>
    <w:rsid w:val="09B88FB3"/>
    <w:rsid w:val="09BA2B79"/>
    <w:rsid w:val="09C0CA2F"/>
    <w:rsid w:val="09C40E22"/>
    <w:rsid w:val="09CECA57"/>
    <w:rsid w:val="09D04889"/>
    <w:rsid w:val="09D89D3C"/>
    <w:rsid w:val="09DFD9B7"/>
    <w:rsid w:val="09E3A8F9"/>
    <w:rsid w:val="09F18EE6"/>
    <w:rsid w:val="09FB1867"/>
    <w:rsid w:val="09FF3345"/>
    <w:rsid w:val="0A04F0DA"/>
    <w:rsid w:val="0A0804D9"/>
    <w:rsid w:val="0A1367E9"/>
    <w:rsid w:val="0A2BEF30"/>
    <w:rsid w:val="0A2CE18F"/>
    <w:rsid w:val="0A2DD2A0"/>
    <w:rsid w:val="0A30C430"/>
    <w:rsid w:val="0A39B866"/>
    <w:rsid w:val="0A3D4336"/>
    <w:rsid w:val="0A502782"/>
    <w:rsid w:val="0A514DF5"/>
    <w:rsid w:val="0A53B6AA"/>
    <w:rsid w:val="0A58F046"/>
    <w:rsid w:val="0A59D5B0"/>
    <w:rsid w:val="0A66FB0C"/>
    <w:rsid w:val="0A68379E"/>
    <w:rsid w:val="0A7508AF"/>
    <w:rsid w:val="0A8A1F97"/>
    <w:rsid w:val="0A8AB94B"/>
    <w:rsid w:val="0A94A9FC"/>
    <w:rsid w:val="0A95CF5D"/>
    <w:rsid w:val="0AA8ABF9"/>
    <w:rsid w:val="0AC1949E"/>
    <w:rsid w:val="0AC25B4F"/>
    <w:rsid w:val="0AC43C97"/>
    <w:rsid w:val="0AC862FB"/>
    <w:rsid w:val="0AD3E33D"/>
    <w:rsid w:val="0AEC7E63"/>
    <w:rsid w:val="0AF1E05D"/>
    <w:rsid w:val="0AFA7CA1"/>
    <w:rsid w:val="0B111A42"/>
    <w:rsid w:val="0B1380A0"/>
    <w:rsid w:val="0B22CB0D"/>
    <w:rsid w:val="0B2A4D1C"/>
    <w:rsid w:val="0B2D0D34"/>
    <w:rsid w:val="0B2E8752"/>
    <w:rsid w:val="0B31C889"/>
    <w:rsid w:val="0B348BF6"/>
    <w:rsid w:val="0B4503A9"/>
    <w:rsid w:val="0B514814"/>
    <w:rsid w:val="0B575A64"/>
    <w:rsid w:val="0B63F20C"/>
    <w:rsid w:val="0B658032"/>
    <w:rsid w:val="0B733C3E"/>
    <w:rsid w:val="0B76E8FD"/>
    <w:rsid w:val="0B7EB476"/>
    <w:rsid w:val="0B84C9CA"/>
    <w:rsid w:val="0B850676"/>
    <w:rsid w:val="0B8A53F5"/>
    <w:rsid w:val="0B8A5D1C"/>
    <w:rsid w:val="0B952A9E"/>
    <w:rsid w:val="0B955BCB"/>
    <w:rsid w:val="0B9BABC4"/>
    <w:rsid w:val="0B9CD067"/>
    <w:rsid w:val="0B9DD1CF"/>
    <w:rsid w:val="0BA5AE3F"/>
    <w:rsid w:val="0BAD1A6D"/>
    <w:rsid w:val="0BC697E0"/>
    <w:rsid w:val="0BC70D1F"/>
    <w:rsid w:val="0BC7FF2C"/>
    <w:rsid w:val="0BDB1148"/>
    <w:rsid w:val="0BF1003A"/>
    <w:rsid w:val="0BF258B2"/>
    <w:rsid w:val="0BF3C9A4"/>
    <w:rsid w:val="0C077380"/>
    <w:rsid w:val="0C0B6CDE"/>
    <w:rsid w:val="0C25F59A"/>
    <w:rsid w:val="0C2A6781"/>
    <w:rsid w:val="0C2BDB7C"/>
    <w:rsid w:val="0C3CBE43"/>
    <w:rsid w:val="0C4C71EF"/>
    <w:rsid w:val="0C4D49CD"/>
    <w:rsid w:val="0C4FA430"/>
    <w:rsid w:val="0C5655E9"/>
    <w:rsid w:val="0C5AF049"/>
    <w:rsid w:val="0C5E3466"/>
    <w:rsid w:val="0C5EA763"/>
    <w:rsid w:val="0C640650"/>
    <w:rsid w:val="0C66564B"/>
    <w:rsid w:val="0C67EAF2"/>
    <w:rsid w:val="0C6DA185"/>
    <w:rsid w:val="0C790B72"/>
    <w:rsid w:val="0C79AF4E"/>
    <w:rsid w:val="0C876FA5"/>
    <w:rsid w:val="0C90880E"/>
    <w:rsid w:val="0C928335"/>
    <w:rsid w:val="0C977B9B"/>
    <w:rsid w:val="0C97FD1F"/>
    <w:rsid w:val="0C9E890C"/>
    <w:rsid w:val="0CADA76F"/>
    <w:rsid w:val="0CC4C5D5"/>
    <w:rsid w:val="0CCBD2D4"/>
    <w:rsid w:val="0CCD1C70"/>
    <w:rsid w:val="0CCD7267"/>
    <w:rsid w:val="0CD04E67"/>
    <w:rsid w:val="0CD4A5FD"/>
    <w:rsid w:val="0CDBED91"/>
    <w:rsid w:val="0CE02A1E"/>
    <w:rsid w:val="0CE29209"/>
    <w:rsid w:val="0CF096F4"/>
    <w:rsid w:val="0CF2A0AC"/>
    <w:rsid w:val="0D0021FE"/>
    <w:rsid w:val="0D04D573"/>
    <w:rsid w:val="0D077172"/>
    <w:rsid w:val="0D161AED"/>
    <w:rsid w:val="0D17C4A3"/>
    <w:rsid w:val="0D195E76"/>
    <w:rsid w:val="0D289891"/>
    <w:rsid w:val="0D2E0C0E"/>
    <w:rsid w:val="0D2FEC81"/>
    <w:rsid w:val="0D314F18"/>
    <w:rsid w:val="0D3D62CA"/>
    <w:rsid w:val="0D412D91"/>
    <w:rsid w:val="0D58FA6D"/>
    <w:rsid w:val="0D5E63BF"/>
    <w:rsid w:val="0D645856"/>
    <w:rsid w:val="0D73C357"/>
    <w:rsid w:val="0D74A2F2"/>
    <w:rsid w:val="0D7FCE27"/>
    <w:rsid w:val="0D856CF2"/>
    <w:rsid w:val="0D87A7E5"/>
    <w:rsid w:val="0D965DB1"/>
    <w:rsid w:val="0D99699E"/>
    <w:rsid w:val="0DA35E17"/>
    <w:rsid w:val="0DAB16CA"/>
    <w:rsid w:val="0DB81371"/>
    <w:rsid w:val="0DBF1A0A"/>
    <w:rsid w:val="0DCB5EDA"/>
    <w:rsid w:val="0DCC25D7"/>
    <w:rsid w:val="0DD5F1DC"/>
    <w:rsid w:val="0DDD827A"/>
    <w:rsid w:val="0DDEA4F0"/>
    <w:rsid w:val="0DE0503E"/>
    <w:rsid w:val="0DE1594D"/>
    <w:rsid w:val="0DE96AF4"/>
    <w:rsid w:val="0DF1AF5A"/>
    <w:rsid w:val="0DF6A6A6"/>
    <w:rsid w:val="0E0B3E8B"/>
    <w:rsid w:val="0E0ED47A"/>
    <w:rsid w:val="0E1BA658"/>
    <w:rsid w:val="0E1D5006"/>
    <w:rsid w:val="0E226521"/>
    <w:rsid w:val="0E2364C4"/>
    <w:rsid w:val="0E2715FE"/>
    <w:rsid w:val="0E2E1BE3"/>
    <w:rsid w:val="0E2F3F6B"/>
    <w:rsid w:val="0E48D994"/>
    <w:rsid w:val="0E68B6AE"/>
    <w:rsid w:val="0E797DEF"/>
    <w:rsid w:val="0E80DE02"/>
    <w:rsid w:val="0E89C32F"/>
    <w:rsid w:val="0E8B24E6"/>
    <w:rsid w:val="0E932E6E"/>
    <w:rsid w:val="0E992641"/>
    <w:rsid w:val="0E9FFB69"/>
    <w:rsid w:val="0EA09F28"/>
    <w:rsid w:val="0EAB0C63"/>
    <w:rsid w:val="0EB14F01"/>
    <w:rsid w:val="0EB56FE1"/>
    <w:rsid w:val="0EBA6535"/>
    <w:rsid w:val="0ECC2D88"/>
    <w:rsid w:val="0EDD2AA4"/>
    <w:rsid w:val="0EE8302B"/>
    <w:rsid w:val="0EEFDF74"/>
    <w:rsid w:val="0EF24C61"/>
    <w:rsid w:val="0EF2DECE"/>
    <w:rsid w:val="0EF7C1D0"/>
    <w:rsid w:val="0F08D8A4"/>
    <w:rsid w:val="0F0D3DD4"/>
    <w:rsid w:val="0F0E7AF3"/>
    <w:rsid w:val="0F17BE7C"/>
    <w:rsid w:val="0F1AF6A7"/>
    <w:rsid w:val="0F313B96"/>
    <w:rsid w:val="0F33AFF5"/>
    <w:rsid w:val="0F37E8BE"/>
    <w:rsid w:val="0F3830A6"/>
    <w:rsid w:val="0F3CCE77"/>
    <w:rsid w:val="0F409B4A"/>
    <w:rsid w:val="0F41811B"/>
    <w:rsid w:val="0F4C4FD7"/>
    <w:rsid w:val="0F52B818"/>
    <w:rsid w:val="0F5E5E18"/>
    <w:rsid w:val="0F649084"/>
    <w:rsid w:val="0F6A9A2C"/>
    <w:rsid w:val="0F6FB05A"/>
    <w:rsid w:val="0F6FE0C9"/>
    <w:rsid w:val="0F703B39"/>
    <w:rsid w:val="0F739769"/>
    <w:rsid w:val="0F76BDB4"/>
    <w:rsid w:val="0F7C969E"/>
    <w:rsid w:val="0F933530"/>
    <w:rsid w:val="0F9BD708"/>
    <w:rsid w:val="0F9F51EE"/>
    <w:rsid w:val="0FBB49EE"/>
    <w:rsid w:val="0FC37110"/>
    <w:rsid w:val="0FCA2C18"/>
    <w:rsid w:val="0FCB7248"/>
    <w:rsid w:val="0FD2B206"/>
    <w:rsid w:val="0FE9C29A"/>
    <w:rsid w:val="0FF3C458"/>
    <w:rsid w:val="0FFA91E4"/>
    <w:rsid w:val="100ACCF8"/>
    <w:rsid w:val="100B8E17"/>
    <w:rsid w:val="1012A58C"/>
    <w:rsid w:val="1012AD8F"/>
    <w:rsid w:val="1025EB17"/>
    <w:rsid w:val="10280A8D"/>
    <w:rsid w:val="1044AF37"/>
    <w:rsid w:val="104938A9"/>
    <w:rsid w:val="1052A99E"/>
    <w:rsid w:val="105475FE"/>
    <w:rsid w:val="105C93C2"/>
    <w:rsid w:val="106AECBD"/>
    <w:rsid w:val="10781152"/>
    <w:rsid w:val="10782F44"/>
    <w:rsid w:val="10795B37"/>
    <w:rsid w:val="10832296"/>
    <w:rsid w:val="108F9031"/>
    <w:rsid w:val="10939CB9"/>
    <w:rsid w:val="10978E43"/>
    <w:rsid w:val="10A067C8"/>
    <w:rsid w:val="10A12770"/>
    <w:rsid w:val="10BF3D91"/>
    <w:rsid w:val="10C6A6D6"/>
    <w:rsid w:val="10D36CF9"/>
    <w:rsid w:val="10D55DC6"/>
    <w:rsid w:val="10DA13B7"/>
    <w:rsid w:val="10DDD922"/>
    <w:rsid w:val="10DE8018"/>
    <w:rsid w:val="10E14F0B"/>
    <w:rsid w:val="10ED90BE"/>
    <w:rsid w:val="10F18830"/>
    <w:rsid w:val="10F88A5B"/>
    <w:rsid w:val="10FB5C49"/>
    <w:rsid w:val="10FD03A2"/>
    <w:rsid w:val="10FFA25F"/>
    <w:rsid w:val="110C0751"/>
    <w:rsid w:val="110C8037"/>
    <w:rsid w:val="111239D1"/>
    <w:rsid w:val="1117CADC"/>
    <w:rsid w:val="111AEC82"/>
    <w:rsid w:val="111B8D13"/>
    <w:rsid w:val="11294BF7"/>
    <w:rsid w:val="112E1D2F"/>
    <w:rsid w:val="112E381A"/>
    <w:rsid w:val="112E4BFF"/>
    <w:rsid w:val="113DAF40"/>
    <w:rsid w:val="115968C9"/>
    <w:rsid w:val="11610F3D"/>
    <w:rsid w:val="11620DCA"/>
    <w:rsid w:val="116CFD47"/>
    <w:rsid w:val="119224F1"/>
    <w:rsid w:val="11926394"/>
    <w:rsid w:val="11983C7A"/>
    <w:rsid w:val="11A54569"/>
    <w:rsid w:val="11B7C6F9"/>
    <w:rsid w:val="11D36216"/>
    <w:rsid w:val="11E05C47"/>
    <w:rsid w:val="11EA1495"/>
    <w:rsid w:val="11FD6CD1"/>
    <w:rsid w:val="12079A7E"/>
    <w:rsid w:val="120B0795"/>
    <w:rsid w:val="121428A1"/>
    <w:rsid w:val="12160159"/>
    <w:rsid w:val="1217F177"/>
    <w:rsid w:val="1222BE88"/>
    <w:rsid w:val="1223799F"/>
    <w:rsid w:val="123AC952"/>
    <w:rsid w:val="12430029"/>
    <w:rsid w:val="12496FE8"/>
    <w:rsid w:val="124B872B"/>
    <w:rsid w:val="124F517C"/>
    <w:rsid w:val="1258D61B"/>
    <w:rsid w:val="12628C42"/>
    <w:rsid w:val="12676325"/>
    <w:rsid w:val="1274036A"/>
    <w:rsid w:val="1274F2E6"/>
    <w:rsid w:val="1279B0C4"/>
    <w:rsid w:val="127C2AF9"/>
    <w:rsid w:val="127CBBC7"/>
    <w:rsid w:val="127D68FF"/>
    <w:rsid w:val="127D82BE"/>
    <w:rsid w:val="12822A63"/>
    <w:rsid w:val="128F7530"/>
    <w:rsid w:val="1293EB50"/>
    <w:rsid w:val="12AA6513"/>
    <w:rsid w:val="12B406A9"/>
    <w:rsid w:val="12BEF0E2"/>
    <w:rsid w:val="12D80C7A"/>
    <w:rsid w:val="12E6F78E"/>
    <w:rsid w:val="12F42F5F"/>
    <w:rsid w:val="12FA12C5"/>
    <w:rsid w:val="12FDF5F2"/>
    <w:rsid w:val="130104B4"/>
    <w:rsid w:val="1306C8C1"/>
    <w:rsid w:val="1309F68C"/>
    <w:rsid w:val="1324AF08"/>
    <w:rsid w:val="132B0116"/>
    <w:rsid w:val="133D061C"/>
    <w:rsid w:val="1348085B"/>
    <w:rsid w:val="134E94E0"/>
    <w:rsid w:val="1365A0BF"/>
    <w:rsid w:val="136613D1"/>
    <w:rsid w:val="13669A11"/>
    <w:rsid w:val="13699F8B"/>
    <w:rsid w:val="136A7CAD"/>
    <w:rsid w:val="13705D1A"/>
    <w:rsid w:val="13800E50"/>
    <w:rsid w:val="13813152"/>
    <w:rsid w:val="13862ED5"/>
    <w:rsid w:val="138ABCFD"/>
    <w:rsid w:val="139616AF"/>
    <w:rsid w:val="13A5A56A"/>
    <w:rsid w:val="13AA21CF"/>
    <w:rsid w:val="13ACAE4B"/>
    <w:rsid w:val="13AE6791"/>
    <w:rsid w:val="13B100CE"/>
    <w:rsid w:val="13B5FC65"/>
    <w:rsid w:val="13B62E8E"/>
    <w:rsid w:val="13C4154D"/>
    <w:rsid w:val="13D4341A"/>
    <w:rsid w:val="13DCA20D"/>
    <w:rsid w:val="13EFFF4E"/>
    <w:rsid w:val="13F37517"/>
    <w:rsid w:val="13FB0E5C"/>
    <w:rsid w:val="140BB0D8"/>
    <w:rsid w:val="140EE047"/>
    <w:rsid w:val="1410A247"/>
    <w:rsid w:val="14218469"/>
    <w:rsid w:val="14237A37"/>
    <w:rsid w:val="1428BDEE"/>
    <w:rsid w:val="142D9AAF"/>
    <w:rsid w:val="1430D246"/>
    <w:rsid w:val="1442516E"/>
    <w:rsid w:val="144A3D83"/>
    <w:rsid w:val="144F20BF"/>
    <w:rsid w:val="1451A90C"/>
    <w:rsid w:val="14587B08"/>
    <w:rsid w:val="145ECBC9"/>
    <w:rsid w:val="1460AC2F"/>
    <w:rsid w:val="147438E0"/>
    <w:rsid w:val="147BFF64"/>
    <w:rsid w:val="147EFEB6"/>
    <w:rsid w:val="14827429"/>
    <w:rsid w:val="1485992B"/>
    <w:rsid w:val="148B4CC4"/>
    <w:rsid w:val="148F439A"/>
    <w:rsid w:val="149129E1"/>
    <w:rsid w:val="14BA1AA7"/>
    <w:rsid w:val="14BDA545"/>
    <w:rsid w:val="14C093EB"/>
    <w:rsid w:val="14C62103"/>
    <w:rsid w:val="14CBB460"/>
    <w:rsid w:val="14D5A9F2"/>
    <w:rsid w:val="14E0614F"/>
    <w:rsid w:val="14E9F345"/>
    <w:rsid w:val="14EAD3FC"/>
    <w:rsid w:val="14FCC25E"/>
    <w:rsid w:val="15049FFE"/>
    <w:rsid w:val="150CC15C"/>
    <w:rsid w:val="1513C9C0"/>
    <w:rsid w:val="151767B9"/>
    <w:rsid w:val="15197CD8"/>
    <w:rsid w:val="151E1999"/>
    <w:rsid w:val="15230DCB"/>
    <w:rsid w:val="1524CC06"/>
    <w:rsid w:val="1525C0E2"/>
    <w:rsid w:val="152CF0A7"/>
    <w:rsid w:val="153DBA54"/>
    <w:rsid w:val="15504C25"/>
    <w:rsid w:val="15565333"/>
    <w:rsid w:val="1565FEC4"/>
    <w:rsid w:val="156C7A99"/>
    <w:rsid w:val="156FB24B"/>
    <w:rsid w:val="157348F7"/>
    <w:rsid w:val="15740783"/>
    <w:rsid w:val="1579EB37"/>
    <w:rsid w:val="157B7964"/>
    <w:rsid w:val="1580953C"/>
    <w:rsid w:val="1582E712"/>
    <w:rsid w:val="158DF06C"/>
    <w:rsid w:val="15AE2B95"/>
    <w:rsid w:val="15C1FB1F"/>
    <w:rsid w:val="15C25941"/>
    <w:rsid w:val="15C5B264"/>
    <w:rsid w:val="15D1B9B6"/>
    <w:rsid w:val="15FA80A9"/>
    <w:rsid w:val="160CA3C6"/>
    <w:rsid w:val="160F58DA"/>
    <w:rsid w:val="161DF789"/>
    <w:rsid w:val="161E1072"/>
    <w:rsid w:val="1620C343"/>
    <w:rsid w:val="1631C3BF"/>
    <w:rsid w:val="163B6729"/>
    <w:rsid w:val="16473C48"/>
    <w:rsid w:val="164CFBE9"/>
    <w:rsid w:val="164ECEB1"/>
    <w:rsid w:val="1650BE67"/>
    <w:rsid w:val="165412D0"/>
    <w:rsid w:val="165E5024"/>
    <w:rsid w:val="165F6A11"/>
    <w:rsid w:val="16619A9A"/>
    <w:rsid w:val="166D37D5"/>
    <w:rsid w:val="167699CF"/>
    <w:rsid w:val="167B1710"/>
    <w:rsid w:val="167D9483"/>
    <w:rsid w:val="168CE8EC"/>
    <w:rsid w:val="1691AD7C"/>
    <w:rsid w:val="16931832"/>
    <w:rsid w:val="169E84E9"/>
    <w:rsid w:val="16A39997"/>
    <w:rsid w:val="16A46D72"/>
    <w:rsid w:val="16A69149"/>
    <w:rsid w:val="16A8617F"/>
    <w:rsid w:val="16B53D5C"/>
    <w:rsid w:val="16DA5200"/>
    <w:rsid w:val="16DC69CF"/>
    <w:rsid w:val="16E31704"/>
    <w:rsid w:val="16EAF2DB"/>
    <w:rsid w:val="16F2F48A"/>
    <w:rsid w:val="1703A283"/>
    <w:rsid w:val="1705F67A"/>
    <w:rsid w:val="1706E055"/>
    <w:rsid w:val="170C3DEF"/>
    <w:rsid w:val="170CE39D"/>
    <w:rsid w:val="171176A0"/>
    <w:rsid w:val="17153D40"/>
    <w:rsid w:val="1719EB62"/>
    <w:rsid w:val="172479AF"/>
    <w:rsid w:val="1726CFEF"/>
    <w:rsid w:val="1726FE43"/>
    <w:rsid w:val="174043F3"/>
    <w:rsid w:val="174142A4"/>
    <w:rsid w:val="17457472"/>
    <w:rsid w:val="17635CD2"/>
    <w:rsid w:val="17646BF3"/>
    <w:rsid w:val="17648328"/>
    <w:rsid w:val="1765C32A"/>
    <w:rsid w:val="176604A6"/>
    <w:rsid w:val="176632C7"/>
    <w:rsid w:val="17679378"/>
    <w:rsid w:val="1767980F"/>
    <w:rsid w:val="176E9EA0"/>
    <w:rsid w:val="1770C6D0"/>
    <w:rsid w:val="1777113C"/>
    <w:rsid w:val="17851B87"/>
    <w:rsid w:val="178E2288"/>
    <w:rsid w:val="179392BC"/>
    <w:rsid w:val="17966496"/>
    <w:rsid w:val="179D5E9F"/>
    <w:rsid w:val="179F50E5"/>
    <w:rsid w:val="17A04F27"/>
    <w:rsid w:val="17B847A2"/>
    <w:rsid w:val="17CD369F"/>
    <w:rsid w:val="17D8515E"/>
    <w:rsid w:val="17DAE587"/>
    <w:rsid w:val="17E91FBB"/>
    <w:rsid w:val="17F9B0D4"/>
    <w:rsid w:val="17FA871E"/>
    <w:rsid w:val="17FB1341"/>
    <w:rsid w:val="18008EE9"/>
    <w:rsid w:val="18147105"/>
    <w:rsid w:val="1814F860"/>
    <w:rsid w:val="18267792"/>
    <w:rsid w:val="1826B165"/>
    <w:rsid w:val="18392FBF"/>
    <w:rsid w:val="1859710F"/>
    <w:rsid w:val="186065B0"/>
    <w:rsid w:val="1863D25B"/>
    <w:rsid w:val="18679C05"/>
    <w:rsid w:val="186BA970"/>
    <w:rsid w:val="1879872F"/>
    <w:rsid w:val="187D370C"/>
    <w:rsid w:val="187FCD8C"/>
    <w:rsid w:val="1887BD54"/>
    <w:rsid w:val="188B711E"/>
    <w:rsid w:val="1896F6A5"/>
    <w:rsid w:val="189C5D9A"/>
    <w:rsid w:val="189D05C5"/>
    <w:rsid w:val="18BFFC45"/>
    <w:rsid w:val="18D52D10"/>
    <w:rsid w:val="18E4BF44"/>
    <w:rsid w:val="18F29B8F"/>
    <w:rsid w:val="18F66EFC"/>
    <w:rsid w:val="1904AB5A"/>
    <w:rsid w:val="1912F310"/>
    <w:rsid w:val="191EC533"/>
    <w:rsid w:val="192786FA"/>
    <w:rsid w:val="1927F7A5"/>
    <w:rsid w:val="19330230"/>
    <w:rsid w:val="193D39F2"/>
    <w:rsid w:val="19440D5C"/>
    <w:rsid w:val="1947265F"/>
    <w:rsid w:val="195BB35C"/>
    <w:rsid w:val="195D9EAB"/>
    <w:rsid w:val="196E1F25"/>
    <w:rsid w:val="19769119"/>
    <w:rsid w:val="1978B9B7"/>
    <w:rsid w:val="19897D42"/>
    <w:rsid w:val="198AA79C"/>
    <w:rsid w:val="199DF27B"/>
    <w:rsid w:val="19A8BB04"/>
    <w:rsid w:val="19B04662"/>
    <w:rsid w:val="19B9A805"/>
    <w:rsid w:val="19CEE3D9"/>
    <w:rsid w:val="19CF45A1"/>
    <w:rsid w:val="19E0D6B4"/>
    <w:rsid w:val="19E0F06F"/>
    <w:rsid w:val="19E27F14"/>
    <w:rsid w:val="19E7AB82"/>
    <w:rsid w:val="19EF031D"/>
    <w:rsid w:val="19FF4A75"/>
    <w:rsid w:val="1A05B51C"/>
    <w:rsid w:val="1A06CFF0"/>
    <w:rsid w:val="1A08EE94"/>
    <w:rsid w:val="1A09F9BC"/>
    <w:rsid w:val="1A0D9E7F"/>
    <w:rsid w:val="1A0DE8FF"/>
    <w:rsid w:val="1A11476D"/>
    <w:rsid w:val="1A151479"/>
    <w:rsid w:val="1A1BD0C9"/>
    <w:rsid w:val="1A2C3714"/>
    <w:rsid w:val="1A32CF16"/>
    <w:rsid w:val="1A3FC3C8"/>
    <w:rsid w:val="1A4CD779"/>
    <w:rsid w:val="1A5DF617"/>
    <w:rsid w:val="1A5F4F35"/>
    <w:rsid w:val="1A65A387"/>
    <w:rsid w:val="1A7265CB"/>
    <w:rsid w:val="1A7846D9"/>
    <w:rsid w:val="1A8B5055"/>
    <w:rsid w:val="1A8BCE92"/>
    <w:rsid w:val="1A91BAE8"/>
    <w:rsid w:val="1A955985"/>
    <w:rsid w:val="1A95A4D3"/>
    <w:rsid w:val="1A95E84B"/>
    <w:rsid w:val="1A982714"/>
    <w:rsid w:val="1A9E1C36"/>
    <w:rsid w:val="1AA4B9B2"/>
    <w:rsid w:val="1AAB2E01"/>
    <w:rsid w:val="1ABF0847"/>
    <w:rsid w:val="1AC2852B"/>
    <w:rsid w:val="1AC56FB6"/>
    <w:rsid w:val="1AC6D1AF"/>
    <w:rsid w:val="1AD601DA"/>
    <w:rsid w:val="1AD9C126"/>
    <w:rsid w:val="1AE58AAE"/>
    <w:rsid w:val="1AEBD0F3"/>
    <w:rsid w:val="1AED5196"/>
    <w:rsid w:val="1AEFAD5E"/>
    <w:rsid w:val="1AFB62CD"/>
    <w:rsid w:val="1B06A6A8"/>
    <w:rsid w:val="1B10AF78"/>
    <w:rsid w:val="1B20FD79"/>
    <w:rsid w:val="1B268BDE"/>
    <w:rsid w:val="1B31D2EC"/>
    <w:rsid w:val="1B39F248"/>
    <w:rsid w:val="1B420666"/>
    <w:rsid w:val="1B4855CE"/>
    <w:rsid w:val="1B4995F9"/>
    <w:rsid w:val="1B4FFA9E"/>
    <w:rsid w:val="1B575F20"/>
    <w:rsid w:val="1B5881E8"/>
    <w:rsid w:val="1B63EE80"/>
    <w:rsid w:val="1B6C5AE5"/>
    <w:rsid w:val="1B72E848"/>
    <w:rsid w:val="1B759FF3"/>
    <w:rsid w:val="1B80B6E7"/>
    <w:rsid w:val="1B82591A"/>
    <w:rsid w:val="1B89E630"/>
    <w:rsid w:val="1B8A5D53"/>
    <w:rsid w:val="1B8CAB97"/>
    <w:rsid w:val="1B92A5CC"/>
    <w:rsid w:val="1B9DC394"/>
    <w:rsid w:val="1BA64A8E"/>
    <w:rsid w:val="1BA786E0"/>
    <w:rsid w:val="1BB38E26"/>
    <w:rsid w:val="1BBB1A19"/>
    <w:rsid w:val="1BC2EF52"/>
    <w:rsid w:val="1BCFF1C4"/>
    <w:rsid w:val="1BD8F67D"/>
    <w:rsid w:val="1BEBAD97"/>
    <w:rsid w:val="1BFBE8AB"/>
    <w:rsid w:val="1C00784A"/>
    <w:rsid w:val="1C057F9A"/>
    <w:rsid w:val="1C05EBC8"/>
    <w:rsid w:val="1C060AB3"/>
    <w:rsid w:val="1C20F863"/>
    <w:rsid w:val="1C2ADA54"/>
    <w:rsid w:val="1C356747"/>
    <w:rsid w:val="1C365180"/>
    <w:rsid w:val="1C3ADA0F"/>
    <w:rsid w:val="1C43F93C"/>
    <w:rsid w:val="1C447BB7"/>
    <w:rsid w:val="1C4B62C1"/>
    <w:rsid w:val="1C4DA891"/>
    <w:rsid w:val="1C5348F7"/>
    <w:rsid w:val="1C54D3ED"/>
    <w:rsid w:val="1C60A97E"/>
    <w:rsid w:val="1C787311"/>
    <w:rsid w:val="1C7B3570"/>
    <w:rsid w:val="1C895F14"/>
    <w:rsid w:val="1C89AD09"/>
    <w:rsid w:val="1C8E62E0"/>
    <w:rsid w:val="1C93A943"/>
    <w:rsid w:val="1C941CCC"/>
    <w:rsid w:val="1C96ED0B"/>
    <w:rsid w:val="1CA3AE0D"/>
    <w:rsid w:val="1CB88223"/>
    <w:rsid w:val="1CBBFE84"/>
    <w:rsid w:val="1CC24FB7"/>
    <w:rsid w:val="1CDD35DD"/>
    <w:rsid w:val="1CEFEFDA"/>
    <w:rsid w:val="1CFA8FC3"/>
    <w:rsid w:val="1CFCCD74"/>
    <w:rsid w:val="1D066AB1"/>
    <w:rsid w:val="1D151A94"/>
    <w:rsid w:val="1D195631"/>
    <w:rsid w:val="1D1BAB05"/>
    <w:rsid w:val="1D20B6D0"/>
    <w:rsid w:val="1D266781"/>
    <w:rsid w:val="1D2DA270"/>
    <w:rsid w:val="1D4327FA"/>
    <w:rsid w:val="1D43464D"/>
    <w:rsid w:val="1D440CCC"/>
    <w:rsid w:val="1D46FF89"/>
    <w:rsid w:val="1D5358E6"/>
    <w:rsid w:val="1D65FF37"/>
    <w:rsid w:val="1D67B4E8"/>
    <w:rsid w:val="1D6A8106"/>
    <w:rsid w:val="1D730006"/>
    <w:rsid w:val="1D75CE92"/>
    <w:rsid w:val="1D798900"/>
    <w:rsid w:val="1D7D3BD7"/>
    <w:rsid w:val="1D805D3B"/>
    <w:rsid w:val="1D91D802"/>
    <w:rsid w:val="1D97EC56"/>
    <w:rsid w:val="1DA77ED3"/>
    <w:rsid w:val="1DC39701"/>
    <w:rsid w:val="1DC45688"/>
    <w:rsid w:val="1DC4F0EE"/>
    <w:rsid w:val="1DC7E098"/>
    <w:rsid w:val="1DD33428"/>
    <w:rsid w:val="1DD4E79C"/>
    <w:rsid w:val="1DD6217F"/>
    <w:rsid w:val="1DDE6038"/>
    <w:rsid w:val="1DDEA591"/>
    <w:rsid w:val="1DEF20F1"/>
    <w:rsid w:val="1DF79E9F"/>
    <w:rsid w:val="1E00354A"/>
    <w:rsid w:val="1E03612F"/>
    <w:rsid w:val="1E046B5E"/>
    <w:rsid w:val="1E1AE30F"/>
    <w:rsid w:val="1E1C115E"/>
    <w:rsid w:val="1E1EE812"/>
    <w:rsid w:val="1E207A81"/>
    <w:rsid w:val="1E297345"/>
    <w:rsid w:val="1E3E7D4F"/>
    <w:rsid w:val="1E451603"/>
    <w:rsid w:val="1E451E0A"/>
    <w:rsid w:val="1E45B8D0"/>
    <w:rsid w:val="1E4BBA3E"/>
    <w:rsid w:val="1E4C149E"/>
    <w:rsid w:val="1E55421D"/>
    <w:rsid w:val="1E566A06"/>
    <w:rsid w:val="1E56DE5A"/>
    <w:rsid w:val="1E598468"/>
    <w:rsid w:val="1E5CD48F"/>
    <w:rsid w:val="1E5D6648"/>
    <w:rsid w:val="1E66DC3B"/>
    <w:rsid w:val="1E6E8FA3"/>
    <w:rsid w:val="1E7F6DA9"/>
    <w:rsid w:val="1E84CB8A"/>
    <w:rsid w:val="1E8B4EFE"/>
    <w:rsid w:val="1E9372E1"/>
    <w:rsid w:val="1EA2489B"/>
    <w:rsid w:val="1EA8832B"/>
    <w:rsid w:val="1EC8F9D4"/>
    <w:rsid w:val="1ECFA39F"/>
    <w:rsid w:val="1EDBC8ED"/>
    <w:rsid w:val="1EE2CCE7"/>
    <w:rsid w:val="1EE8F20C"/>
    <w:rsid w:val="1EEED9A1"/>
    <w:rsid w:val="1EF717DE"/>
    <w:rsid w:val="1F0205F5"/>
    <w:rsid w:val="1F094DA1"/>
    <w:rsid w:val="1F0BDF30"/>
    <w:rsid w:val="1F0CD312"/>
    <w:rsid w:val="1F0F848F"/>
    <w:rsid w:val="1F145C97"/>
    <w:rsid w:val="1F1750A0"/>
    <w:rsid w:val="1F2C9B64"/>
    <w:rsid w:val="1F42DCC7"/>
    <w:rsid w:val="1F4ED353"/>
    <w:rsid w:val="1F55ADB2"/>
    <w:rsid w:val="1F572DD6"/>
    <w:rsid w:val="1F68105E"/>
    <w:rsid w:val="1F6EB589"/>
    <w:rsid w:val="1F6F8812"/>
    <w:rsid w:val="1F728DB5"/>
    <w:rsid w:val="1F798D23"/>
    <w:rsid w:val="1F82014F"/>
    <w:rsid w:val="1F86BDBE"/>
    <w:rsid w:val="1F9821F6"/>
    <w:rsid w:val="1FA1FD7C"/>
    <w:rsid w:val="1FB4BF58"/>
    <w:rsid w:val="1FC87DF7"/>
    <w:rsid w:val="1FCFC655"/>
    <w:rsid w:val="1FD333E4"/>
    <w:rsid w:val="1FE3D8D8"/>
    <w:rsid w:val="1FF15902"/>
    <w:rsid w:val="1FF3CFB0"/>
    <w:rsid w:val="1FF8AF21"/>
    <w:rsid w:val="1FFCDD72"/>
    <w:rsid w:val="20063C44"/>
    <w:rsid w:val="2019393C"/>
    <w:rsid w:val="202CD712"/>
    <w:rsid w:val="202D56DB"/>
    <w:rsid w:val="2032EEFB"/>
    <w:rsid w:val="203E6827"/>
    <w:rsid w:val="2040BA80"/>
    <w:rsid w:val="204133EA"/>
    <w:rsid w:val="204321E7"/>
    <w:rsid w:val="2056B8E5"/>
    <w:rsid w:val="206FFB57"/>
    <w:rsid w:val="20707C04"/>
    <w:rsid w:val="2074E993"/>
    <w:rsid w:val="20789441"/>
    <w:rsid w:val="2081C63C"/>
    <w:rsid w:val="2086E7B1"/>
    <w:rsid w:val="208B3D2C"/>
    <w:rsid w:val="208B97E4"/>
    <w:rsid w:val="208C42E5"/>
    <w:rsid w:val="2097646D"/>
    <w:rsid w:val="209B4D09"/>
    <w:rsid w:val="20A4BA9C"/>
    <w:rsid w:val="20ACA8A5"/>
    <w:rsid w:val="20B2158B"/>
    <w:rsid w:val="20B7D4CF"/>
    <w:rsid w:val="20BBC190"/>
    <w:rsid w:val="20BF3F99"/>
    <w:rsid w:val="20BFC0B4"/>
    <w:rsid w:val="20C35AB3"/>
    <w:rsid w:val="20CA4191"/>
    <w:rsid w:val="20F69FC8"/>
    <w:rsid w:val="20F770E2"/>
    <w:rsid w:val="20FEEA51"/>
    <w:rsid w:val="210F8B71"/>
    <w:rsid w:val="211602DD"/>
    <w:rsid w:val="212039ED"/>
    <w:rsid w:val="21211867"/>
    <w:rsid w:val="2121328C"/>
    <w:rsid w:val="213FB6A2"/>
    <w:rsid w:val="2142B103"/>
    <w:rsid w:val="214A361E"/>
    <w:rsid w:val="214CB13B"/>
    <w:rsid w:val="215106B5"/>
    <w:rsid w:val="2156FE37"/>
    <w:rsid w:val="215DC4CE"/>
    <w:rsid w:val="2166F764"/>
    <w:rsid w:val="2167DCC7"/>
    <w:rsid w:val="21682242"/>
    <w:rsid w:val="216CABF6"/>
    <w:rsid w:val="217CA95A"/>
    <w:rsid w:val="217D8E1F"/>
    <w:rsid w:val="2186040A"/>
    <w:rsid w:val="218658DF"/>
    <w:rsid w:val="2189B3C0"/>
    <w:rsid w:val="218A8207"/>
    <w:rsid w:val="218E5C93"/>
    <w:rsid w:val="21A832BA"/>
    <w:rsid w:val="21A93944"/>
    <w:rsid w:val="21AE9043"/>
    <w:rsid w:val="21AF2C21"/>
    <w:rsid w:val="21B0249E"/>
    <w:rsid w:val="21B2AE37"/>
    <w:rsid w:val="21BF96F2"/>
    <w:rsid w:val="21C074A0"/>
    <w:rsid w:val="21C84451"/>
    <w:rsid w:val="21D2C462"/>
    <w:rsid w:val="21D84670"/>
    <w:rsid w:val="21DAB849"/>
    <w:rsid w:val="21F70898"/>
    <w:rsid w:val="22027E0C"/>
    <w:rsid w:val="2204599C"/>
    <w:rsid w:val="220B2E32"/>
    <w:rsid w:val="2215F8E3"/>
    <w:rsid w:val="22189084"/>
    <w:rsid w:val="22239675"/>
    <w:rsid w:val="22256E0E"/>
    <w:rsid w:val="2229D689"/>
    <w:rsid w:val="22479B62"/>
    <w:rsid w:val="2248E572"/>
    <w:rsid w:val="2249A557"/>
    <w:rsid w:val="2249DBF5"/>
    <w:rsid w:val="22508C78"/>
    <w:rsid w:val="2262FFE5"/>
    <w:rsid w:val="2269CF10"/>
    <w:rsid w:val="228767C6"/>
    <w:rsid w:val="228DD81C"/>
    <w:rsid w:val="228E413E"/>
    <w:rsid w:val="22952473"/>
    <w:rsid w:val="229C7F7F"/>
    <w:rsid w:val="22A2DD5C"/>
    <w:rsid w:val="22A30BFF"/>
    <w:rsid w:val="22A656B3"/>
    <w:rsid w:val="22B7F312"/>
    <w:rsid w:val="22B8F891"/>
    <w:rsid w:val="22DB52A5"/>
    <w:rsid w:val="22E8900B"/>
    <w:rsid w:val="22FC9CD7"/>
    <w:rsid w:val="22FF3FA4"/>
    <w:rsid w:val="22FFE767"/>
    <w:rsid w:val="230D26B6"/>
    <w:rsid w:val="230F9FDC"/>
    <w:rsid w:val="2314E0CB"/>
    <w:rsid w:val="231545B2"/>
    <w:rsid w:val="2318D9F3"/>
    <w:rsid w:val="231A732E"/>
    <w:rsid w:val="23267E6E"/>
    <w:rsid w:val="233D74C9"/>
    <w:rsid w:val="2342DCB0"/>
    <w:rsid w:val="234955BA"/>
    <w:rsid w:val="234D7A95"/>
    <w:rsid w:val="23570EA7"/>
    <w:rsid w:val="235C6B68"/>
    <w:rsid w:val="2360F344"/>
    <w:rsid w:val="236836B1"/>
    <w:rsid w:val="236E9CAD"/>
    <w:rsid w:val="237EDF79"/>
    <w:rsid w:val="237EE3A5"/>
    <w:rsid w:val="2391181F"/>
    <w:rsid w:val="2395F63F"/>
    <w:rsid w:val="23A9D615"/>
    <w:rsid w:val="23AAD2C7"/>
    <w:rsid w:val="23ABACA1"/>
    <w:rsid w:val="23B3879F"/>
    <w:rsid w:val="23B39271"/>
    <w:rsid w:val="23D66EAF"/>
    <w:rsid w:val="23E3AA3A"/>
    <w:rsid w:val="2404E575"/>
    <w:rsid w:val="2412C41C"/>
    <w:rsid w:val="241CC2E5"/>
    <w:rsid w:val="24286312"/>
    <w:rsid w:val="242E0872"/>
    <w:rsid w:val="2435B0A6"/>
    <w:rsid w:val="24494EF1"/>
    <w:rsid w:val="2467F078"/>
    <w:rsid w:val="2469106C"/>
    <w:rsid w:val="246C95FE"/>
    <w:rsid w:val="246CF1C2"/>
    <w:rsid w:val="246EC899"/>
    <w:rsid w:val="24746198"/>
    <w:rsid w:val="2476422C"/>
    <w:rsid w:val="247CA374"/>
    <w:rsid w:val="24899507"/>
    <w:rsid w:val="24964B76"/>
    <w:rsid w:val="24B4FB21"/>
    <w:rsid w:val="24BA453C"/>
    <w:rsid w:val="24C45DF3"/>
    <w:rsid w:val="24C616A9"/>
    <w:rsid w:val="24C7AFF7"/>
    <w:rsid w:val="24CA2ED0"/>
    <w:rsid w:val="24DF3EE9"/>
    <w:rsid w:val="24E963B0"/>
    <w:rsid w:val="24EACC02"/>
    <w:rsid w:val="24EC1B01"/>
    <w:rsid w:val="24EC961F"/>
    <w:rsid w:val="24F24710"/>
    <w:rsid w:val="25179011"/>
    <w:rsid w:val="251A939C"/>
    <w:rsid w:val="251B86AA"/>
    <w:rsid w:val="251D7887"/>
    <w:rsid w:val="252CD9F3"/>
    <w:rsid w:val="25328A5E"/>
    <w:rsid w:val="25342425"/>
    <w:rsid w:val="253DFC7D"/>
    <w:rsid w:val="253F2E17"/>
    <w:rsid w:val="2542D0A9"/>
    <w:rsid w:val="2548AECF"/>
    <w:rsid w:val="255DB84D"/>
    <w:rsid w:val="255EAE8B"/>
    <w:rsid w:val="2561B06B"/>
    <w:rsid w:val="257301DF"/>
    <w:rsid w:val="2575BFC8"/>
    <w:rsid w:val="2576F8ED"/>
    <w:rsid w:val="257CD60A"/>
    <w:rsid w:val="257F7969"/>
    <w:rsid w:val="25878323"/>
    <w:rsid w:val="258A1420"/>
    <w:rsid w:val="258D23D1"/>
    <w:rsid w:val="25929716"/>
    <w:rsid w:val="2592E195"/>
    <w:rsid w:val="2594D7F5"/>
    <w:rsid w:val="2595D129"/>
    <w:rsid w:val="259FEA8A"/>
    <w:rsid w:val="25A4ED1B"/>
    <w:rsid w:val="25A7C8EE"/>
    <w:rsid w:val="25CEB809"/>
    <w:rsid w:val="25E8E0A7"/>
    <w:rsid w:val="25EB3255"/>
    <w:rsid w:val="25EC0B0E"/>
    <w:rsid w:val="25ECB6ED"/>
    <w:rsid w:val="25EE9EFA"/>
    <w:rsid w:val="25F2A062"/>
    <w:rsid w:val="25F9BF48"/>
    <w:rsid w:val="25FCAF54"/>
    <w:rsid w:val="2604F34E"/>
    <w:rsid w:val="260851AE"/>
    <w:rsid w:val="26156617"/>
    <w:rsid w:val="26156F95"/>
    <w:rsid w:val="261AFF34"/>
    <w:rsid w:val="261B39EA"/>
    <w:rsid w:val="2627DC0E"/>
    <w:rsid w:val="2629B7CA"/>
    <w:rsid w:val="262DD240"/>
    <w:rsid w:val="263A6B33"/>
    <w:rsid w:val="263FFCB7"/>
    <w:rsid w:val="2640E29B"/>
    <w:rsid w:val="2642C332"/>
    <w:rsid w:val="2642CCCA"/>
    <w:rsid w:val="2645AEB6"/>
    <w:rsid w:val="2647DD88"/>
    <w:rsid w:val="264EC6DA"/>
    <w:rsid w:val="26587566"/>
    <w:rsid w:val="265A051E"/>
    <w:rsid w:val="265A18E4"/>
    <w:rsid w:val="2665C8A7"/>
    <w:rsid w:val="266BADD0"/>
    <w:rsid w:val="267222A4"/>
    <w:rsid w:val="26749204"/>
    <w:rsid w:val="2680B5E6"/>
    <w:rsid w:val="268235B6"/>
    <w:rsid w:val="268433EC"/>
    <w:rsid w:val="268F29F7"/>
    <w:rsid w:val="269C7CFF"/>
    <w:rsid w:val="26A137DB"/>
    <w:rsid w:val="26A4AF45"/>
    <w:rsid w:val="26B06836"/>
    <w:rsid w:val="26B69F0A"/>
    <w:rsid w:val="26B7208D"/>
    <w:rsid w:val="26B9E0A1"/>
    <w:rsid w:val="26DE68B7"/>
    <w:rsid w:val="26FF297A"/>
    <w:rsid w:val="27034496"/>
    <w:rsid w:val="27145A5D"/>
    <w:rsid w:val="2715C0A9"/>
    <w:rsid w:val="271B61A8"/>
    <w:rsid w:val="2729750A"/>
    <w:rsid w:val="27389DCD"/>
    <w:rsid w:val="273E666D"/>
    <w:rsid w:val="27440297"/>
    <w:rsid w:val="27464AAC"/>
    <w:rsid w:val="274A123B"/>
    <w:rsid w:val="274EADBC"/>
    <w:rsid w:val="2757BDA2"/>
    <w:rsid w:val="2763A050"/>
    <w:rsid w:val="2769EF58"/>
    <w:rsid w:val="276A0DEF"/>
    <w:rsid w:val="276B4409"/>
    <w:rsid w:val="27745F12"/>
    <w:rsid w:val="2776A0C3"/>
    <w:rsid w:val="2786B61D"/>
    <w:rsid w:val="2789F2B1"/>
    <w:rsid w:val="278BCEB9"/>
    <w:rsid w:val="27932603"/>
    <w:rsid w:val="279A2F01"/>
    <w:rsid w:val="27A068E2"/>
    <w:rsid w:val="27A19B3E"/>
    <w:rsid w:val="27A42B6A"/>
    <w:rsid w:val="27AD2783"/>
    <w:rsid w:val="27B27DBC"/>
    <w:rsid w:val="27B67B95"/>
    <w:rsid w:val="27B8D18B"/>
    <w:rsid w:val="27CE1550"/>
    <w:rsid w:val="27D07E82"/>
    <w:rsid w:val="27D0BF72"/>
    <w:rsid w:val="27E4275A"/>
    <w:rsid w:val="27E84496"/>
    <w:rsid w:val="27F6E9FD"/>
    <w:rsid w:val="27F6F09E"/>
    <w:rsid w:val="27FA8F5D"/>
    <w:rsid w:val="27FD8090"/>
    <w:rsid w:val="280138CF"/>
    <w:rsid w:val="280191C8"/>
    <w:rsid w:val="28023E5D"/>
    <w:rsid w:val="280AE20E"/>
    <w:rsid w:val="280FAB88"/>
    <w:rsid w:val="2813E7AB"/>
    <w:rsid w:val="2826204E"/>
    <w:rsid w:val="282EF652"/>
    <w:rsid w:val="2842A0B6"/>
    <w:rsid w:val="2847313A"/>
    <w:rsid w:val="285209A9"/>
    <w:rsid w:val="2856636C"/>
    <w:rsid w:val="285C8BB1"/>
    <w:rsid w:val="28635718"/>
    <w:rsid w:val="28647EB1"/>
    <w:rsid w:val="286A6BC9"/>
    <w:rsid w:val="286C4615"/>
    <w:rsid w:val="287AC773"/>
    <w:rsid w:val="287D4FDA"/>
    <w:rsid w:val="287EA412"/>
    <w:rsid w:val="289CCFED"/>
    <w:rsid w:val="28A4246F"/>
    <w:rsid w:val="28AD1D34"/>
    <w:rsid w:val="28AFBBFD"/>
    <w:rsid w:val="28B44104"/>
    <w:rsid w:val="28B6B7E6"/>
    <w:rsid w:val="28C7D9A2"/>
    <w:rsid w:val="28D05A79"/>
    <w:rsid w:val="28D37FC4"/>
    <w:rsid w:val="28DF5402"/>
    <w:rsid w:val="28DF9ED3"/>
    <w:rsid w:val="28EA6D4A"/>
    <w:rsid w:val="28ED9C12"/>
    <w:rsid w:val="28F94CDD"/>
    <w:rsid w:val="290B9DEC"/>
    <w:rsid w:val="291E108B"/>
    <w:rsid w:val="291EBE18"/>
    <w:rsid w:val="292A4988"/>
    <w:rsid w:val="2937E506"/>
    <w:rsid w:val="29504AF9"/>
    <w:rsid w:val="296184BC"/>
    <w:rsid w:val="29629C4D"/>
    <w:rsid w:val="296D19FE"/>
    <w:rsid w:val="29709F9D"/>
    <w:rsid w:val="2975E5B7"/>
    <w:rsid w:val="298316FE"/>
    <w:rsid w:val="298AC596"/>
    <w:rsid w:val="298F7CA5"/>
    <w:rsid w:val="29903761"/>
    <w:rsid w:val="29924915"/>
    <w:rsid w:val="2994E38B"/>
    <w:rsid w:val="29950223"/>
    <w:rsid w:val="29A2F4A7"/>
    <w:rsid w:val="29A409A5"/>
    <w:rsid w:val="29AB5489"/>
    <w:rsid w:val="29AE19AA"/>
    <w:rsid w:val="29B44E4F"/>
    <w:rsid w:val="29B5946D"/>
    <w:rsid w:val="29C5EB4B"/>
    <w:rsid w:val="29C8798D"/>
    <w:rsid w:val="29D29340"/>
    <w:rsid w:val="29D38C8E"/>
    <w:rsid w:val="29E8DFEC"/>
    <w:rsid w:val="29EF8FB6"/>
    <w:rsid w:val="29F43ED6"/>
    <w:rsid w:val="29F54C16"/>
    <w:rsid w:val="2A006009"/>
    <w:rsid w:val="2A2F4A47"/>
    <w:rsid w:val="2A311534"/>
    <w:rsid w:val="2A31AAD2"/>
    <w:rsid w:val="2A32837A"/>
    <w:rsid w:val="2A33443D"/>
    <w:rsid w:val="2A58138F"/>
    <w:rsid w:val="2A58CB7F"/>
    <w:rsid w:val="2A5E0CF5"/>
    <w:rsid w:val="2A62C1B2"/>
    <w:rsid w:val="2A68ED96"/>
    <w:rsid w:val="2A725055"/>
    <w:rsid w:val="2A78A728"/>
    <w:rsid w:val="2A78EA41"/>
    <w:rsid w:val="2A7FFF69"/>
    <w:rsid w:val="2A847537"/>
    <w:rsid w:val="2A89F53E"/>
    <w:rsid w:val="2A8EB676"/>
    <w:rsid w:val="2A9B1D9D"/>
    <w:rsid w:val="2A9C6051"/>
    <w:rsid w:val="2A9E33EC"/>
    <w:rsid w:val="2A9F82AF"/>
    <w:rsid w:val="2AB7ABA8"/>
    <w:rsid w:val="2ABEC3D6"/>
    <w:rsid w:val="2AC9CA48"/>
    <w:rsid w:val="2ACFF3CF"/>
    <w:rsid w:val="2AE6B599"/>
    <w:rsid w:val="2AE738EF"/>
    <w:rsid w:val="2AEF08B3"/>
    <w:rsid w:val="2AF3E6AD"/>
    <w:rsid w:val="2AF74C9A"/>
    <w:rsid w:val="2AFEA83B"/>
    <w:rsid w:val="2B03E3DA"/>
    <w:rsid w:val="2B06DADF"/>
    <w:rsid w:val="2B1142DE"/>
    <w:rsid w:val="2B131EBC"/>
    <w:rsid w:val="2B15D5E0"/>
    <w:rsid w:val="2B27C758"/>
    <w:rsid w:val="2B4E40E7"/>
    <w:rsid w:val="2B63391B"/>
    <w:rsid w:val="2B646B4A"/>
    <w:rsid w:val="2B66B80D"/>
    <w:rsid w:val="2B73074E"/>
    <w:rsid w:val="2B8158B7"/>
    <w:rsid w:val="2B86F6AD"/>
    <w:rsid w:val="2B8EEDD5"/>
    <w:rsid w:val="2B941D73"/>
    <w:rsid w:val="2B9719EB"/>
    <w:rsid w:val="2BABFAA8"/>
    <w:rsid w:val="2BB5C20D"/>
    <w:rsid w:val="2BBD0E25"/>
    <w:rsid w:val="2BBFBD01"/>
    <w:rsid w:val="2BC08834"/>
    <w:rsid w:val="2BDF2A03"/>
    <w:rsid w:val="2BFED4A8"/>
    <w:rsid w:val="2C00173A"/>
    <w:rsid w:val="2C08066B"/>
    <w:rsid w:val="2C1E0C0F"/>
    <w:rsid w:val="2C240913"/>
    <w:rsid w:val="2C27CDE3"/>
    <w:rsid w:val="2C37FEF0"/>
    <w:rsid w:val="2C431B17"/>
    <w:rsid w:val="2C4FEC2F"/>
    <w:rsid w:val="2C506F33"/>
    <w:rsid w:val="2C587577"/>
    <w:rsid w:val="2C5930E3"/>
    <w:rsid w:val="2C777100"/>
    <w:rsid w:val="2C842D5B"/>
    <w:rsid w:val="2C8ACD0B"/>
    <w:rsid w:val="2C8E1FAD"/>
    <w:rsid w:val="2C9851D9"/>
    <w:rsid w:val="2C9C231A"/>
    <w:rsid w:val="2CA1570E"/>
    <w:rsid w:val="2CAB407D"/>
    <w:rsid w:val="2CB4C62F"/>
    <w:rsid w:val="2CB7F44D"/>
    <w:rsid w:val="2CC5C6EB"/>
    <w:rsid w:val="2CD9C11A"/>
    <w:rsid w:val="2CDBDF78"/>
    <w:rsid w:val="2CDCCADD"/>
    <w:rsid w:val="2CE9403A"/>
    <w:rsid w:val="2CEB4D78"/>
    <w:rsid w:val="2CF13919"/>
    <w:rsid w:val="2CFEB822"/>
    <w:rsid w:val="2CFF95DB"/>
    <w:rsid w:val="2D19CB92"/>
    <w:rsid w:val="2D1BC864"/>
    <w:rsid w:val="2D249BC1"/>
    <w:rsid w:val="2D24C2AC"/>
    <w:rsid w:val="2D33056F"/>
    <w:rsid w:val="2D354F60"/>
    <w:rsid w:val="2D5005F3"/>
    <w:rsid w:val="2D51637D"/>
    <w:rsid w:val="2D5C349E"/>
    <w:rsid w:val="2D5D82E1"/>
    <w:rsid w:val="2D65516E"/>
    <w:rsid w:val="2D678EC8"/>
    <w:rsid w:val="2D695915"/>
    <w:rsid w:val="2D6FCCF1"/>
    <w:rsid w:val="2D7963FC"/>
    <w:rsid w:val="2D7E8E32"/>
    <w:rsid w:val="2D8482C6"/>
    <w:rsid w:val="2D88CF50"/>
    <w:rsid w:val="2D8DC771"/>
    <w:rsid w:val="2D8E5762"/>
    <w:rsid w:val="2D912A92"/>
    <w:rsid w:val="2D95AB57"/>
    <w:rsid w:val="2D971708"/>
    <w:rsid w:val="2DA11CE1"/>
    <w:rsid w:val="2DA18ADA"/>
    <w:rsid w:val="2DAEB435"/>
    <w:rsid w:val="2DC95A82"/>
    <w:rsid w:val="2DD5B2DF"/>
    <w:rsid w:val="2DE4B5DA"/>
    <w:rsid w:val="2DEBFC71"/>
    <w:rsid w:val="2DEF3D19"/>
    <w:rsid w:val="2DFD630B"/>
    <w:rsid w:val="2E074A7F"/>
    <w:rsid w:val="2E0A7861"/>
    <w:rsid w:val="2E21A71C"/>
    <w:rsid w:val="2E292C2A"/>
    <w:rsid w:val="2E3246A6"/>
    <w:rsid w:val="2E328D8C"/>
    <w:rsid w:val="2E32FFB5"/>
    <w:rsid w:val="2E404D67"/>
    <w:rsid w:val="2E4DB078"/>
    <w:rsid w:val="2E526B80"/>
    <w:rsid w:val="2E575BFA"/>
    <w:rsid w:val="2E5C4C4B"/>
    <w:rsid w:val="2E6283BB"/>
    <w:rsid w:val="2E63F8C4"/>
    <w:rsid w:val="2E691469"/>
    <w:rsid w:val="2E73BB70"/>
    <w:rsid w:val="2E821A77"/>
    <w:rsid w:val="2E848AFD"/>
    <w:rsid w:val="2E8F7FD7"/>
    <w:rsid w:val="2E9A6DCE"/>
    <w:rsid w:val="2EA7550D"/>
    <w:rsid w:val="2EA7C25A"/>
    <w:rsid w:val="2EA9A7C3"/>
    <w:rsid w:val="2EAD1FCA"/>
    <w:rsid w:val="2EBB0BFF"/>
    <w:rsid w:val="2EC1C8F7"/>
    <w:rsid w:val="2EC41255"/>
    <w:rsid w:val="2EC46CCF"/>
    <w:rsid w:val="2ECB5FE3"/>
    <w:rsid w:val="2EDC8C0D"/>
    <w:rsid w:val="2EE01E9F"/>
    <w:rsid w:val="2EEB77D7"/>
    <w:rsid w:val="2EF1B06A"/>
    <w:rsid w:val="2F00CA0C"/>
    <w:rsid w:val="2F023128"/>
    <w:rsid w:val="2F070431"/>
    <w:rsid w:val="2F0CAEFB"/>
    <w:rsid w:val="2F0E2053"/>
    <w:rsid w:val="2F15A0AC"/>
    <w:rsid w:val="2F23A057"/>
    <w:rsid w:val="2F291156"/>
    <w:rsid w:val="2F36BB44"/>
    <w:rsid w:val="2F3AEA11"/>
    <w:rsid w:val="2F3F5A9F"/>
    <w:rsid w:val="2F41F369"/>
    <w:rsid w:val="2F4A245F"/>
    <w:rsid w:val="2F53B654"/>
    <w:rsid w:val="2F638AE6"/>
    <w:rsid w:val="2F64C1A4"/>
    <w:rsid w:val="2F699796"/>
    <w:rsid w:val="2F8D70A2"/>
    <w:rsid w:val="2F92AAB8"/>
    <w:rsid w:val="2F92B552"/>
    <w:rsid w:val="2F9EFC46"/>
    <w:rsid w:val="2FA42AEE"/>
    <w:rsid w:val="2FC37B24"/>
    <w:rsid w:val="2FCD5001"/>
    <w:rsid w:val="2FE1706B"/>
    <w:rsid w:val="2FE6A7C4"/>
    <w:rsid w:val="2FE8F0BF"/>
    <w:rsid w:val="2FF04F8B"/>
    <w:rsid w:val="2FF47ABC"/>
    <w:rsid w:val="30037B06"/>
    <w:rsid w:val="300481C5"/>
    <w:rsid w:val="30091579"/>
    <w:rsid w:val="30096C7C"/>
    <w:rsid w:val="30210F83"/>
    <w:rsid w:val="3022045B"/>
    <w:rsid w:val="303B37D0"/>
    <w:rsid w:val="304302F5"/>
    <w:rsid w:val="3045D80E"/>
    <w:rsid w:val="3054777E"/>
    <w:rsid w:val="305DC49B"/>
    <w:rsid w:val="3062402E"/>
    <w:rsid w:val="306530E9"/>
    <w:rsid w:val="306B778B"/>
    <w:rsid w:val="30700D85"/>
    <w:rsid w:val="3074A179"/>
    <w:rsid w:val="3075D7CC"/>
    <w:rsid w:val="308565EF"/>
    <w:rsid w:val="308640E8"/>
    <w:rsid w:val="308DF7BB"/>
    <w:rsid w:val="30926FA4"/>
    <w:rsid w:val="30974B2C"/>
    <w:rsid w:val="30990E14"/>
    <w:rsid w:val="30998C26"/>
    <w:rsid w:val="30A11C2F"/>
    <w:rsid w:val="30A62497"/>
    <w:rsid w:val="30AA5A8E"/>
    <w:rsid w:val="30B5BB18"/>
    <w:rsid w:val="30B5E93E"/>
    <w:rsid w:val="30D78304"/>
    <w:rsid w:val="30DD6B14"/>
    <w:rsid w:val="30E13B7F"/>
    <w:rsid w:val="30E31350"/>
    <w:rsid w:val="30F20998"/>
    <w:rsid w:val="30F2583B"/>
    <w:rsid w:val="30F47E4C"/>
    <w:rsid w:val="30FD116E"/>
    <w:rsid w:val="30FE5104"/>
    <w:rsid w:val="30FF1DAB"/>
    <w:rsid w:val="30FF72E0"/>
    <w:rsid w:val="311A25F4"/>
    <w:rsid w:val="31227D37"/>
    <w:rsid w:val="3125154B"/>
    <w:rsid w:val="3133672E"/>
    <w:rsid w:val="313D53CE"/>
    <w:rsid w:val="314FE363"/>
    <w:rsid w:val="3154A7B7"/>
    <w:rsid w:val="315F8C69"/>
    <w:rsid w:val="3174D772"/>
    <w:rsid w:val="3179DD8D"/>
    <w:rsid w:val="31960330"/>
    <w:rsid w:val="319734C2"/>
    <w:rsid w:val="319A1CCD"/>
    <w:rsid w:val="31A4B835"/>
    <w:rsid w:val="31B1FAB7"/>
    <w:rsid w:val="31BA9B27"/>
    <w:rsid w:val="31BFBFC1"/>
    <w:rsid w:val="31DECA0D"/>
    <w:rsid w:val="31DF272E"/>
    <w:rsid w:val="31E6EE76"/>
    <w:rsid w:val="31EFB0EE"/>
    <w:rsid w:val="31F528D3"/>
    <w:rsid w:val="3200DBF0"/>
    <w:rsid w:val="3208EAA0"/>
    <w:rsid w:val="320A9AB3"/>
    <w:rsid w:val="320B33C1"/>
    <w:rsid w:val="320D2D92"/>
    <w:rsid w:val="320E1DA2"/>
    <w:rsid w:val="32142A94"/>
    <w:rsid w:val="3214DA0E"/>
    <w:rsid w:val="3220579F"/>
    <w:rsid w:val="322CBAE8"/>
    <w:rsid w:val="3231C0AE"/>
    <w:rsid w:val="32384456"/>
    <w:rsid w:val="32384858"/>
    <w:rsid w:val="323FA73F"/>
    <w:rsid w:val="3245B5E3"/>
    <w:rsid w:val="3245D414"/>
    <w:rsid w:val="324B61B5"/>
    <w:rsid w:val="324E7895"/>
    <w:rsid w:val="325E9FDE"/>
    <w:rsid w:val="326B7F9C"/>
    <w:rsid w:val="32754F14"/>
    <w:rsid w:val="3279EBCF"/>
    <w:rsid w:val="32886A66"/>
    <w:rsid w:val="328C13F2"/>
    <w:rsid w:val="32A3F782"/>
    <w:rsid w:val="32A87C72"/>
    <w:rsid w:val="32B1B9E6"/>
    <w:rsid w:val="32B231E5"/>
    <w:rsid w:val="32B8A4C0"/>
    <w:rsid w:val="32BDBD0D"/>
    <w:rsid w:val="32BEBA36"/>
    <w:rsid w:val="32C6B95A"/>
    <w:rsid w:val="32D5806D"/>
    <w:rsid w:val="32DE44D0"/>
    <w:rsid w:val="32E52141"/>
    <w:rsid w:val="32F1B608"/>
    <w:rsid w:val="32F1F37F"/>
    <w:rsid w:val="32F2D971"/>
    <w:rsid w:val="33003329"/>
    <w:rsid w:val="330C414B"/>
    <w:rsid w:val="330F3469"/>
    <w:rsid w:val="3319AB07"/>
    <w:rsid w:val="3319DE2F"/>
    <w:rsid w:val="3326E6A4"/>
    <w:rsid w:val="33282138"/>
    <w:rsid w:val="3330EFD4"/>
    <w:rsid w:val="3331EA50"/>
    <w:rsid w:val="33372E42"/>
    <w:rsid w:val="333A38E8"/>
    <w:rsid w:val="3340A1E3"/>
    <w:rsid w:val="334320A1"/>
    <w:rsid w:val="334FB4C6"/>
    <w:rsid w:val="33509D6B"/>
    <w:rsid w:val="336EF353"/>
    <w:rsid w:val="3374AF8B"/>
    <w:rsid w:val="33776C82"/>
    <w:rsid w:val="338D1D48"/>
    <w:rsid w:val="338D4512"/>
    <w:rsid w:val="339F04E3"/>
    <w:rsid w:val="33A122B2"/>
    <w:rsid w:val="33A21BCC"/>
    <w:rsid w:val="33A334E9"/>
    <w:rsid w:val="33B3EEA3"/>
    <w:rsid w:val="33B4ED00"/>
    <w:rsid w:val="33C1C9C5"/>
    <w:rsid w:val="33E1B4C4"/>
    <w:rsid w:val="33E53E12"/>
    <w:rsid w:val="33E9360A"/>
    <w:rsid w:val="33F3549F"/>
    <w:rsid w:val="33F6185B"/>
    <w:rsid w:val="3402B441"/>
    <w:rsid w:val="3409F7DE"/>
    <w:rsid w:val="340CB778"/>
    <w:rsid w:val="3435FACF"/>
    <w:rsid w:val="3446D5A1"/>
    <w:rsid w:val="34479E18"/>
    <w:rsid w:val="344B5D37"/>
    <w:rsid w:val="3450970D"/>
    <w:rsid w:val="345158F1"/>
    <w:rsid w:val="3456C78F"/>
    <w:rsid w:val="34572F47"/>
    <w:rsid w:val="345B9B87"/>
    <w:rsid w:val="3480454A"/>
    <w:rsid w:val="3481E951"/>
    <w:rsid w:val="348CE550"/>
    <w:rsid w:val="348F13A3"/>
    <w:rsid w:val="3498F026"/>
    <w:rsid w:val="349C340D"/>
    <w:rsid w:val="34A98E4D"/>
    <w:rsid w:val="34AD5430"/>
    <w:rsid w:val="34C004EB"/>
    <w:rsid w:val="34C01885"/>
    <w:rsid w:val="34C23E35"/>
    <w:rsid w:val="34D27579"/>
    <w:rsid w:val="34D30C24"/>
    <w:rsid w:val="34D63C11"/>
    <w:rsid w:val="34D776BA"/>
    <w:rsid w:val="34E06E8B"/>
    <w:rsid w:val="34E2DA09"/>
    <w:rsid w:val="34E85668"/>
    <w:rsid w:val="34EA49B0"/>
    <w:rsid w:val="34F0AEF3"/>
    <w:rsid w:val="34F385F8"/>
    <w:rsid w:val="34F4BAFC"/>
    <w:rsid w:val="34F53E48"/>
    <w:rsid w:val="34F6A0C8"/>
    <w:rsid w:val="34F6D8E2"/>
    <w:rsid w:val="34F7A7AB"/>
    <w:rsid w:val="34FB15A8"/>
    <w:rsid w:val="34FF14A9"/>
    <w:rsid w:val="3504D145"/>
    <w:rsid w:val="350CF33D"/>
    <w:rsid w:val="3512B434"/>
    <w:rsid w:val="35187066"/>
    <w:rsid w:val="35199492"/>
    <w:rsid w:val="351C35B4"/>
    <w:rsid w:val="35263B1D"/>
    <w:rsid w:val="352B8224"/>
    <w:rsid w:val="3533DFD6"/>
    <w:rsid w:val="3537C22F"/>
    <w:rsid w:val="353B68F2"/>
    <w:rsid w:val="3545753B"/>
    <w:rsid w:val="3545FF75"/>
    <w:rsid w:val="356590AE"/>
    <w:rsid w:val="356800E6"/>
    <w:rsid w:val="356E063B"/>
    <w:rsid w:val="357D1AB6"/>
    <w:rsid w:val="35865603"/>
    <w:rsid w:val="358814CD"/>
    <w:rsid w:val="35917C8D"/>
    <w:rsid w:val="3595506A"/>
    <w:rsid w:val="3597043C"/>
    <w:rsid w:val="359951B4"/>
    <w:rsid w:val="359B5C3C"/>
    <w:rsid w:val="35ADEC74"/>
    <w:rsid w:val="35B20DF1"/>
    <w:rsid w:val="35BA0653"/>
    <w:rsid w:val="35BA55BC"/>
    <w:rsid w:val="35BAE088"/>
    <w:rsid w:val="35BC100C"/>
    <w:rsid w:val="35CC04DD"/>
    <w:rsid w:val="35DFB3B0"/>
    <w:rsid w:val="35E29D12"/>
    <w:rsid w:val="35EB48F4"/>
    <w:rsid w:val="35F8A2FF"/>
    <w:rsid w:val="35FEC782"/>
    <w:rsid w:val="35FF4CAB"/>
    <w:rsid w:val="360426CE"/>
    <w:rsid w:val="3612E10E"/>
    <w:rsid w:val="3617FD11"/>
    <w:rsid w:val="361A0113"/>
    <w:rsid w:val="361B6AF5"/>
    <w:rsid w:val="36329181"/>
    <w:rsid w:val="363B601B"/>
    <w:rsid w:val="363BC959"/>
    <w:rsid w:val="364022EA"/>
    <w:rsid w:val="3653F312"/>
    <w:rsid w:val="3663EE8A"/>
    <w:rsid w:val="366E3EAB"/>
    <w:rsid w:val="366FA516"/>
    <w:rsid w:val="366FC72E"/>
    <w:rsid w:val="3680D3DC"/>
    <w:rsid w:val="3682128B"/>
    <w:rsid w:val="36835A26"/>
    <w:rsid w:val="36856732"/>
    <w:rsid w:val="36920EFE"/>
    <w:rsid w:val="3697D52C"/>
    <w:rsid w:val="3697D721"/>
    <w:rsid w:val="36AF3F46"/>
    <w:rsid w:val="36BA4425"/>
    <w:rsid w:val="36BAFA62"/>
    <w:rsid w:val="36BFE0C9"/>
    <w:rsid w:val="36C075D5"/>
    <w:rsid w:val="36C1C836"/>
    <w:rsid w:val="36C6B495"/>
    <w:rsid w:val="36CB67B6"/>
    <w:rsid w:val="36CF61BA"/>
    <w:rsid w:val="36D6329D"/>
    <w:rsid w:val="36DAD5C2"/>
    <w:rsid w:val="36DFE979"/>
    <w:rsid w:val="36E6068F"/>
    <w:rsid w:val="36EFF1AF"/>
    <w:rsid w:val="36F58DF6"/>
    <w:rsid w:val="3701D69E"/>
    <w:rsid w:val="3704C36B"/>
    <w:rsid w:val="37056BEF"/>
    <w:rsid w:val="37091923"/>
    <w:rsid w:val="370D4FF5"/>
    <w:rsid w:val="370F85BC"/>
    <w:rsid w:val="372A0C9A"/>
    <w:rsid w:val="373754B3"/>
    <w:rsid w:val="373B5B0C"/>
    <w:rsid w:val="374E8B91"/>
    <w:rsid w:val="3751B9C6"/>
    <w:rsid w:val="376516F2"/>
    <w:rsid w:val="376D0B6B"/>
    <w:rsid w:val="376F713A"/>
    <w:rsid w:val="377427B2"/>
    <w:rsid w:val="3777FC9F"/>
    <w:rsid w:val="378C5A30"/>
    <w:rsid w:val="3793FA69"/>
    <w:rsid w:val="379F3582"/>
    <w:rsid w:val="37A2C260"/>
    <w:rsid w:val="37ACDEE9"/>
    <w:rsid w:val="37B649CE"/>
    <w:rsid w:val="37B7A6F4"/>
    <w:rsid w:val="37BA5946"/>
    <w:rsid w:val="37BD02B5"/>
    <w:rsid w:val="37BD7795"/>
    <w:rsid w:val="37BDCC80"/>
    <w:rsid w:val="37C09926"/>
    <w:rsid w:val="37C35B0F"/>
    <w:rsid w:val="37C8992C"/>
    <w:rsid w:val="37C8EA33"/>
    <w:rsid w:val="37D407A8"/>
    <w:rsid w:val="37D42D0A"/>
    <w:rsid w:val="37DFD546"/>
    <w:rsid w:val="37E9F0F3"/>
    <w:rsid w:val="37EC62FB"/>
    <w:rsid w:val="37ED82A1"/>
    <w:rsid w:val="37FDD496"/>
    <w:rsid w:val="37FF9F06"/>
    <w:rsid w:val="3804920E"/>
    <w:rsid w:val="3814186F"/>
    <w:rsid w:val="3822CE02"/>
    <w:rsid w:val="38267E7E"/>
    <w:rsid w:val="38312FB2"/>
    <w:rsid w:val="38360ED5"/>
    <w:rsid w:val="3850F616"/>
    <w:rsid w:val="385731C9"/>
    <w:rsid w:val="3865234F"/>
    <w:rsid w:val="38660DA2"/>
    <w:rsid w:val="386E43F3"/>
    <w:rsid w:val="3875B0D4"/>
    <w:rsid w:val="3881DE61"/>
    <w:rsid w:val="3887D650"/>
    <w:rsid w:val="38978659"/>
    <w:rsid w:val="389A8A34"/>
    <w:rsid w:val="38A058BE"/>
    <w:rsid w:val="38A4266B"/>
    <w:rsid w:val="38A7E094"/>
    <w:rsid w:val="38AB330E"/>
    <w:rsid w:val="38B679FB"/>
    <w:rsid w:val="38BB4F67"/>
    <w:rsid w:val="38BDE939"/>
    <w:rsid w:val="38CBF9AE"/>
    <w:rsid w:val="38CC969A"/>
    <w:rsid w:val="38CE536C"/>
    <w:rsid w:val="38E4D6A8"/>
    <w:rsid w:val="38E62D81"/>
    <w:rsid w:val="38E680C8"/>
    <w:rsid w:val="38E80FDF"/>
    <w:rsid w:val="38E98C3E"/>
    <w:rsid w:val="38F4438E"/>
    <w:rsid w:val="38FD0192"/>
    <w:rsid w:val="38FE210F"/>
    <w:rsid w:val="3908045B"/>
    <w:rsid w:val="39113C16"/>
    <w:rsid w:val="391423EC"/>
    <w:rsid w:val="391EFD91"/>
    <w:rsid w:val="391F0C6C"/>
    <w:rsid w:val="392268A1"/>
    <w:rsid w:val="39374684"/>
    <w:rsid w:val="3938AB13"/>
    <w:rsid w:val="393D7195"/>
    <w:rsid w:val="393D9381"/>
    <w:rsid w:val="393DB25D"/>
    <w:rsid w:val="3940E74F"/>
    <w:rsid w:val="39441BFD"/>
    <w:rsid w:val="3944A1E7"/>
    <w:rsid w:val="39458106"/>
    <w:rsid w:val="3945DACB"/>
    <w:rsid w:val="3947E827"/>
    <w:rsid w:val="394DA63A"/>
    <w:rsid w:val="3962EA81"/>
    <w:rsid w:val="397369DB"/>
    <w:rsid w:val="39768AF5"/>
    <w:rsid w:val="39822339"/>
    <w:rsid w:val="398BB0A2"/>
    <w:rsid w:val="398F5EC2"/>
    <w:rsid w:val="399214C1"/>
    <w:rsid w:val="39996F90"/>
    <w:rsid w:val="399A2C05"/>
    <w:rsid w:val="399F0E0C"/>
    <w:rsid w:val="39A3670B"/>
    <w:rsid w:val="39AAA710"/>
    <w:rsid w:val="39AFB272"/>
    <w:rsid w:val="39B0E68A"/>
    <w:rsid w:val="39B1C7D0"/>
    <w:rsid w:val="39B2078C"/>
    <w:rsid w:val="39B42B7E"/>
    <w:rsid w:val="39BB4253"/>
    <w:rsid w:val="39BFC7B8"/>
    <w:rsid w:val="39C072A8"/>
    <w:rsid w:val="39CD64B6"/>
    <w:rsid w:val="39CE1B7F"/>
    <w:rsid w:val="39D5D28B"/>
    <w:rsid w:val="39D7D31E"/>
    <w:rsid w:val="39DB2AE3"/>
    <w:rsid w:val="39EA0A22"/>
    <w:rsid w:val="39EB6091"/>
    <w:rsid w:val="39ECEBFF"/>
    <w:rsid w:val="39EDB0A6"/>
    <w:rsid w:val="39EF512E"/>
    <w:rsid w:val="3A004D2B"/>
    <w:rsid w:val="3A06B53F"/>
    <w:rsid w:val="3A15BA8C"/>
    <w:rsid w:val="3A1DD632"/>
    <w:rsid w:val="3A239F52"/>
    <w:rsid w:val="3A33B6DB"/>
    <w:rsid w:val="3A35F1DE"/>
    <w:rsid w:val="3A39D99D"/>
    <w:rsid w:val="3A3A6E13"/>
    <w:rsid w:val="3A4352BD"/>
    <w:rsid w:val="3A461B23"/>
    <w:rsid w:val="3A47987E"/>
    <w:rsid w:val="3A59A280"/>
    <w:rsid w:val="3A6025A2"/>
    <w:rsid w:val="3A63AEAD"/>
    <w:rsid w:val="3A72B307"/>
    <w:rsid w:val="3A7774E6"/>
    <w:rsid w:val="3A915B05"/>
    <w:rsid w:val="3A95DB1E"/>
    <w:rsid w:val="3AA897C0"/>
    <w:rsid w:val="3ABA188F"/>
    <w:rsid w:val="3ABD5967"/>
    <w:rsid w:val="3AC29C86"/>
    <w:rsid w:val="3ACAACF7"/>
    <w:rsid w:val="3AD18692"/>
    <w:rsid w:val="3AE2825A"/>
    <w:rsid w:val="3B0D9F72"/>
    <w:rsid w:val="3B1F80E5"/>
    <w:rsid w:val="3B2F990D"/>
    <w:rsid w:val="3B32E555"/>
    <w:rsid w:val="3B3B53E9"/>
    <w:rsid w:val="3B41AE00"/>
    <w:rsid w:val="3B44C0E6"/>
    <w:rsid w:val="3B48ECA1"/>
    <w:rsid w:val="3B4904DD"/>
    <w:rsid w:val="3B576853"/>
    <w:rsid w:val="3B58F8D6"/>
    <w:rsid w:val="3B5D8928"/>
    <w:rsid w:val="3B5DBA9B"/>
    <w:rsid w:val="3B691EE3"/>
    <w:rsid w:val="3B7C1577"/>
    <w:rsid w:val="3B8D3995"/>
    <w:rsid w:val="3B94C343"/>
    <w:rsid w:val="3B97FBF1"/>
    <w:rsid w:val="3B9D25A0"/>
    <w:rsid w:val="3BAE41DB"/>
    <w:rsid w:val="3BB24684"/>
    <w:rsid w:val="3BBD86E3"/>
    <w:rsid w:val="3BC184F8"/>
    <w:rsid w:val="3BC7A225"/>
    <w:rsid w:val="3BD61AA3"/>
    <w:rsid w:val="3BDB1EF5"/>
    <w:rsid w:val="3BE25763"/>
    <w:rsid w:val="3BE6F6CA"/>
    <w:rsid w:val="3BEFCA67"/>
    <w:rsid w:val="3BEFF3C7"/>
    <w:rsid w:val="3BF3D5EB"/>
    <w:rsid w:val="3C074102"/>
    <w:rsid w:val="3C0DC970"/>
    <w:rsid w:val="3C0F3DEF"/>
    <w:rsid w:val="3C10C622"/>
    <w:rsid w:val="3C12D944"/>
    <w:rsid w:val="3C27457C"/>
    <w:rsid w:val="3C2BA5C0"/>
    <w:rsid w:val="3C304895"/>
    <w:rsid w:val="3C3729C2"/>
    <w:rsid w:val="3C38F285"/>
    <w:rsid w:val="3C46298E"/>
    <w:rsid w:val="3C5B500D"/>
    <w:rsid w:val="3C5C1CDE"/>
    <w:rsid w:val="3C6122C4"/>
    <w:rsid w:val="3C638BD2"/>
    <w:rsid w:val="3C6A413E"/>
    <w:rsid w:val="3C6B7A45"/>
    <w:rsid w:val="3C823146"/>
    <w:rsid w:val="3C83F02F"/>
    <w:rsid w:val="3C848679"/>
    <w:rsid w:val="3C86E9E6"/>
    <w:rsid w:val="3C8B2A0F"/>
    <w:rsid w:val="3C9082B5"/>
    <w:rsid w:val="3C9FA447"/>
    <w:rsid w:val="3CA585CB"/>
    <w:rsid w:val="3CA743EB"/>
    <w:rsid w:val="3CA9C574"/>
    <w:rsid w:val="3CAC815D"/>
    <w:rsid w:val="3CB8E29C"/>
    <w:rsid w:val="3CBA4A7A"/>
    <w:rsid w:val="3CCAF9D9"/>
    <w:rsid w:val="3CD0C5C7"/>
    <w:rsid w:val="3CD16786"/>
    <w:rsid w:val="3CE86AC3"/>
    <w:rsid w:val="3CFC8BAE"/>
    <w:rsid w:val="3CFE4859"/>
    <w:rsid w:val="3D051424"/>
    <w:rsid w:val="3D143DB7"/>
    <w:rsid w:val="3D14570F"/>
    <w:rsid w:val="3D145C9C"/>
    <w:rsid w:val="3D34EFC5"/>
    <w:rsid w:val="3D3F2D6A"/>
    <w:rsid w:val="3D4AB54E"/>
    <w:rsid w:val="3D4C1D3F"/>
    <w:rsid w:val="3D5642C2"/>
    <w:rsid w:val="3D57189C"/>
    <w:rsid w:val="3D5EB7D8"/>
    <w:rsid w:val="3D78BE95"/>
    <w:rsid w:val="3D7E1D08"/>
    <w:rsid w:val="3D83CB0B"/>
    <w:rsid w:val="3D857F4D"/>
    <w:rsid w:val="3D8B6BD3"/>
    <w:rsid w:val="3D961B13"/>
    <w:rsid w:val="3D98859D"/>
    <w:rsid w:val="3DB2721C"/>
    <w:rsid w:val="3DBBDEC1"/>
    <w:rsid w:val="3DC469DE"/>
    <w:rsid w:val="3DCD2AC8"/>
    <w:rsid w:val="3DDA113F"/>
    <w:rsid w:val="3DE147B6"/>
    <w:rsid w:val="3DE4A5D5"/>
    <w:rsid w:val="3DEA5E6D"/>
    <w:rsid w:val="3DF0DD50"/>
    <w:rsid w:val="3DFA0C00"/>
    <w:rsid w:val="3E080FEC"/>
    <w:rsid w:val="3E18AC9B"/>
    <w:rsid w:val="3E1CCF8A"/>
    <w:rsid w:val="3E25A5E9"/>
    <w:rsid w:val="3E26D73E"/>
    <w:rsid w:val="3E2CD531"/>
    <w:rsid w:val="3E3EB785"/>
    <w:rsid w:val="3E48252E"/>
    <w:rsid w:val="3E5B29EA"/>
    <w:rsid w:val="3E63B33C"/>
    <w:rsid w:val="3E6ACF99"/>
    <w:rsid w:val="3E707639"/>
    <w:rsid w:val="3E7484FE"/>
    <w:rsid w:val="3E75DF73"/>
    <w:rsid w:val="3E7AA7FB"/>
    <w:rsid w:val="3E92A351"/>
    <w:rsid w:val="3EAB39AA"/>
    <w:rsid w:val="3EAF5CEE"/>
    <w:rsid w:val="3EBE8FCF"/>
    <w:rsid w:val="3EC1C46E"/>
    <w:rsid w:val="3EC47908"/>
    <w:rsid w:val="3ECCB587"/>
    <w:rsid w:val="3ED151C1"/>
    <w:rsid w:val="3ED8D1D9"/>
    <w:rsid w:val="3EDE23F0"/>
    <w:rsid w:val="3EF5EB1E"/>
    <w:rsid w:val="3F04989A"/>
    <w:rsid w:val="3F21D761"/>
    <w:rsid w:val="3F252BEC"/>
    <w:rsid w:val="3F2C29F9"/>
    <w:rsid w:val="3F2D6E95"/>
    <w:rsid w:val="3F2F7162"/>
    <w:rsid w:val="3F3458A6"/>
    <w:rsid w:val="3F40D77E"/>
    <w:rsid w:val="3F53D685"/>
    <w:rsid w:val="3F65A292"/>
    <w:rsid w:val="3F7087F2"/>
    <w:rsid w:val="3F8127FA"/>
    <w:rsid w:val="3FA70EA7"/>
    <w:rsid w:val="3FB38881"/>
    <w:rsid w:val="3FB80691"/>
    <w:rsid w:val="3FCA6D4D"/>
    <w:rsid w:val="3FCACC6D"/>
    <w:rsid w:val="3FCC0F84"/>
    <w:rsid w:val="3FD2EAC4"/>
    <w:rsid w:val="3FEC5C40"/>
    <w:rsid w:val="3FF42DD9"/>
    <w:rsid w:val="3FFDC677"/>
    <w:rsid w:val="3FFFE026"/>
    <w:rsid w:val="40007923"/>
    <w:rsid w:val="40023B07"/>
    <w:rsid w:val="40216EC4"/>
    <w:rsid w:val="402404D2"/>
    <w:rsid w:val="402AA4ED"/>
    <w:rsid w:val="4032859E"/>
    <w:rsid w:val="40395F34"/>
    <w:rsid w:val="403F0F72"/>
    <w:rsid w:val="40434B60"/>
    <w:rsid w:val="40450987"/>
    <w:rsid w:val="40453BEF"/>
    <w:rsid w:val="4048650D"/>
    <w:rsid w:val="406E03A8"/>
    <w:rsid w:val="40856D7C"/>
    <w:rsid w:val="40874294"/>
    <w:rsid w:val="40898DDA"/>
    <w:rsid w:val="4089B27E"/>
    <w:rsid w:val="4094C6A6"/>
    <w:rsid w:val="409D3C7C"/>
    <w:rsid w:val="40B52A7A"/>
    <w:rsid w:val="40B534C3"/>
    <w:rsid w:val="40B91CC5"/>
    <w:rsid w:val="40BB8BD7"/>
    <w:rsid w:val="40BF15BD"/>
    <w:rsid w:val="40FC9F2F"/>
    <w:rsid w:val="41073B5C"/>
    <w:rsid w:val="41212E77"/>
    <w:rsid w:val="412AA545"/>
    <w:rsid w:val="412F58A6"/>
    <w:rsid w:val="41397633"/>
    <w:rsid w:val="413F8665"/>
    <w:rsid w:val="41476FF9"/>
    <w:rsid w:val="414A79EC"/>
    <w:rsid w:val="4167FF55"/>
    <w:rsid w:val="416A7C83"/>
    <w:rsid w:val="416C761D"/>
    <w:rsid w:val="417205EE"/>
    <w:rsid w:val="41789DDE"/>
    <w:rsid w:val="4178D30C"/>
    <w:rsid w:val="41879BC8"/>
    <w:rsid w:val="4192BAC8"/>
    <w:rsid w:val="41A16033"/>
    <w:rsid w:val="41A1A187"/>
    <w:rsid w:val="41A4CDFE"/>
    <w:rsid w:val="41A58D40"/>
    <w:rsid w:val="41B12818"/>
    <w:rsid w:val="41C07788"/>
    <w:rsid w:val="41C6C760"/>
    <w:rsid w:val="41C9B495"/>
    <w:rsid w:val="41D1B420"/>
    <w:rsid w:val="41E34D28"/>
    <w:rsid w:val="41F197CF"/>
    <w:rsid w:val="41FF46BE"/>
    <w:rsid w:val="420867F5"/>
    <w:rsid w:val="421FD66F"/>
    <w:rsid w:val="4230769A"/>
    <w:rsid w:val="423091DA"/>
    <w:rsid w:val="4231AA0C"/>
    <w:rsid w:val="424EFD87"/>
    <w:rsid w:val="42510A01"/>
    <w:rsid w:val="4259B56A"/>
    <w:rsid w:val="426E85D3"/>
    <w:rsid w:val="4271763F"/>
    <w:rsid w:val="4289773A"/>
    <w:rsid w:val="4297C37C"/>
    <w:rsid w:val="42B19761"/>
    <w:rsid w:val="42B245F8"/>
    <w:rsid w:val="42B78A03"/>
    <w:rsid w:val="42BD8F77"/>
    <w:rsid w:val="42C0F352"/>
    <w:rsid w:val="42CBF3F7"/>
    <w:rsid w:val="42CC4CA4"/>
    <w:rsid w:val="42CF3294"/>
    <w:rsid w:val="42DD2BA5"/>
    <w:rsid w:val="42E07E3C"/>
    <w:rsid w:val="42E9764F"/>
    <w:rsid w:val="42F360F5"/>
    <w:rsid w:val="42F4BFEC"/>
    <w:rsid w:val="42F74CCB"/>
    <w:rsid w:val="430AE1DC"/>
    <w:rsid w:val="430D4DEB"/>
    <w:rsid w:val="430D6DFC"/>
    <w:rsid w:val="4314AF2C"/>
    <w:rsid w:val="43164650"/>
    <w:rsid w:val="43198763"/>
    <w:rsid w:val="4319D6FD"/>
    <w:rsid w:val="43248DE8"/>
    <w:rsid w:val="432C4234"/>
    <w:rsid w:val="433F2549"/>
    <w:rsid w:val="43410CE3"/>
    <w:rsid w:val="4361736E"/>
    <w:rsid w:val="43627F44"/>
    <w:rsid w:val="436DD5F2"/>
    <w:rsid w:val="4380D0F2"/>
    <w:rsid w:val="43977DEE"/>
    <w:rsid w:val="43998A51"/>
    <w:rsid w:val="4399954B"/>
    <w:rsid w:val="439E2293"/>
    <w:rsid w:val="43A00187"/>
    <w:rsid w:val="43A13BEC"/>
    <w:rsid w:val="43A1D112"/>
    <w:rsid w:val="43A530D6"/>
    <w:rsid w:val="43B07812"/>
    <w:rsid w:val="43B266D9"/>
    <w:rsid w:val="43BC8462"/>
    <w:rsid w:val="43C83C50"/>
    <w:rsid w:val="43E12EF0"/>
    <w:rsid w:val="43ED0B42"/>
    <w:rsid w:val="43FBDF26"/>
    <w:rsid w:val="43FBFC69"/>
    <w:rsid w:val="43FC04D3"/>
    <w:rsid w:val="43FED188"/>
    <w:rsid w:val="44049E2A"/>
    <w:rsid w:val="4408DEED"/>
    <w:rsid w:val="440CC195"/>
    <w:rsid w:val="440D852F"/>
    <w:rsid w:val="44115EB1"/>
    <w:rsid w:val="441256F7"/>
    <w:rsid w:val="4417140B"/>
    <w:rsid w:val="44189A7B"/>
    <w:rsid w:val="441AE2E0"/>
    <w:rsid w:val="441C4797"/>
    <w:rsid w:val="442114B4"/>
    <w:rsid w:val="442201A4"/>
    <w:rsid w:val="442B8F86"/>
    <w:rsid w:val="442BD88C"/>
    <w:rsid w:val="44312C9F"/>
    <w:rsid w:val="44324C25"/>
    <w:rsid w:val="44342E34"/>
    <w:rsid w:val="44358555"/>
    <w:rsid w:val="4438A303"/>
    <w:rsid w:val="4441D73E"/>
    <w:rsid w:val="44476227"/>
    <w:rsid w:val="44505D6C"/>
    <w:rsid w:val="445481AA"/>
    <w:rsid w:val="4458645F"/>
    <w:rsid w:val="44597DB1"/>
    <w:rsid w:val="445ECADE"/>
    <w:rsid w:val="445F252F"/>
    <w:rsid w:val="445FA54F"/>
    <w:rsid w:val="445FB565"/>
    <w:rsid w:val="445FDE8D"/>
    <w:rsid w:val="4467107E"/>
    <w:rsid w:val="44677556"/>
    <w:rsid w:val="446E578A"/>
    <w:rsid w:val="447267AD"/>
    <w:rsid w:val="447D2944"/>
    <w:rsid w:val="44841FB0"/>
    <w:rsid w:val="44912E3E"/>
    <w:rsid w:val="44935F06"/>
    <w:rsid w:val="44A79BA4"/>
    <w:rsid w:val="44B355CE"/>
    <w:rsid w:val="44CEB1A0"/>
    <w:rsid w:val="44D0011D"/>
    <w:rsid w:val="44D66863"/>
    <w:rsid w:val="44E767C5"/>
    <w:rsid w:val="44F99772"/>
    <w:rsid w:val="44FFFD54"/>
    <w:rsid w:val="450451F0"/>
    <w:rsid w:val="45086994"/>
    <w:rsid w:val="4511657F"/>
    <w:rsid w:val="452490CD"/>
    <w:rsid w:val="452B5AFB"/>
    <w:rsid w:val="45394FBE"/>
    <w:rsid w:val="45412F62"/>
    <w:rsid w:val="454B6DB6"/>
    <w:rsid w:val="454ECB7D"/>
    <w:rsid w:val="45555C47"/>
    <w:rsid w:val="4555BB4F"/>
    <w:rsid w:val="45581774"/>
    <w:rsid w:val="455DA855"/>
    <w:rsid w:val="45665008"/>
    <w:rsid w:val="456EC966"/>
    <w:rsid w:val="456F8B55"/>
    <w:rsid w:val="457C25E5"/>
    <w:rsid w:val="458B4FBC"/>
    <w:rsid w:val="45909522"/>
    <w:rsid w:val="45965870"/>
    <w:rsid w:val="45A702EF"/>
    <w:rsid w:val="45AAD03D"/>
    <w:rsid w:val="45BA3F6A"/>
    <w:rsid w:val="45C869A0"/>
    <w:rsid w:val="45D30DA1"/>
    <w:rsid w:val="45EDE123"/>
    <w:rsid w:val="460EFE70"/>
    <w:rsid w:val="461C1ED8"/>
    <w:rsid w:val="4624D455"/>
    <w:rsid w:val="46287817"/>
    <w:rsid w:val="462BC75F"/>
    <w:rsid w:val="46314A84"/>
    <w:rsid w:val="463E7092"/>
    <w:rsid w:val="46436202"/>
    <w:rsid w:val="464423DE"/>
    <w:rsid w:val="4650EFD3"/>
    <w:rsid w:val="46546DB8"/>
    <w:rsid w:val="4655AFE8"/>
    <w:rsid w:val="465D32A8"/>
    <w:rsid w:val="4663D388"/>
    <w:rsid w:val="466EE057"/>
    <w:rsid w:val="46793FBC"/>
    <w:rsid w:val="467FEA49"/>
    <w:rsid w:val="468AFE59"/>
    <w:rsid w:val="468BE4A4"/>
    <w:rsid w:val="468CD5BD"/>
    <w:rsid w:val="468F7FAA"/>
    <w:rsid w:val="4690FD81"/>
    <w:rsid w:val="469E10B3"/>
    <w:rsid w:val="46B0BB38"/>
    <w:rsid w:val="46B50390"/>
    <w:rsid w:val="46B904ED"/>
    <w:rsid w:val="46C06EA4"/>
    <w:rsid w:val="46C2EEFB"/>
    <w:rsid w:val="46CD558F"/>
    <w:rsid w:val="46CF3773"/>
    <w:rsid w:val="46E70DFA"/>
    <w:rsid w:val="46F268A3"/>
    <w:rsid w:val="46F8E96D"/>
    <w:rsid w:val="470B2EBC"/>
    <w:rsid w:val="470E9C31"/>
    <w:rsid w:val="472DD3ED"/>
    <w:rsid w:val="473AE7DA"/>
    <w:rsid w:val="473D0053"/>
    <w:rsid w:val="473D612B"/>
    <w:rsid w:val="474207C0"/>
    <w:rsid w:val="474B7AEE"/>
    <w:rsid w:val="4751F387"/>
    <w:rsid w:val="47569295"/>
    <w:rsid w:val="475C678C"/>
    <w:rsid w:val="47687C44"/>
    <w:rsid w:val="476F4701"/>
    <w:rsid w:val="4772ED1C"/>
    <w:rsid w:val="478960F5"/>
    <w:rsid w:val="4795439E"/>
    <w:rsid w:val="479656A7"/>
    <w:rsid w:val="479998B9"/>
    <w:rsid w:val="47A70A3E"/>
    <w:rsid w:val="47ABEF89"/>
    <w:rsid w:val="47ABFFC7"/>
    <w:rsid w:val="47B4D543"/>
    <w:rsid w:val="47BEA04C"/>
    <w:rsid w:val="47C4B922"/>
    <w:rsid w:val="47CCCB1F"/>
    <w:rsid w:val="47CF9C22"/>
    <w:rsid w:val="47E0F1AD"/>
    <w:rsid w:val="47E33714"/>
    <w:rsid w:val="47E488BE"/>
    <w:rsid w:val="47EE583C"/>
    <w:rsid w:val="47F24FB8"/>
    <w:rsid w:val="47F87B50"/>
    <w:rsid w:val="48141785"/>
    <w:rsid w:val="48183CB8"/>
    <w:rsid w:val="482CB716"/>
    <w:rsid w:val="4832715D"/>
    <w:rsid w:val="4832ACAD"/>
    <w:rsid w:val="484B2B8F"/>
    <w:rsid w:val="484F129D"/>
    <w:rsid w:val="4862C4FC"/>
    <w:rsid w:val="48634813"/>
    <w:rsid w:val="48834FA4"/>
    <w:rsid w:val="48922795"/>
    <w:rsid w:val="48A434C0"/>
    <w:rsid w:val="48A5C2C0"/>
    <w:rsid w:val="48A8DB98"/>
    <w:rsid w:val="48A96BBB"/>
    <w:rsid w:val="48AA7018"/>
    <w:rsid w:val="48AE6D82"/>
    <w:rsid w:val="48B82F01"/>
    <w:rsid w:val="48C70692"/>
    <w:rsid w:val="48C99971"/>
    <w:rsid w:val="48D14DD5"/>
    <w:rsid w:val="48D7C8A6"/>
    <w:rsid w:val="48D918F5"/>
    <w:rsid w:val="48E11E2D"/>
    <w:rsid w:val="48F0F44B"/>
    <w:rsid w:val="48FE42FE"/>
    <w:rsid w:val="4908ECA5"/>
    <w:rsid w:val="490D95CE"/>
    <w:rsid w:val="491887E0"/>
    <w:rsid w:val="491D10C8"/>
    <w:rsid w:val="49272F84"/>
    <w:rsid w:val="492803AA"/>
    <w:rsid w:val="492E1D86"/>
    <w:rsid w:val="49337CAD"/>
    <w:rsid w:val="4937C5CB"/>
    <w:rsid w:val="493A54DD"/>
    <w:rsid w:val="4958AD5C"/>
    <w:rsid w:val="495A329E"/>
    <w:rsid w:val="495EB186"/>
    <w:rsid w:val="4963173A"/>
    <w:rsid w:val="49646BDC"/>
    <w:rsid w:val="496A44E4"/>
    <w:rsid w:val="496E1B11"/>
    <w:rsid w:val="496E870E"/>
    <w:rsid w:val="49750A85"/>
    <w:rsid w:val="49894405"/>
    <w:rsid w:val="49905D40"/>
    <w:rsid w:val="49A8F980"/>
    <w:rsid w:val="49BE4A03"/>
    <w:rsid w:val="49C69499"/>
    <w:rsid w:val="49C74B84"/>
    <w:rsid w:val="49C7D1E0"/>
    <w:rsid w:val="49D4BC9B"/>
    <w:rsid w:val="49DAFDBA"/>
    <w:rsid w:val="49DBD7A8"/>
    <w:rsid w:val="49E84614"/>
    <w:rsid w:val="49EE6995"/>
    <w:rsid w:val="49F2B4FB"/>
    <w:rsid w:val="49FCD130"/>
    <w:rsid w:val="49FE4DB6"/>
    <w:rsid w:val="4A07B1C5"/>
    <w:rsid w:val="4A0B3942"/>
    <w:rsid w:val="4A12F71E"/>
    <w:rsid w:val="4A31B3D4"/>
    <w:rsid w:val="4A3334D6"/>
    <w:rsid w:val="4A44C1AE"/>
    <w:rsid w:val="4A46900E"/>
    <w:rsid w:val="4A5628EE"/>
    <w:rsid w:val="4A5F9876"/>
    <w:rsid w:val="4A620424"/>
    <w:rsid w:val="4A7FECC4"/>
    <w:rsid w:val="4A834A0F"/>
    <w:rsid w:val="4A8A106D"/>
    <w:rsid w:val="4A8A69DC"/>
    <w:rsid w:val="4A8AE4E1"/>
    <w:rsid w:val="4A8DD258"/>
    <w:rsid w:val="4A901D8E"/>
    <w:rsid w:val="4A94C6C9"/>
    <w:rsid w:val="4A99DABA"/>
    <w:rsid w:val="4AA0C793"/>
    <w:rsid w:val="4AB2ACFE"/>
    <w:rsid w:val="4AB3D4EF"/>
    <w:rsid w:val="4AB64CF3"/>
    <w:rsid w:val="4AB9856B"/>
    <w:rsid w:val="4ACB5B6F"/>
    <w:rsid w:val="4AE2E5DF"/>
    <w:rsid w:val="4AF0014F"/>
    <w:rsid w:val="4AF2CD00"/>
    <w:rsid w:val="4AFEF966"/>
    <w:rsid w:val="4AFF2ACF"/>
    <w:rsid w:val="4B03D8BC"/>
    <w:rsid w:val="4B03FC39"/>
    <w:rsid w:val="4B1B319E"/>
    <w:rsid w:val="4B1CB158"/>
    <w:rsid w:val="4B21276B"/>
    <w:rsid w:val="4B23345B"/>
    <w:rsid w:val="4B2955E7"/>
    <w:rsid w:val="4B2BDF04"/>
    <w:rsid w:val="4B4AB2F7"/>
    <w:rsid w:val="4B5E545D"/>
    <w:rsid w:val="4B63EB87"/>
    <w:rsid w:val="4B655BF9"/>
    <w:rsid w:val="4B6B6860"/>
    <w:rsid w:val="4B71031A"/>
    <w:rsid w:val="4B799790"/>
    <w:rsid w:val="4B847141"/>
    <w:rsid w:val="4B86616A"/>
    <w:rsid w:val="4B8E5702"/>
    <w:rsid w:val="4B8EE7F9"/>
    <w:rsid w:val="4B992E4E"/>
    <w:rsid w:val="4B9C4E54"/>
    <w:rsid w:val="4BA7579D"/>
    <w:rsid w:val="4BC52D8D"/>
    <w:rsid w:val="4BC90FBB"/>
    <w:rsid w:val="4BCDEEBD"/>
    <w:rsid w:val="4BD685EB"/>
    <w:rsid w:val="4BD6C897"/>
    <w:rsid w:val="4BDB48FB"/>
    <w:rsid w:val="4BE9CEB2"/>
    <w:rsid w:val="4BF6D8D2"/>
    <w:rsid w:val="4BFF020B"/>
    <w:rsid w:val="4C0A2827"/>
    <w:rsid w:val="4C148AF6"/>
    <w:rsid w:val="4C19CE67"/>
    <w:rsid w:val="4C221B52"/>
    <w:rsid w:val="4C2382B8"/>
    <w:rsid w:val="4C3008B2"/>
    <w:rsid w:val="4C3CDC58"/>
    <w:rsid w:val="4C453B24"/>
    <w:rsid w:val="4C4BC53C"/>
    <w:rsid w:val="4C4BEA2D"/>
    <w:rsid w:val="4C589D53"/>
    <w:rsid w:val="4C5AA6AA"/>
    <w:rsid w:val="4C7B3ECB"/>
    <w:rsid w:val="4C7CCA77"/>
    <w:rsid w:val="4C84670F"/>
    <w:rsid w:val="4C878429"/>
    <w:rsid w:val="4C8896EC"/>
    <w:rsid w:val="4C8FE2AB"/>
    <w:rsid w:val="4C9AF571"/>
    <w:rsid w:val="4CABCE7F"/>
    <w:rsid w:val="4CB1045B"/>
    <w:rsid w:val="4CB62F1A"/>
    <w:rsid w:val="4CB92C84"/>
    <w:rsid w:val="4CBD6BAA"/>
    <w:rsid w:val="4CD2CF7D"/>
    <w:rsid w:val="4D0436FC"/>
    <w:rsid w:val="4D072C50"/>
    <w:rsid w:val="4D1054B7"/>
    <w:rsid w:val="4D1D781F"/>
    <w:rsid w:val="4D223695"/>
    <w:rsid w:val="4D2A8637"/>
    <w:rsid w:val="4D3A7CA4"/>
    <w:rsid w:val="4D43DD5D"/>
    <w:rsid w:val="4D474AB2"/>
    <w:rsid w:val="4D4E49AD"/>
    <w:rsid w:val="4D51CFF3"/>
    <w:rsid w:val="4D6A8A3E"/>
    <w:rsid w:val="4D7650DA"/>
    <w:rsid w:val="4D7B183E"/>
    <w:rsid w:val="4D7D3381"/>
    <w:rsid w:val="4D80CD91"/>
    <w:rsid w:val="4D821034"/>
    <w:rsid w:val="4D8C3DB0"/>
    <w:rsid w:val="4D9CCF35"/>
    <w:rsid w:val="4DB4E86F"/>
    <w:rsid w:val="4DB7633F"/>
    <w:rsid w:val="4DB9BDF3"/>
    <w:rsid w:val="4DC492FD"/>
    <w:rsid w:val="4DCCECFF"/>
    <w:rsid w:val="4DD31820"/>
    <w:rsid w:val="4DE448A2"/>
    <w:rsid w:val="4DEE77DC"/>
    <w:rsid w:val="4DF4DAEF"/>
    <w:rsid w:val="4E009F30"/>
    <w:rsid w:val="4E03B5CB"/>
    <w:rsid w:val="4E0778D1"/>
    <w:rsid w:val="4E142D31"/>
    <w:rsid w:val="4E16CD32"/>
    <w:rsid w:val="4E25B8F1"/>
    <w:rsid w:val="4E31E3EB"/>
    <w:rsid w:val="4E3A2721"/>
    <w:rsid w:val="4E457DF5"/>
    <w:rsid w:val="4E49259E"/>
    <w:rsid w:val="4E4BC55A"/>
    <w:rsid w:val="4E4EFA5C"/>
    <w:rsid w:val="4E4F5138"/>
    <w:rsid w:val="4E501E7F"/>
    <w:rsid w:val="4E57A9A2"/>
    <w:rsid w:val="4E62F1DE"/>
    <w:rsid w:val="4E74272B"/>
    <w:rsid w:val="4E796971"/>
    <w:rsid w:val="4E7CBF44"/>
    <w:rsid w:val="4E87A5E7"/>
    <w:rsid w:val="4E8C97D7"/>
    <w:rsid w:val="4EA0FBF5"/>
    <w:rsid w:val="4EA2D3A2"/>
    <w:rsid w:val="4EA33000"/>
    <w:rsid w:val="4EAB69DF"/>
    <w:rsid w:val="4EAF0A50"/>
    <w:rsid w:val="4EB96846"/>
    <w:rsid w:val="4EC2EA6A"/>
    <w:rsid w:val="4EC7FEB5"/>
    <w:rsid w:val="4ED03563"/>
    <w:rsid w:val="4EDB519B"/>
    <w:rsid w:val="4EDDF3BE"/>
    <w:rsid w:val="4EE6C4EF"/>
    <w:rsid w:val="4EE82D7A"/>
    <w:rsid w:val="4EF250AF"/>
    <w:rsid w:val="4EF39DC5"/>
    <w:rsid w:val="4F047510"/>
    <w:rsid w:val="4F052996"/>
    <w:rsid w:val="4F11D7B2"/>
    <w:rsid w:val="4F1583F2"/>
    <w:rsid w:val="4F168599"/>
    <w:rsid w:val="4F1764D2"/>
    <w:rsid w:val="4F17DAF4"/>
    <w:rsid w:val="4F1B182C"/>
    <w:rsid w:val="4F211A7C"/>
    <w:rsid w:val="4F2B198F"/>
    <w:rsid w:val="4F2E337E"/>
    <w:rsid w:val="4F3A2619"/>
    <w:rsid w:val="4F3D4314"/>
    <w:rsid w:val="4F58323A"/>
    <w:rsid w:val="4F6D93C6"/>
    <w:rsid w:val="4F6E0F44"/>
    <w:rsid w:val="4F7735AF"/>
    <w:rsid w:val="4F79180A"/>
    <w:rsid w:val="4F79A2CF"/>
    <w:rsid w:val="4F7E2D67"/>
    <w:rsid w:val="4F83D35C"/>
    <w:rsid w:val="4F84B760"/>
    <w:rsid w:val="4F87AD6B"/>
    <w:rsid w:val="4F8D7556"/>
    <w:rsid w:val="4FA0A67B"/>
    <w:rsid w:val="4FA876AD"/>
    <w:rsid w:val="4FA96BAD"/>
    <w:rsid w:val="4FB52CFD"/>
    <w:rsid w:val="4FBEDC06"/>
    <w:rsid w:val="4FC21390"/>
    <w:rsid w:val="4FD24A17"/>
    <w:rsid w:val="4FEDA883"/>
    <w:rsid w:val="4FF7EF8D"/>
    <w:rsid w:val="4FFB8FFD"/>
    <w:rsid w:val="50009DE1"/>
    <w:rsid w:val="50156C20"/>
    <w:rsid w:val="5018F537"/>
    <w:rsid w:val="50193ADC"/>
    <w:rsid w:val="502418BD"/>
    <w:rsid w:val="50249941"/>
    <w:rsid w:val="502FD56F"/>
    <w:rsid w:val="5033FB5A"/>
    <w:rsid w:val="503501E4"/>
    <w:rsid w:val="503514D1"/>
    <w:rsid w:val="50458DF5"/>
    <w:rsid w:val="5048D6BD"/>
    <w:rsid w:val="504D8B34"/>
    <w:rsid w:val="5057EE7B"/>
    <w:rsid w:val="50687037"/>
    <w:rsid w:val="50731D82"/>
    <w:rsid w:val="50749FF9"/>
    <w:rsid w:val="507F4B07"/>
    <w:rsid w:val="50853297"/>
    <w:rsid w:val="50864E65"/>
    <w:rsid w:val="50916EF0"/>
    <w:rsid w:val="509576FB"/>
    <w:rsid w:val="5097C176"/>
    <w:rsid w:val="509BE560"/>
    <w:rsid w:val="509F19D2"/>
    <w:rsid w:val="50B523C0"/>
    <w:rsid w:val="50C86C8F"/>
    <w:rsid w:val="50DF0F9C"/>
    <w:rsid w:val="50DF694B"/>
    <w:rsid w:val="50E78439"/>
    <w:rsid w:val="50EF379E"/>
    <w:rsid w:val="50FE2DF3"/>
    <w:rsid w:val="510C1FAB"/>
    <w:rsid w:val="510E606A"/>
    <w:rsid w:val="51166781"/>
    <w:rsid w:val="5118AD01"/>
    <w:rsid w:val="5119BCAB"/>
    <w:rsid w:val="5119FF47"/>
    <w:rsid w:val="512BB45A"/>
    <w:rsid w:val="51318FE2"/>
    <w:rsid w:val="5146191B"/>
    <w:rsid w:val="514B834F"/>
    <w:rsid w:val="5152B749"/>
    <w:rsid w:val="515A574D"/>
    <w:rsid w:val="515C1199"/>
    <w:rsid w:val="5161FE85"/>
    <w:rsid w:val="51765E0C"/>
    <w:rsid w:val="5186F86F"/>
    <w:rsid w:val="519D40D5"/>
    <w:rsid w:val="51A29EE2"/>
    <w:rsid w:val="51AC49AE"/>
    <w:rsid w:val="51CA0B98"/>
    <w:rsid w:val="51CCE4F8"/>
    <w:rsid w:val="51D7E0B1"/>
    <w:rsid w:val="51DA96FC"/>
    <w:rsid w:val="51E3EC3E"/>
    <w:rsid w:val="51F096A0"/>
    <w:rsid w:val="51F34C0D"/>
    <w:rsid w:val="51F3ABEB"/>
    <w:rsid w:val="51F4A086"/>
    <w:rsid w:val="51F507C7"/>
    <w:rsid w:val="51FB644D"/>
    <w:rsid w:val="51FBE957"/>
    <w:rsid w:val="5203FF8A"/>
    <w:rsid w:val="5204FD50"/>
    <w:rsid w:val="520BE191"/>
    <w:rsid w:val="52227A07"/>
    <w:rsid w:val="522F2506"/>
    <w:rsid w:val="523161B5"/>
    <w:rsid w:val="5232109E"/>
    <w:rsid w:val="524135E6"/>
    <w:rsid w:val="524157F2"/>
    <w:rsid w:val="5241586A"/>
    <w:rsid w:val="524FE162"/>
    <w:rsid w:val="52607BD0"/>
    <w:rsid w:val="529B297B"/>
    <w:rsid w:val="529BF48C"/>
    <w:rsid w:val="529DC79C"/>
    <w:rsid w:val="52A6A80C"/>
    <w:rsid w:val="52AC25AB"/>
    <w:rsid w:val="52BD4E39"/>
    <w:rsid w:val="52C185FC"/>
    <w:rsid w:val="52C580B8"/>
    <w:rsid w:val="52CAF6EC"/>
    <w:rsid w:val="52CB01E5"/>
    <w:rsid w:val="52CDE6FA"/>
    <w:rsid w:val="52F9D1BC"/>
    <w:rsid w:val="52FB1CB1"/>
    <w:rsid w:val="52FD8DD3"/>
    <w:rsid w:val="5306A65E"/>
    <w:rsid w:val="53077718"/>
    <w:rsid w:val="530DA510"/>
    <w:rsid w:val="53135BEF"/>
    <w:rsid w:val="53153FAF"/>
    <w:rsid w:val="531987A8"/>
    <w:rsid w:val="53260F9D"/>
    <w:rsid w:val="5327D137"/>
    <w:rsid w:val="5327D482"/>
    <w:rsid w:val="5330C41E"/>
    <w:rsid w:val="53493F3A"/>
    <w:rsid w:val="534A6F4A"/>
    <w:rsid w:val="535772E7"/>
    <w:rsid w:val="535C95FD"/>
    <w:rsid w:val="53606E85"/>
    <w:rsid w:val="5363C217"/>
    <w:rsid w:val="5369B277"/>
    <w:rsid w:val="5371E221"/>
    <w:rsid w:val="5376DBFA"/>
    <w:rsid w:val="5389F7C4"/>
    <w:rsid w:val="538A69DF"/>
    <w:rsid w:val="538B588A"/>
    <w:rsid w:val="539017C5"/>
    <w:rsid w:val="53916BC8"/>
    <w:rsid w:val="53A85C41"/>
    <w:rsid w:val="53A9C616"/>
    <w:rsid w:val="53AC2B69"/>
    <w:rsid w:val="53B2BA10"/>
    <w:rsid w:val="53B46F23"/>
    <w:rsid w:val="53BD3688"/>
    <w:rsid w:val="53D2D4A6"/>
    <w:rsid w:val="53D52FF0"/>
    <w:rsid w:val="53D5FBFC"/>
    <w:rsid w:val="53DDAA9E"/>
    <w:rsid w:val="53E1942A"/>
    <w:rsid w:val="53E7C283"/>
    <w:rsid w:val="53F23C1D"/>
    <w:rsid w:val="53F2C410"/>
    <w:rsid w:val="53F30015"/>
    <w:rsid w:val="53F58C8B"/>
    <w:rsid w:val="53F7E9EE"/>
    <w:rsid w:val="53F87B22"/>
    <w:rsid w:val="540060F2"/>
    <w:rsid w:val="5403905E"/>
    <w:rsid w:val="54150521"/>
    <w:rsid w:val="541A17A4"/>
    <w:rsid w:val="5426A50D"/>
    <w:rsid w:val="542C5952"/>
    <w:rsid w:val="542EAFE2"/>
    <w:rsid w:val="5434B3CD"/>
    <w:rsid w:val="543B327E"/>
    <w:rsid w:val="543DCB7D"/>
    <w:rsid w:val="544DD344"/>
    <w:rsid w:val="5458523C"/>
    <w:rsid w:val="54628698"/>
    <w:rsid w:val="54739A45"/>
    <w:rsid w:val="548B7CE3"/>
    <w:rsid w:val="54989276"/>
    <w:rsid w:val="54AD0BC2"/>
    <w:rsid w:val="54AF1E3E"/>
    <w:rsid w:val="54B57F5F"/>
    <w:rsid w:val="54B86E75"/>
    <w:rsid w:val="54BA32B1"/>
    <w:rsid w:val="54BC4CC5"/>
    <w:rsid w:val="54C4C1CD"/>
    <w:rsid w:val="54C9B0BD"/>
    <w:rsid w:val="54CB9294"/>
    <w:rsid w:val="54D639A2"/>
    <w:rsid w:val="54D8451E"/>
    <w:rsid w:val="54D9B90F"/>
    <w:rsid w:val="54F203DF"/>
    <w:rsid w:val="54FB19BF"/>
    <w:rsid w:val="54FF38FC"/>
    <w:rsid w:val="55073C3C"/>
    <w:rsid w:val="55163888"/>
    <w:rsid w:val="55171ADC"/>
    <w:rsid w:val="551CC226"/>
    <w:rsid w:val="551DB2E0"/>
    <w:rsid w:val="551F4F7C"/>
    <w:rsid w:val="5528F93A"/>
    <w:rsid w:val="5531A6CF"/>
    <w:rsid w:val="5531D943"/>
    <w:rsid w:val="553A7206"/>
    <w:rsid w:val="5543A34A"/>
    <w:rsid w:val="554B276E"/>
    <w:rsid w:val="555CC21B"/>
    <w:rsid w:val="555CF0F9"/>
    <w:rsid w:val="555D5008"/>
    <w:rsid w:val="555E2D63"/>
    <w:rsid w:val="5563E499"/>
    <w:rsid w:val="55645B39"/>
    <w:rsid w:val="556A4E2A"/>
    <w:rsid w:val="557B1AEC"/>
    <w:rsid w:val="557DD4DC"/>
    <w:rsid w:val="557FA80F"/>
    <w:rsid w:val="558474C8"/>
    <w:rsid w:val="558D7CA6"/>
    <w:rsid w:val="5599C476"/>
    <w:rsid w:val="55A0F3AB"/>
    <w:rsid w:val="55A5A60D"/>
    <w:rsid w:val="55B3AB8F"/>
    <w:rsid w:val="55B803D4"/>
    <w:rsid w:val="55BB39D4"/>
    <w:rsid w:val="55BC4607"/>
    <w:rsid w:val="55EDD847"/>
    <w:rsid w:val="55FDDDF9"/>
    <w:rsid w:val="560288B7"/>
    <w:rsid w:val="5602901E"/>
    <w:rsid w:val="56050F28"/>
    <w:rsid w:val="560EFE85"/>
    <w:rsid w:val="560F1D23"/>
    <w:rsid w:val="5616C56C"/>
    <w:rsid w:val="561AFF0E"/>
    <w:rsid w:val="561BB48A"/>
    <w:rsid w:val="56277FC8"/>
    <w:rsid w:val="5632ED9D"/>
    <w:rsid w:val="564692B0"/>
    <w:rsid w:val="564A2689"/>
    <w:rsid w:val="5654D29B"/>
    <w:rsid w:val="565F0A3F"/>
    <w:rsid w:val="56691CC9"/>
    <w:rsid w:val="5677E692"/>
    <w:rsid w:val="56787A01"/>
    <w:rsid w:val="5679E6B4"/>
    <w:rsid w:val="567E95D6"/>
    <w:rsid w:val="568359D7"/>
    <w:rsid w:val="569F35C8"/>
    <w:rsid w:val="56A97258"/>
    <w:rsid w:val="56AB7789"/>
    <w:rsid w:val="56AFF806"/>
    <w:rsid w:val="56B4E15E"/>
    <w:rsid w:val="56BF8C0A"/>
    <w:rsid w:val="56C41405"/>
    <w:rsid w:val="56D14A05"/>
    <w:rsid w:val="56D2EB2C"/>
    <w:rsid w:val="56D2FF7D"/>
    <w:rsid w:val="56D7D7A2"/>
    <w:rsid w:val="56D97E20"/>
    <w:rsid w:val="56D9C1A2"/>
    <w:rsid w:val="56DE0ABC"/>
    <w:rsid w:val="56E6DA84"/>
    <w:rsid w:val="56E79FF4"/>
    <w:rsid w:val="56EDBC1B"/>
    <w:rsid w:val="571B525B"/>
    <w:rsid w:val="5720B61F"/>
    <w:rsid w:val="574353B7"/>
    <w:rsid w:val="57465147"/>
    <w:rsid w:val="57476D85"/>
    <w:rsid w:val="574A503E"/>
    <w:rsid w:val="574FE927"/>
    <w:rsid w:val="575063F4"/>
    <w:rsid w:val="5752AC3A"/>
    <w:rsid w:val="5760B6A3"/>
    <w:rsid w:val="5766C10B"/>
    <w:rsid w:val="576A1902"/>
    <w:rsid w:val="577E76F3"/>
    <w:rsid w:val="57848237"/>
    <w:rsid w:val="578B53DE"/>
    <w:rsid w:val="578FEFE0"/>
    <w:rsid w:val="579BBA34"/>
    <w:rsid w:val="57A21180"/>
    <w:rsid w:val="57AAEA03"/>
    <w:rsid w:val="57BAED73"/>
    <w:rsid w:val="57BD0457"/>
    <w:rsid w:val="57D5EBAE"/>
    <w:rsid w:val="57D8866D"/>
    <w:rsid w:val="57D91FCB"/>
    <w:rsid w:val="57DDCCE0"/>
    <w:rsid w:val="57E85D50"/>
    <w:rsid w:val="57F6EB09"/>
    <w:rsid w:val="57F78D8A"/>
    <w:rsid w:val="57FB65E1"/>
    <w:rsid w:val="57FED271"/>
    <w:rsid w:val="58032A60"/>
    <w:rsid w:val="5810D244"/>
    <w:rsid w:val="5814317F"/>
    <w:rsid w:val="5819E541"/>
    <w:rsid w:val="5819E9FC"/>
    <w:rsid w:val="581C9055"/>
    <w:rsid w:val="582649C3"/>
    <w:rsid w:val="582941D6"/>
    <w:rsid w:val="5831913B"/>
    <w:rsid w:val="583DF1A9"/>
    <w:rsid w:val="5846CF67"/>
    <w:rsid w:val="5847FEF1"/>
    <w:rsid w:val="58542611"/>
    <w:rsid w:val="5865451F"/>
    <w:rsid w:val="58666A19"/>
    <w:rsid w:val="58667267"/>
    <w:rsid w:val="586EB943"/>
    <w:rsid w:val="587179C6"/>
    <w:rsid w:val="58763D81"/>
    <w:rsid w:val="5886BDFA"/>
    <w:rsid w:val="58870ADF"/>
    <w:rsid w:val="588A7E47"/>
    <w:rsid w:val="588AFF14"/>
    <w:rsid w:val="589A6B1A"/>
    <w:rsid w:val="58B27D30"/>
    <w:rsid w:val="58C3E5F0"/>
    <w:rsid w:val="58CD0A1E"/>
    <w:rsid w:val="58D345AD"/>
    <w:rsid w:val="58DDBBDE"/>
    <w:rsid w:val="58E4B59D"/>
    <w:rsid w:val="58EC44E6"/>
    <w:rsid w:val="58EDA2BA"/>
    <w:rsid w:val="58F8A8E1"/>
    <w:rsid w:val="590352E7"/>
    <w:rsid w:val="5904F67D"/>
    <w:rsid w:val="5915CE57"/>
    <w:rsid w:val="59233D06"/>
    <w:rsid w:val="59286A0F"/>
    <w:rsid w:val="5933C942"/>
    <w:rsid w:val="59401025"/>
    <w:rsid w:val="59485B2B"/>
    <w:rsid w:val="59667CF6"/>
    <w:rsid w:val="597E0E0A"/>
    <w:rsid w:val="5980BD33"/>
    <w:rsid w:val="5980F0DE"/>
    <w:rsid w:val="59895AB5"/>
    <w:rsid w:val="59905E4F"/>
    <w:rsid w:val="59A1AD24"/>
    <w:rsid w:val="59B57D7D"/>
    <w:rsid w:val="59BAFBE5"/>
    <w:rsid w:val="59BEB981"/>
    <w:rsid w:val="59C69BF4"/>
    <w:rsid w:val="59C9A91B"/>
    <w:rsid w:val="59CADCBE"/>
    <w:rsid w:val="59CDCCB4"/>
    <w:rsid w:val="59D20481"/>
    <w:rsid w:val="59D6DBFA"/>
    <w:rsid w:val="59DF817A"/>
    <w:rsid w:val="59DF8751"/>
    <w:rsid w:val="59E6DD5B"/>
    <w:rsid w:val="59EEFDDE"/>
    <w:rsid w:val="59F3F053"/>
    <w:rsid w:val="5A06E98B"/>
    <w:rsid w:val="5A16B80C"/>
    <w:rsid w:val="5A1B9DE1"/>
    <w:rsid w:val="5A1C1609"/>
    <w:rsid w:val="5A1F064C"/>
    <w:rsid w:val="5A20D6E9"/>
    <w:rsid w:val="5A35E5AF"/>
    <w:rsid w:val="5A3DBDA9"/>
    <w:rsid w:val="5A47E84D"/>
    <w:rsid w:val="5A5EC239"/>
    <w:rsid w:val="5A60DD8A"/>
    <w:rsid w:val="5A66F22F"/>
    <w:rsid w:val="5A6C4D16"/>
    <w:rsid w:val="5A6E36C0"/>
    <w:rsid w:val="5A6F8B08"/>
    <w:rsid w:val="5A7215B6"/>
    <w:rsid w:val="5A77634F"/>
    <w:rsid w:val="5A79720A"/>
    <w:rsid w:val="5A8CA6D6"/>
    <w:rsid w:val="5A8D1EBC"/>
    <w:rsid w:val="5A91908E"/>
    <w:rsid w:val="5AA47697"/>
    <w:rsid w:val="5AA872D8"/>
    <w:rsid w:val="5AA9C558"/>
    <w:rsid w:val="5AAB3CEC"/>
    <w:rsid w:val="5AC86E5C"/>
    <w:rsid w:val="5ACDC803"/>
    <w:rsid w:val="5AD14023"/>
    <w:rsid w:val="5AD2AEDD"/>
    <w:rsid w:val="5AF4EB98"/>
    <w:rsid w:val="5B09B385"/>
    <w:rsid w:val="5B0C73B4"/>
    <w:rsid w:val="5B0FF6AA"/>
    <w:rsid w:val="5B13B09E"/>
    <w:rsid w:val="5B238E65"/>
    <w:rsid w:val="5B28DFE1"/>
    <w:rsid w:val="5B2B518B"/>
    <w:rsid w:val="5B30652C"/>
    <w:rsid w:val="5B38C230"/>
    <w:rsid w:val="5B6BA1FB"/>
    <w:rsid w:val="5B772F59"/>
    <w:rsid w:val="5B8B54BF"/>
    <w:rsid w:val="5B8BE5B9"/>
    <w:rsid w:val="5B945270"/>
    <w:rsid w:val="5B9FCBE4"/>
    <w:rsid w:val="5BA29476"/>
    <w:rsid w:val="5BAFFD99"/>
    <w:rsid w:val="5BB79A42"/>
    <w:rsid w:val="5BC0CFED"/>
    <w:rsid w:val="5BC5F580"/>
    <w:rsid w:val="5BC6F264"/>
    <w:rsid w:val="5BCDA2C6"/>
    <w:rsid w:val="5BD344AE"/>
    <w:rsid w:val="5BD8895F"/>
    <w:rsid w:val="5BE57F4B"/>
    <w:rsid w:val="5BE62410"/>
    <w:rsid w:val="5BF43A1D"/>
    <w:rsid w:val="5C016415"/>
    <w:rsid w:val="5C0FFE24"/>
    <w:rsid w:val="5C24867D"/>
    <w:rsid w:val="5C280AEB"/>
    <w:rsid w:val="5C45B65C"/>
    <w:rsid w:val="5C4E9337"/>
    <w:rsid w:val="5C615939"/>
    <w:rsid w:val="5C66B312"/>
    <w:rsid w:val="5C6A2127"/>
    <w:rsid w:val="5C7EB565"/>
    <w:rsid w:val="5C7F4FC8"/>
    <w:rsid w:val="5C808844"/>
    <w:rsid w:val="5C876FDE"/>
    <w:rsid w:val="5C8E0D9F"/>
    <w:rsid w:val="5C8E75EE"/>
    <w:rsid w:val="5C91C817"/>
    <w:rsid w:val="5C9202C2"/>
    <w:rsid w:val="5CA8090C"/>
    <w:rsid w:val="5CAB483F"/>
    <w:rsid w:val="5CAED77A"/>
    <w:rsid w:val="5CB24B5C"/>
    <w:rsid w:val="5CB913D2"/>
    <w:rsid w:val="5CC0DC7C"/>
    <w:rsid w:val="5CC4AD1B"/>
    <w:rsid w:val="5CC573BD"/>
    <w:rsid w:val="5CC82751"/>
    <w:rsid w:val="5CCF8B31"/>
    <w:rsid w:val="5CE02518"/>
    <w:rsid w:val="5CE523DF"/>
    <w:rsid w:val="5CE88D30"/>
    <w:rsid w:val="5CEA4A56"/>
    <w:rsid w:val="5CEDBC3F"/>
    <w:rsid w:val="5D00B582"/>
    <w:rsid w:val="5D06AA32"/>
    <w:rsid w:val="5D0D9484"/>
    <w:rsid w:val="5D1BABE6"/>
    <w:rsid w:val="5D270C4B"/>
    <w:rsid w:val="5D34E284"/>
    <w:rsid w:val="5D48DF05"/>
    <w:rsid w:val="5D51FCE5"/>
    <w:rsid w:val="5D522A09"/>
    <w:rsid w:val="5D5303A3"/>
    <w:rsid w:val="5D56535B"/>
    <w:rsid w:val="5D56F248"/>
    <w:rsid w:val="5D598D89"/>
    <w:rsid w:val="5D74EA02"/>
    <w:rsid w:val="5D79A559"/>
    <w:rsid w:val="5D838FBD"/>
    <w:rsid w:val="5D8B051A"/>
    <w:rsid w:val="5D8BF758"/>
    <w:rsid w:val="5D8C2421"/>
    <w:rsid w:val="5D8D489C"/>
    <w:rsid w:val="5D9EDA3B"/>
    <w:rsid w:val="5DA352C2"/>
    <w:rsid w:val="5DA4971C"/>
    <w:rsid w:val="5DAE284A"/>
    <w:rsid w:val="5DCA7530"/>
    <w:rsid w:val="5DCDD804"/>
    <w:rsid w:val="5DD5B0FF"/>
    <w:rsid w:val="5DD7EBB6"/>
    <w:rsid w:val="5DDBC386"/>
    <w:rsid w:val="5DDDF3A4"/>
    <w:rsid w:val="5DE12CAA"/>
    <w:rsid w:val="5DE61359"/>
    <w:rsid w:val="5DE7F16B"/>
    <w:rsid w:val="5DEE2C43"/>
    <w:rsid w:val="5DFAC2CA"/>
    <w:rsid w:val="5DFD88FD"/>
    <w:rsid w:val="5E1D4C55"/>
    <w:rsid w:val="5E3A843A"/>
    <w:rsid w:val="5E3EE154"/>
    <w:rsid w:val="5E42A9D7"/>
    <w:rsid w:val="5E42CCEF"/>
    <w:rsid w:val="5E4AB75F"/>
    <w:rsid w:val="5E5B7666"/>
    <w:rsid w:val="5E5FADB0"/>
    <w:rsid w:val="5E763C7D"/>
    <w:rsid w:val="5E7B2260"/>
    <w:rsid w:val="5E831CBB"/>
    <w:rsid w:val="5E85F92A"/>
    <w:rsid w:val="5E8704AB"/>
    <w:rsid w:val="5E8CD493"/>
    <w:rsid w:val="5E92D653"/>
    <w:rsid w:val="5E92F610"/>
    <w:rsid w:val="5E93C335"/>
    <w:rsid w:val="5E969179"/>
    <w:rsid w:val="5E96ADBA"/>
    <w:rsid w:val="5E9F834B"/>
    <w:rsid w:val="5EAB85E5"/>
    <w:rsid w:val="5EAE7AD9"/>
    <w:rsid w:val="5EB9B52A"/>
    <w:rsid w:val="5EBFA5F3"/>
    <w:rsid w:val="5EC77D0E"/>
    <w:rsid w:val="5ED0C3C2"/>
    <w:rsid w:val="5ED153F6"/>
    <w:rsid w:val="5ED71983"/>
    <w:rsid w:val="5EE0F216"/>
    <w:rsid w:val="5EE301A5"/>
    <w:rsid w:val="5EE6FA02"/>
    <w:rsid w:val="5F0BB755"/>
    <w:rsid w:val="5F0EA402"/>
    <w:rsid w:val="5F14E654"/>
    <w:rsid w:val="5F1C3D70"/>
    <w:rsid w:val="5F44ECD9"/>
    <w:rsid w:val="5F483AD8"/>
    <w:rsid w:val="5F56CC42"/>
    <w:rsid w:val="5F57E70C"/>
    <w:rsid w:val="5F5ED55D"/>
    <w:rsid w:val="5F5F819E"/>
    <w:rsid w:val="5F606F49"/>
    <w:rsid w:val="5F6B48F4"/>
    <w:rsid w:val="5F6DCA69"/>
    <w:rsid w:val="5F6DF69A"/>
    <w:rsid w:val="5F6FB18D"/>
    <w:rsid w:val="5F7716FD"/>
    <w:rsid w:val="5F83187F"/>
    <w:rsid w:val="5F8D089A"/>
    <w:rsid w:val="5F9192D1"/>
    <w:rsid w:val="5F93C18B"/>
    <w:rsid w:val="5F9FC187"/>
    <w:rsid w:val="5FA3B61C"/>
    <w:rsid w:val="5FA5E28D"/>
    <w:rsid w:val="5FA7A001"/>
    <w:rsid w:val="5FAFA3B5"/>
    <w:rsid w:val="5FB035A4"/>
    <w:rsid w:val="5FBF832E"/>
    <w:rsid w:val="5FBFA1F1"/>
    <w:rsid w:val="5FC3BA55"/>
    <w:rsid w:val="5FC5CB92"/>
    <w:rsid w:val="5FDC7A05"/>
    <w:rsid w:val="5FF2D057"/>
    <w:rsid w:val="5FF6535C"/>
    <w:rsid w:val="5FFF1A26"/>
    <w:rsid w:val="60045F7F"/>
    <w:rsid w:val="601AC7EA"/>
    <w:rsid w:val="601C2898"/>
    <w:rsid w:val="601C9241"/>
    <w:rsid w:val="6029022A"/>
    <w:rsid w:val="60321548"/>
    <w:rsid w:val="60371AD6"/>
    <w:rsid w:val="604D6550"/>
    <w:rsid w:val="604FF31C"/>
    <w:rsid w:val="6052C0A2"/>
    <w:rsid w:val="60559713"/>
    <w:rsid w:val="60565702"/>
    <w:rsid w:val="605FC15D"/>
    <w:rsid w:val="6072CDEA"/>
    <w:rsid w:val="6072F634"/>
    <w:rsid w:val="60883D36"/>
    <w:rsid w:val="608BFEF7"/>
    <w:rsid w:val="609C0F4F"/>
    <w:rsid w:val="60ADD8E8"/>
    <w:rsid w:val="60B11A53"/>
    <w:rsid w:val="60B416A5"/>
    <w:rsid w:val="60B7C165"/>
    <w:rsid w:val="60CD401F"/>
    <w:rsid w:val="60D782A1"/>
    <w:rsid w:val="60D90F0D"/>
    <w:rsid w:val="60DF7C00"/>
    <w:rsid w:val="60E4C8CE"/>
    <w:rsid w:val="60E82DD7"/>
    <w:rsid w:val="60EF0A6E"/>
    <w:rsid w:val="60EF7E3D"/>
    <w:rsid w:val="60F4D289"/>
    <w:rsid w:val="60F8CA12"/>
    <w:rsid w:val="60F9C567"/>
    <w:rsid w:val="6100B37E"/>
    <w:rsid w:val="61015B3B"/>
    <w:rsid w:val="610402AB"/>
    <w:rsid w:val="61080562"/>
    <w:rsid w:val="610E71D7"/>
    <w:rsid w:val="6112E6CC"/>
    <w:rsid w:val="6119E580"/>
    <w:rsid w:val="611CF6BE"/>
    <w:rsid w:val="6124CCAF"/>
    <w:rsid w:val="6139B146"/>
    <w:rsid w:val="61457F5C"/>
    <w:rsid w:val="614D1B49"/>
    <w:rsid w:val="61524612"/>
    <w:rsid w:val="61669AC7"/>
    <w:rsid w:val="616CC400"/>
    <w:rsid w:val="616D7520"/>
    <w:rsid w:val="616F5F55"/>
    <w:rsid w:val="617890B0"/>
    <w:rsid w:val="617DA460"/>
    <w:rsid w:val="61883850"/>
    <w:rsid w:val="618C3CC7"/>
    <w:rsid w:val="619DEDE9"/>
    <w:rsid w:val="61AC0DC0"/>
    <w:rsid w:val="61BE5472"/>
    <w:rsid w:val="61C0ACFB"/>
    <w:rsid w:val="61CD3D85"/>
    <w:rsid w:val="61CD78DB"/>
    <w:rsid w:val="61D65E50"/>
    <w:rsid w:val="61E2DA9A"/>
    <w:rsid w:val="61EB8EA3"/>
    <w:rsid w:val="61F6D125"/>
    <w:rsid w:val="61F87EF4"/>
    <w:rsid w:val="61FB896C"/>
    <w:rsid w:val="62070EFE"/>
    <w:rsid w:val="6208FB68"/>
    <w:rsid w:val="62231BBC"/>
    <w:rsid w:val="62268B2C"/>
    <w:rsid w:val="6229381D"/>
    <w:rsid w:val="623A6EF8"/>
    <w:rsid w:val="6242FCFD"/>
    <w:rsid w:val="624351AB"/>
    <w:rsid w:val="62534D2A"/>
    <w:rsid w:val="62572528"/>
    <w:rsid w:val="628C6E0F"/>
    <w:rsid w:val="62ABA282"/>
    <w:rsid w:val="62B7C546"/>
    <w:rsid w:val="62BA7F25"/>
    <w:rsid w:val="62BCDA55"/>
    <w:rsid w:val="62E2BAF1"/>
    <w:rsid w:val="62FD5DE6"/>
    <w:rsid w:val="62FF8E01"/>
    <w:rsid w:val="63095A72"/>
    <w:rsid w:val="630AC583"/>
    <w:rsid w:val="630F0484"/>
    <w:rsid w:val="63136226"/>
    <w:rsid w:val="631DA8AA"/>
    <w:rsid w:val="6336BCAE"/>
    <w:rsid w:val="633E108B"/>
    <w:rsid w:val="6342530D"/>
    <w:rsid w:val="634A014C"/>
    <w:rsid w:val="6355A51A"/>
    <w:rsid w:val="635D55D7"/>
    <w:rsid w:val="635F664A"/>
    <w:rsid w:val="6363BC77"/>
    <w:rsid w:val="6381C15C"/>
    <w:rsid w:val="6383C813"/>
    <w:rsid w:val="63842A7E"/>
    <w:rsid w:val="63855BAE"/>
    <w:rsid w:val="638CA3DD"/>
    <w:rsid w:val="6390537C"/>
    <w:rsid w:val="63A1B19F"/>
    <w:rsid w:val="63A4176C"/>
    <w:rsid w:val="63A4F59B"/>
    <w:rsid w:val="63AB7149"/>
    <w:rsid w:val="63AD9BBF"/>
    <w:rsid w:val="63BB5844"/>
    <w:rsid w:val="63C28FEB"/>
    <w:rsid w:val="63C893E1"/>
    <w:rsid w:val="63C8D480"/>
    <w:rsid w:val="63C9ED9E"/>
    <w:rsid w:val="63D7B6FE"/>
    <w:rsid w:val="63E00DF5"/>
    <w:rsid w:val="63E1554B"/>
    <w:rsid w:val="63F21203"/>
    <w:rsid w:val="63F58CA2"/>
    <w:rsid w:val="6402C0AF"/>
    <w:rsid w:val="64066C5F"/>
    <w:rsid w:val="6416C066"/>
    <w:rsid w:val="6421D7D3"/>
    <w:rsid w:val="6422E824"/>
    <w:rsid w:val="64412279"/>
    <w:rsid w:val="6448355C"/>
    <w:rsid w:val="64526435"/>
    <w:rsid w:val="645F2846"/>
    <w:rsid w:val="6464859C"/>
    <w:rsid w:val="646534B3"/>
    <w:rsid w:val="64682DB1"/>
    <w:rsid w:val="6472E32E"/>
    <w:rsid w:val="6473806D"/>
    <w:rsid w:val="64929C6A"/>
    <w:rsid w:val="64944593"/>
    <w:rsid w:val="64984865"/>
    <w:rsid w:val="64A67D0A"/>
    <w:rsid w:val="64A7BA8E"/>
    <w:rsid w:val="64A80F8C"/>
    <w:rsid w:val="64A9EB44"/>
    <w:rsid w:val="64AA310B"/>
    <w:rsid w:val="64C049EB"/>
    <w:rsid w:val="64C1B981"/>
    <w:rsid w:val="64C428FA"/>
    <w:rsid w:val="64CE885D"/>
    <w:rsid w:val="64E07EAB"/>
    <w:rsid w:val="64E21A74"/>
    <w:rsid w:val="64E3C1A8"/>
    <w:rsid w:val="64E7BC0E"/>
    <w:rsid w:val="64E909FE"/>
    <w:rsid w:val="64EDD2A9"/>
    <w:rsid w:val="64EE02C4"/>
    <w:rsid w:val="64F1A8BA"/>
    <w:rsid w:val="64F89045"/>
    <w:rsid w:val="65083A58"/>
    <w:rsid w:val="65163DC9"/>
    <w:rsid w:val="65195342"/>
    <w:rsid w:val="651B9373"/>
    <w:rsid w:val="651FA111"/>
    <w:rsid w:val="6526A434"/>
    <w:rsid w:val="652EB214"/>
    <w:rsid w:val="6531DC3E"/>
    <w:rsid w:val="65364AB7"/>
    <w:rsid w:val="653C3FBD"/>
    <w:rsid w:val="653F61CB"/>
    <w:rsid w:val="6549C275"/>
    <w:rsid w:val="65522034"/>
    <w:rsid w:val="6561A50A"/>
    <w:rsid w:val="6566A017"/>
    <w:rsid w:val="656CFDC6"/>
    <w:rsid w:val="657D243C"/>
    <w:rsid w:val="658A7B44"/>
    <w:rsid w:val="659561F0"/>
    <w:rsid w:val="6598D825"/>
    <w:rsid w:val="659AAE7E"/>
    <w:rsid w:val="659B2992"/>
    <w:rsid w:val="65A07D9E"/>
    <w:rsid w:val="65A6E2E2"/>
    <w:rsid w:val="65AEDA74"/>
    <w:rsid w:val="65B33629"/>
    <w:rsid w:val="65B4BE2E"/>
    <w:rsid w:val="65B8FADD"/>
    <w:rsid w:val="65BDE6A0"/>
    <w:rsid w:val="65C009F8"/>
    <w:rsid w:val="65C62E17"/>
    <w:rsid w:val="65D2C0EC"/>
    <w:rsid w:val="65D4B974"/>
    <w:rsid w:val="65DE495E"/>
    <w:rsid w:val="65EA5B7D"/>
    <w:rsid w:val="65EA7693"/>
    <w:rsid w:val="65EC34D9"/>
    <w:rsid w:val="65ECF2B4"/>
    <w:rsid w:val="65F985EA"/>
    <w:rsid w:val="66098958"/>
    <w:rsid w:val="660FED54"/>
    <w:rsid w:val="66228886"/>
    <w:rsid w:val="662A78D9"/>
    <w:rsid w:val="662A7BD2"/>
    <w:rsid w:val="66516DD0"/>
    <w:rsid w:val="6657B04D"/>
    <w:rsid w:val="6660768C"/>
    <w:rsid w:val="6662FAEB"/>
    <w:rsid w:val="666416C6"/>
    <w:rsid w:val="6664CC24"/>
    <w:rsid w:val="6680393E"/>
    <w:rsid w:val="668263B0"/>
    <w:rsid w:val="66837EDF"/>
    <w:rsid w:val="6689F850"/>
    <w:rsid w:val="6691A61C"/>
    <w:rsid w:val="6695473E"/>
    <w:rsid w:val="669A0250"/>
    <w:rsid w:val="669F160F"/>
    <w:rsid w:val="66A03604"/>
    <w:rsid w:val="66A119F8"/>
    <w:rsid w:val="66AE722E"/>
    <w:rsid w:val="66C3B7C8"/>
    <w:rsid w:val="66D4E0C0"/>
    <w:rsid w:val="66FAD6C9"/>
    <w:rsid w:val="66FF7007"/>
    <w:rsid w:val="670F99F6"/>
    <w:rsid w:val="67148A55"/>
    <w:rsid w:val="671701CC"/>
    <w:rsid w:val="671C7A08"/>
    <w:rsid w:val="6722C331"/>
    <w:rsid w:val="6724EDF7"/>
    <w:rsid w:val="672AE4B9"/>
    <w:rsid w:val="67300379"/>
    <w:rsid w:val="673F9CF7"/>
    <w:rsid w:val="674E9647"/>
    <w:rsid w:val="674EF886"/>
    <w:rsid w:val="67559A49"/>
    <w:rsid w:val="6757574F"/>
    <w:rsid w:val="675DD82B"/>
    <w:rsid w:val="676B3E0D"/>
    <w:rsid w:val="677281B8"/>
    <w:rsid w:val="6775EDC4"/>
    <w:rsid w:val="6780E727"/>
    <w:rsid w:val="678A9A15"/>
    <w:rsid w:val="678FF8C3"/>
    <w:rsid w:val="67B14571"/>
    <w:rsid w:val="67B5ECCD"/>
    <w:rsid w:val="67B7BC50"/>
    <w:rsid w:val="67BD791A"/>
    <w:rsid w:val="67BD8C1B"/>
    <w:rsid w:val="67CC1BBF"/>
    <w:rsid w:val="67D01585"/>
    <w:rsid w:val="67D42247"/>
    <w:rsid w:val="67F31261"/>
    <w:rsid w:val="67F551FD"/>
    <w:rsid w:val="67FC8295"/>
    <w:rsid w:val="67FE56A2"/>
    <w:rsid w:val="6807ED49"/>
    <w:rsid w:val="680BE8C0"/>
    <w:rsid w:val="681A72BF"/>
    <w:rsid w:val="681C3A86"/>
    <w:rsid w:val="68335280"/>
    <w:rsid w:val="6839B63B"/>
    <w:rsid w:val="68451609"/>
    <w:rsid w:val="68457EE1"/>
    <w:rsid w:val="685D84D7"/>
    <w:rsid w:val="6862FE7F"/>
    <w:rsid w:val="6864C307"/>
    <w:rsid w:val="686630F0"/>
    <w:rsid w:val="6871E6CF"/>
    <w:rsid w:val="6874DBBE"/>
    <w:rsid w:val="68814EE9"/>
    <w:rsid w:val="68827482"/>
    <w:rsid w:val="688D6379"/>
    <w:rsid w:val="689856F6"/>
    <w:rsid w:val="68A2A894"/>
    <w:rsid w:val="68AE7F7C"/>
    <w:rsid w:val="68BA6C54"/>
    <w:rsid w:val="68BC500A"/>
    <w:rsid w:val="68C32BC9"/>
    <w:rsid w:val="68D0E753"/>
    <w:rsid w:val="68D16972"/>
    <w:rsid w:val="68D3005C"/>
    <w:rsid w:val="68DC14E7"/>
    <w:rsid w:val="68E2B6E1"/>
    <w:rsid w:val="68E4CDEB"/>
    <w:rsid w:val="690F0BCA"/>
    <w:rsid w:val="69283D05"/>
    <w:rsid w:val="69318B4B"/>
    <w:rsid w:val="6931EA7C"/>
    <w:rsid w:val="69325FA2"/>
    <w:rsid w:val="693763E5"/>
    <w:rsid w:val="693792E9"/>
    <w:rsid w:val="693918C0"/>
    <w:rsid w:val="69400AEE"/>
    <w:rsid w:val="6947EC33"/>
    <w:rsid w:val="694E4022"/>
    <w:rsid w:val="695C0135"/>
    <w:rsid w:val="696D96E9"/>
    <w:rsid w:val="6994E3BD"/>
    <w:rsid w:val="699948EB"/>
    <w:rsid w:val="69A9C81C"/>
    <w:rsid w:val="69A9DCDE"/>
    <w:rsid w:val="69B02B7B"/>
    <w:rsid w:val="69B08E33"/>
    <w:rsid w:val="69B6E8E5"/>
    <w:rsid w:val="69C208A6"/>
    <w:rsid w:val="69C32700"/>
    <w:rsid w:val="69C60DE2"/>
    <w:rsid w:val="69D74D17"/>
    <w:rsid w:val="69DCAEA7"/>
    <w:rsid w:val="69DDFD7A"/>
    <w:rsid w:val="69E4FC52"/>
    <w:rsid w:val="69EBB7FE"/>
    <w:rsid w:val="69F37447"/>
    <w:rsid w:val="6A0427DA"/>
    <w:rsid w:val="6A09CC42"/>
    <w:rsid w:val="6A0A4832"/>
    <w:rsid w:val="6A0AF170"/>
    <w:rsid w:val="6A1957F8"/>
    <w:rsid w:val="6A1F536A"/>
    <w:rsid w:val="6A203BC6"/>
    <w:rsid w:val="6A23F641"/>
    <w:rsid w:val="6A34D722"/>
    <w:rsid w:val="6A3D3093"/>
    <w:rsid w:val="6A531093"/>
    <w:rsid w:val="6A54E538"/>
    <w:rsid w:val="6A6107A5"/>
    <w:rsid w:val="6A61AB21"/>
    <w:rsid w:val="6A6905F1"/>
    <w:rsid w:val="6A697FA9"/>
    <w:rsid w:val="6A7A7457"/>
    <w:rsid w:val="6A7A7F29"/>
    <w:rsid w:val="6A7FC178"/>
    <w:rsid w:val="6A813974"/>
    <w:rsid w:val="6A8D7F06"/>
    <w:rsid w:val="6A8DC5DC"/>
    <w:rsid w:val="6AAEB80D"/>
    <w:rsid w:val="6ABCD10D"/>
    <w:rsid w:val="6ABDC4AE"/>
    <w:rsid w:val="6AD21AEC"/>
    <w:rsid w:val="6AE0D415"/>
    <w:rsid w:val="6AE18FB6"/>
    <w:rsid w:val="6AE36A7B"/>
    <w:rsid w:val="6AE54BFC"/>
    <w:rsid w:val="6AF73E20"/>
    <w:rsid w:val="6AFBE79C"/>
    <w:rsid w:val="6AFDF8AC"/>
    <w:rsid w:val="6AFE0207"/>
    <w:rsid w:val="6B0C388F"/>
    <w:rsid w:val="6B11F275"/>
    <w:rsid w:val="6B15CA20"/>
    <w:rsid w:val="6B1E3D19"/>
    <w:rsid w:val="6B33EFB9"/>
    <w:rsid w:val="6B3A3274"/>
    <w:rsid w:val="6B407CF9"/>
    <w:rsid w:val="6B43D488"/>
    <w:rsid w:val="6B472CA7"/>
    <w:rsid w:val="6B4FEB05"/>
    <w:rsid w:val="6B55B7E8"/>
    <w:rsid w:val="6B5E3AC2"/>
    <w:rsid w:val="6B6B1798"/>
    <w:rsid w:val="6B73475E"/>
    <w:rsid w:val="6B7EF536"/>
    <w:rsid w:val="6B94A50A"/>
    <w:rsid w:val="6BA3DABE"/>
    <w:rsid w:val="6BA9CA6A"/>
    <w:rsid w:val="6BB65F4F"/>
    <w:rsid w:val="6BC64351"/>
    <w:rsid w:val="6BD31899"/>
    <w:rsid w:val="6BD8F1F2"/>
    <w:rsid w:val="6BD91D12"/>
    <w:rsid w:val="6BDC32B4"/>
    <w:rsid w:val="6BE42125"/>
    <w:rsid w:val="6BE44774"/>
    <w:rsid w:val="6BEE4D3B"/>
    <w:rsid w:val="6BF96A9E"/>
    <w:rsid w:val="6C0541D8"/>
    <w:rsid w:val="6C26AB56"/>
    <w:rsid w:val="6C3057AA"/>
    <w:rsid w:val="6C32A169"/>
    <w:rsid w:val="6C45284D"/>
    <w:rsid w:val="6C5049CB"/>
    <w:rsid w:val="6C51BDB7"/>
    <w:rsid w:val="6C59D0AE"/>
    <w:rsid w:val="6C5E856B"/>
    <w:rsid w:val="6C5FD46F"/>
    <w:rsid w:val="6C65292F"/>
    <w:rsid w:val="6C6DEB60"/>
    <w:rsid w:val="6C6E1437"/>
    <w:rsid w:val="6C72F28F"/>
    <w:rsid w:val="6C76F91C"/>
    <w:rsid w:val="6C7AE36A"/>
    <w:rsid w:val="6C8EFCE4"/>
    <w:rsid w:val="6C9940A6"/>
    <w:rsid w:val="6CA568DB"/>
    <w:rsid w:val="6CA57CFE"/>
    <w:rsid w:val="6CA91C31"/>
    <w:rsid w:val="6CB024EF"/>
    <w:rsid w:val="6CBFFB75"/>
    <w:rsid w:val="6CC104BD"/>
    <w:rsid w:val="6CC7F600"/>
    <w:rsid w:val="6CD44229"/>
    <w:rsid w:val="6CD6EF89"/>
    <w:rsid w:val="6CDDD449"/>
    <w:rsid w:val="6CEED54F"/>
    <w:rsid w:val="6CF4928A"/>
    <w:rsid w:val="6CFFCA3C"/>
    <w:rsid w:val="6D078414"/>
    <w:rsid w:val="6D1BA212"/>
    <w:rsid w:val="6D1E62A4"/>
    <w:rsid w:val="6D2565D7"/>
    <w:rsid w:val="6D32213B"/>
    <w:rsid w:val="6D38A400"/>
    <w:rsid w:val="6D4B5BB4"/>
    <w:rsid w:val="6D5AFB81"/>
    <w:rsid w:val="6D5BD42C"/>
    <w:rsid w:val="6D6AEDBB"/>
    <w:rsid w:val="6D6E5044"/>
    <w:rsid w:val="6D7052E9"/>
    <w:rsid w:val="6D7E89B6"/>
    <w:rsid w:val="6D814CE3"/>
    <w:rsid w:val="6D8178BD"/>
    <w:rsid w:val="6D86DC9C"/>
    <w:rsid w:val="6D876C07"/>
    <w:rsid w:val="6D8CC8F4"/>
    <w:rsid w:val="6D8DE20C"/>
    <w:rsid w:val="6D8E8B27"/>
    <w:rsid w:val="6D9FFA81"/>
    <w:rsid w:val="6DA522CE"/>
    <w:rsid w:val="6DA8B5D7"/>
    <w:rsid w:val="6DB034C4"/>
    <w:rsid w:val="6DBCA00E"/>
    <w:rsid w:val="6DC89A9D"/>
    <w:rsid w:val="6DD38D20"/>
    <w:rsid w:val="6DD3A764"/>
    <w:rsid w:val="6DDE4BBF"/>
    <w:rsid w:val="6DE15A57"/>
    <w:rsid w:val="6DE1B792"/>
    <w:rsid w:val="6DE3FF6A"/>
    <w:rsid w:val="6DF7886A"/>
    <w:rsid w:val="6E12B121"/>
    <w:rsid w:val="6E208C99"/>
    <w:rsid w:val="6E35AA16"/>
    <w:rsid w:val="6E3A9259"/>
    <w:rsid w:val="6E3B15A6"/>
    <w:rsid w:val="6E3B2043"/>
    <w:rsid w:val="6E3DADBF"/>
    <w:rsid w:val="6E3F12E1"/>
    <w:rsid w:val="6E4041A8"/>
    <w:rsid w:val="6E5318A2"/>
    <w:rsid w:val="6E5A6AB2"/>
    <w:rsid w:val="6E5B8D5A"/>
    <w:rsid w:val="6E77A2EE"/>
    <w:rsid w:val="6E7E6CB3"/>
    <w:rsid w:val="6E7FB9A6"/>
    <w:rsid w:val="6E911CD3"/>
    <w:rsid w:val="6E975438"/>
    <w:rsid w:val="6EABDD90"/>
    <w:rsid w:val="6EBF04BF"/>
    <w:rsid w:val="6EC4075C"/>
    <w:rsid w:val="6ECAA7A6"/>
    <w:rsid w:val="6ECDC20B"/>
    <w:rsid w:val="6ED4B288"/>
    <w:rsid w:val="6EED362A"/>
    <w:rsid w:val="6EF3894D"/>
    <w:rsid w:val="6F040769"/>
    <w:rsid w:val="6F17AD08"/>
    <w:rsid w:val="6F1CA518"/>
    <w:rsid w:val="6F314959"/>
    <w:rsid w:val="6F37C33B"/>
    <w:rsid w:val="6F37CD38"/>
    <w:rsid w:val="6F3B86B1"/>
    <w:rsid w:val="6F3C3D04"/>
    <w:rsid w:val="6F3F46A2"/>
    <w:rsid w:val="6F4A4760"/>
    <w:rsid w:val="6F4D43B7"/>
    <w:rsid w:val="6F504CAB"/>
    <w:rsid w:val="6F5A5FB3"/>
    <w:rsid w:val="6F5C71D7"/>
    <w:rsid w:val="6F712DBE"/>
    <w:rsid w:val="6F87262C"/>
    <w:rsid w:val="6FA81F64"/>
    <w:rsid w:val="6FAFBB63"/>
    <w:rsid w:val="6FBBFFAF"/>
    <w:rsid w:val="6FC305D3"/>
    <w:rsid w:val="6FCA30B7"/>
    <w:rsid w:val="6FD06AB0"/>
    <w:rsid w:val="6FD4B8DD"/>
    <w:rsid w:val="6FE2B721"/>
    <w:rsid w:val="6FEB0101"/>
    <w:rsid w:val="7009386D"/>
    <w:rsid w:val="70163E73"/>
    <w:rsid w:val="702EA8A9"/>
    <w:rsid w:val="702EABCD"/>
    <w:rsid w:val="703EF0C3"/>
    <w:rsid w:val="704B5BF4"/>
    <w:rsid w:val="704CC3A1"/>
    <w:rsid w:val="7053E84A"/>
    <w:rsid w:val="7063A0A3"/>
    <w:rsid w:val="7064E2DC"/>
    <w:rsid w:val="706C3FC5"/>
    <w:rsid w:val="707563AB"/>
    <w:rsid w:val="70790EEA"/>
    <w:rsid w:val="70878125"/>
    <w:rsid w:val="7099DA43"/>
    <w:rsid w:val="709C54B4"/>
    <w:rsid w:val="709DB978"/>
    <w:rsid w:val="70B7EC1B"/>
    <w:rsid w:val="70DE6F23"/>
    <w:rsid w:val="70EE93B2"/>
    <w:rsid w:val="710F58D8"/>
    <w:rsid w:val="711543DC"/>
    <w:rsid w:val="711B44A3"/>
    <w:rsid w:val="7122429B"/>
    <w:rsid w:val="712575B1"/>
    <w:rsid w:val="712861FC"/>
    <w:rsid w:val="712DD944"/>
    <w:rsid w:val="713BAC11"/>
    <w:rsid w:val="713DA7AE"/>
    <w:rsid w:val="7140B062"/>
    <w:rsid w:val="71447427"/>
    <w:rsid w:val="7146D7CE"/>
    <w:rsid w:val="7147A89F"/>
    <w:rsid w:val="715B29F1"/>
    <w:rsid w:val="716A3822"/>
    <w:rsid w:val="716AC805"/>
    <w:rsid w:val="716CD8E9"/>
    <w:rsid w:val="71707A23"/>
    <w:rsid w:val="717FCA73"/>
    <w:rsid w:val="71831759"/>
    <w:rsid w:val="7196AE4A"/>
    <w:rsid w:val="719CF458"/>
    <w:rsid w:val="71A17801"/>
    <w:rsid w:val="71A2DD4A"/>
    <w:rsid w:val="71B38BDE"/>
    <w:rsid w:val="71B9A68B"/>
    <w:rsid w:val="71C2523B"/>
    <w:rsid w:val="71F9535C"/>
    <w:rsid w:val="71FD4251"/>
    <w:rsid w:val="72057C53"/>
    <w:rsid w:val="7207E4FE"/>
    <w:rsid w:val="720A73E9"/>
    <w:rsid w:val="720FF1DE"/>
    <w:rsid w:val="7222A57D"/>
    <w:rsid w:val="7225EA80"/>
    <w:rsid w:val="722C3C19"/>
    <w:rsid w:val="7234F64E"/>
    <w:rsid w:val="723FA2BC"/>
    <w:rsid w:val="724380CD"/>
    <w:rsid w:val="72463A89"/>
    <w:rsid w:val="724C7441"/>
    <w:rsid w:val="725AF634"/>
    <w:rsid w:val="725B793E"/>
    <w:rsid w:val="7260409B"/>
    <w:rsid w:val="727B01C7"/>
    <w:rsid w:val="7280E686"/>
    <w:rsid w:val="72AADE03"/>
    <w:rsid w:val="72B404B9"/>
    <w:rsid w:val="72BDBF1B"/>
    <w:rsid w:val="72C117E0"/>
    <w:rsid w:val="72C39EDD"/>
    <w:rsid w:val="72D3EFF8"/>
    <w:rsid w:val="72D42E13"/>
    <w:rsid w:val="72DA3BBE"/>
    <w:rsid w:val="72E41721"/>
    <w:rsid w:val="72F3115D"/>
    <w:rsid w:val="72F505A1"/>
    <w:rsid w:val="72FB45BB"/>
    <w:rsid w:val="72FB9E47"/>
    <w:rsid w:val="73045B01"/>
    <w:rsid w:val="730545F1"/>
    <w:rsid w:val="730B140A"/>
    <w:rsid w:val="7338118B"/>
    <w:rsid w:val="733C58F2"/>
    <w:rsid w:val="733D595E"/>
    <w:rsid w:val="7345D4AA"/>
    <w:rsid w:val="734774E8"/>
    <w:rsid w:val="735F61A1"/>
    <w:rsid w:val="7360FEBA"/>
    <w:rsid w:val="7363C1BA"/>
    <w:rsid w:val="7369913A"/>
    <w:rsid w:val="736BDF0D"/>
    <w:rsid w:val="736F5966"/>
    <w:rsid w:val="73701644"/>
    <w:rsid w:val="7370A3B2"/>
    <w:rsid w:val="73769228"/>
    <w:rsid w:val="73783DB5"/>
    <w:rsid w:val="737AC6B1"/>
    <w:rsid w:val="737FF658"/>
    <w:rsid w:val="7382471A"/>
    <w:rsid w:val="73884272"/>
    <w:rsid w:val="73951A70"/>
    <w:rsid w:val="739E92F4"/>
    <w:rsid w:val="73A0504E"/>
    <w:rsid w:val="73AF97AA"/>
    <w:rsid w:val="73BA7C87"/>
    <w:rsid w:val="73BDB225"/>
    <w:rsid w:val="73C2EFDD"/>
    <w:rsid w:val="73CABB75"/>
    <w:rsid w:val="73CF3382"/>
    <w:rsid w:val="73ED52CD"/>
    <w:rsid w:val="73F07E3C"/>
    <w:rsid w:val="73F2C5F4"/>
    <w:rsid w:val="73F73F46"/>
    <w:rsid w:val="73F7CC83"/>
    <w:rsid w:val="73FB5FD9"/>
    <w:rsid w:val="73FBA1C1"/>
    <w:rsid w:val="7413F476"/>
    <w:rsid w:val="7422F202"/>
    <w:rsid w:val="74235519"/>
    <w:rsid w:val="7429F2B7"/>
    <w:rsid w:val="742B6F10"/>
    <w:rsid w:val="742B72D5"/>
    <w:rsid w:val="743DC4E4"/>
    <w:rsid w:val="7449882E"/>
    <w:rsid w:val="746598E7"/>
    <w:rsid w:val="7467B38E"/>
    <w:rsid w:val="746AA063"/>
    <w:rsid w:val="746AD896"/>
    <w:rsid w:val="746C23CD"/>
    <w:rsid w:val="7473C480"/>
    <w:rsid w:val="74792860"/>
    <w:rsid w:val="747F8F2A"/>
    <w:rsid w:val="7488CAE0"/>
    <w:rsid w:val="7492A1B8"/>
    <w:rsid w:val="749E476B"/>
    <w:rsid w:val="749F8032"/>
    <w:rsid w:val="74A1B893"/>
    <w:rsid w:val="74A7EB61"/>
    <w:rsid w:val="74AC79E3"/>
    <w:rsid w:val="74B04FBB"/>
    <w:rsid w:val="74B58697"/>
    <w:rsid w:val="74B68DFC"/>
    <w:rsid w:val="74B87CEE"/>
    <w:rsid w:val="74BD76A7"/>
    <w:rsid w:val="74CCD7DE"/>
    <w:rsid w:val="74E4B8C5"/>
    <w:rsid w:val="75024F0C"/>
    <w:rsid w:val="7505A023"/>
    <w:rsid w:val="7508C45F"/>
    <w:rsid w:val="7514F36A"/>
    <w:rsid w:val="75157025"/>
    <w:rsid w:val="75164DBC"/>
    <w:rsid w:val="751CDDC2"/>
    <w:rsid w:val="75249685"/>
    <w:rsid w:val="7524C7F0"/>
    <w:rsid w:val="7529AC15"/>
    <w:rsid w:val="752B7DA4"/>
    <w:rsid w:val="752BC6C5"/>
    <w:rsid w:val="752C7EE2"/>
    <w:rsid w:val="753D91BA"/>
    <w:rsid w:val="755F0939"/>
    <w:rsid w:val="756DCEC4"/>
    <w:rsid w:val="7573E7FE"/>
    <w:rsid w:val="75770B1A"/>
    <w:rsid w:val="757BF2FA"/>
    <w:rsid w:val="757C8E99"/>
    <w:rsid w:val="7589FCA1"/>
    <w:rsid w:val="75910D1C"/>
    <w:rsid w:val="759273A3"/>
    <w:rsid w:val="75935081"/>
    <w:rsid w:val="7598E3E5"/>
    <w:rsid w:val="759C06C8"/>
    <w:rsid w:val="75A11F61"/>
    <w:rsid w:val="75A725AB"/>
    <w:rsid w:val="75AB6D74"/>
    <w:rsid w:val="75B532AC"/>
    <w:rsid w:val="75BCC2D0"/>
    <w:rsid w:val="75DBB959"/>
    <w:rsid w:val="75DF19A3"/>
    <w:rsid w:val="75E1B2EF"/>
    <w:rsid w:val="75E9ABA7"/>
    <w:rsid w:val="75EF392D"/>
    <w:rsid w:val="75F4DCCC"/>
    <w:rsid w:val="75F74731"/>
    <w:rsid w:val="75F84220"/>
    <w:rsid w:val="75FD8C0B"/>
    <w:rsid w:val="75FDE99A"/>
    <w:rsid w:val="7604637D"/>
    <w:rsid w:val="76063C3D"/>
    <w:rsid w:val="760EFEF8"/>
    <w:rsid w:val="7610C4F4"/>
    <w:rsid w:val="76166D60"/>
    <w:rsid w:val="7622DD8A"/>
    <w:rsid w:val="76301714"/>
    <w:rsid w:val="763F6858"/>
    <w:rsid w:val="76471ACB"/>
    <w:rsid w:val="764EA433"/>
    <w:rsid w:val="7655AD10"/>
    <w:rsid w:val="765D03AD"/>
    <w:rsid w:val="7690BAD2"/>
    <w:rsid w:val="7690F02C"/>
    <w:rsid w:val="7695BA81"/>
    <w:rsid w:val="76AB6331"/>
    <w:rsid w:val="76BAC12B"/>
    <w:rsid w:val="76CC8AC2"/>
    <w:rsid w:val="76FCAAE5"/>
    <w:rsid w:val="770A6D97"/>
    <w:rsid w:val="77109B8F"/>
    <w:rsid w:val="7711C4CB"/>
    <w:rsid w:val="772CA49D"/>
    <w:rsid w:val="773141A7"/>
    <w:rsid w:val="773785E1"/>
    <w:rsid w:val="77394A70"/>
    <w:rsid w:val="773E5683"/>
    <w:rsid w:val="774C1D84"/>
    <w:rsid w:val="7754F3F3"/>
    <w:rsid w:val="775787FD"/>
    <w:rsid w:val="775BBF66"/>
    <w:rsid w:val="776952C6"/>
    <w:rsid w:val="7771CBBB"/>
    <w:rsid w:val="7779C69E"/>
    <w:rsid w:val="777A84A6"/>
    <w:rsid w:val="777AB227"/>
    <w:rsid w:val="777B4BCE"/>
    <w:rsid w:val="777D5E6E"/>
    <w:rsid w:val="7784FB00"/>
    <w:rsid w:val="77875E18"/>
    <w:rsid w:val="778B80D2"/>
    <w:rsid w:val="77920EA8"/>
    <w:rsid w:val="7798BAA9"/>
    <w:rsid w:val="7798D56D"/>
    <w:rsid w:val="779A7716"/>
    <w:rsid w:val="77A0E2D0"/>
    <w:rsid w:val="77A30B8E"/>
    <w:rsid w:val="77ADED3E"/>
    <w:rsid w:val="77B18CE0"/>
    <w:rsid w:val="77D3A826"/>
    <w:rsid w:val="77D8823C"/>
    <w:rsid w:val="77E1B2EC"/>
    <w:rsid w:val="77E6745E"/>
    <w:rsid w:val="77F64211"/>
    <w:rsid w:val="77F67801"/>
    <w:rsid w:val="77FBB86B"/>
    <w:rsid w:val="780824BC"/>
    <w:rsid w:val="780888DE"/>
    <w:rsid w:val="780CD3FA"/>
    <w:rsid w:val="78108E8A"/>
    <w:rsid w:val="7814F363"/>
    <w:rsid w:val="781B22AC"/>
    <w:rsid w:val="7821F021"/>
    <w:rsid w:val="782AC474"/>
    <w:rsid w:val="7831233B"/>
    <w:rsid w:val="783F0B7A"/>
    <w:rsid w:val="783F17EE"/>
    <w:rsid w:val="784C465C"/>
    <w:rsid w:val="784EAF38"/>
    <w:rsid w:val="78510494"/>
    <w:rsid w:val="785F33FF"/>
    <w:rsid w:val="786A1A04"/>
    <w:rsid w:val="7875692E"/>
    <w:rsid w:val="7880BE93"/>
    <w:rsid w:val="7882A0BE"/>
    <w:rsid w:val="788DFBFC"/>
    <w:rsid w:val="788E0970"/>
    <w:rsid w:val="78930729"/>
    <w:rsid w:val="78A2CA2D"/>
    <w:rsid w:val="78A64AF8"/>
    <w:rsid w:val="78A6A377"/>
    <w:rsid w:val="78AB3C2E"/>
    <w:rsid w:val="78BEF35B"/>
    <w:rsid w:val="78C8141C"/>
    <w:rsid w:val="78C82DCE"/>
    <w:rsid w:val="78CB1E6F"/>
    <w:rsid w:val="78CBD5E0"/>
    <w:rsid w:val="78CCDF89"/>
    <w:rsid w:val="78D1F926"/>
    <w:rsid w:val="78D25647"/>
    <w:rsid w:val="78D40799"/>
    <w:rsid w:val="78E291D2"/>
    <w:rsid w:val="78E7EA00"/>
    <w:rsid w:val="78EDB102"/>
    <w:rsid w:val="78EFDD9E"/>
    <w:rsid w:val="78F910E5"/>
    <w:rsid w:val="78FB90FA"/>
    <w:rsid w:val="79006720"/>
    <w:rsid w:val="790FE373"/>
    <w:rsid w:val="79101FA4"/>
    <w:rsid w:val="7911B9E8"/>
    <w:rsid w:val="79143611"/>
    <w:rsid w:val="791488BB"/>
    <w:rsid w:val="791D0C23"/>
    <w:rsid w:val="791DC298"/>
    <w:rsid w:val="791DC843"/>
    <w:rsid w:val="791F953F"/>
    <w:rsid w:val="792030FE"/>
    <w:rsid w:val="7922C183"/>
    <w:rsid w:val="7923DBF0"/>
    <w:rsid w:val="7924A1E0"/>
    <w:rsid w:val="792A2DA7"/>
    <w:rsid w:val="792B5F94"/>
    <w:rsid w:val="792FBFEE"/>
    <w:rsid w:val="793529D9"/>
    <w:rsid w:val="793C90C6"/>
    <w:rsid w:val="794399DB"/>
    <w:rsid w:val="794B9C3C"/>
    <w:rsid w:val="794FD71A"/>
    <w:rsid w:val="7950130D"/>
    <w:rsid w:val="795AA749"/>
    <w:rsid w:val="795AF5C5"/>
    <w:rsid w:val="795BF67A"/>
    <w:rsid w:val="796511AE"/>
    <w:rsid w:val="79662959"/>
    <w:rsid w:val="796DDAFE"/>
    <w:rsid w:val="796FB758"/>
    <w:rsid w:val="797E40F6"/>
    <w:rsid w:val="797EFF74"/>
    <w:rsid w:val="797F591B"/>
    <w:rsid w:val="799565B4"/>
    <w:rsid w:val="79995240"/>
    <w:rsid w:val="799D20E2"/>
    <w:rsid w:val="79D58567"/>
    <w:rsid w:val="79DECE4E"/>
    <w:rsid w:val="79E5774B"/>
    <w:rsid w:val="79F33326"/>
    <w:rsid w:val="79F415D1"/>
    <w:rsid w:val="79F42235"/>
    <w:rsid w:val="7A00763B"/>
    <w:rsid w:val="7A04F109"/>
    <w:rsid w:val="7A098BCA"/>
    <w:rsid w:val="7A1F636A"/>
    <w:rsid w:val="7A202E4B"/>
    <w:rsid w:val="7A2EAE9D"/>
    <w:rsid w:val="7A452650"/>
    <w:rsid w:val="7A499B76"/>
    <w:rsid w:val="7A4B00C6"/>
    <w:rsid w:val="7A4B0AB9"/>
    <w:rsid w:val="7A55B748"/>
    <w:rsid w:val="7A5E324D"/>
    <w:rsid w:val="7A60FE82"/>
    <w:rsid w:val="7A621D48"/>
    <w:rsid w:val="7A63D3D8"/>
    <w:rsid w:val="7A689558"/>
    <w:rsid w:val="7A6E6D79"/>
    <w:rsid w:val="7A7BDE6A"/>
    <w:rsid w:val="7A7F47B3"/>
    <w:rsid w:val="7A8D1A04"/>
    <w:rsid w:val="7A9B6C41"/>
    <w:rsid w:val="7A9F52C4"/>
    <w:rsid w:val="7A9FB53A"/>
    <w:rsid w:val="7AADF94D"/>
    <w:rsid w:val="7AB0FFF4"/>
    <w:rsid w:val="7ABD23C2"/>
    <w:rsid w:val="7AC0EDC0"/>
    <w:rsid w:val="7AC2FF0E"/>
    <w:rsid w:val="7AC356F0"/>
    <w:rsid w:val="7AC60B5C"/>
    <w:rsid w:val="7AD38581"/>
    <w:rsid w:val="7AD4DC0C"/>
    <w:rsid w:val="7AE30AEE"/>
    <w:rsid w:val="7AE638AE"/>
    <w:rsid w:val="7AF0F479"/>
    <w:rsid w:val="7AF35FE5"/>
    <w:rsid w:val="7AF773F3"/>
    <w:rsid w:val="7B0B1749"/>
    <w:rsid w:val="7B11963C"/>
    <w:rsid w:val="7B1B500D"/>
    <w:rsid w:val="7B454AF3"/>
    <w:rsid w:val="7B458E71"/>
    <w:rsid w:val="7B5C9C89"/>
    <w:rsid w:val="7B67AAF9"/>
    <w:rsid w:val="7B6C2A73"/>
    <w:rsid w:val="7B7A8279"/>
    <w:rsid w:val="7B83FCBE"/>
    <w:rsid w:val="7B8FE84B"/>
    <w:rsid w:val="7B92FE5C"/>
    <w:rsid w:val="7B945427"/>
    <w:rsid w:val="7B95B3EB"/>
    <w:rsid w:val="7B9C4E35"/>
    <w:rsid w:val="7B9C5BF2"/>
    <w:rsid w:val="7B9CE1D1"/>
    <w:rsid w:val="7B9DF4E8"/>
    <w:rsid w:val="7BA65DEA"/>
    <w:rsid w:val="7BA79783"/>
    <w:rsid w:val="7BA97813"/>
    <w:rsid w:val="7BABC317"/>
    <w:rsid w:val="7BABFF81"/>
    <w:rsid w:val="7BB3E38B"/>
    <w:rsid w:val="7BB51916"/>
    <w:rsid w:val="7BB866B3"/>
    <w:rsid w:val="7BBBF834"/>
    <w:rsid w:val="7BC52481"/>
    <w:rsid w:val="7BC85977"/>
    <w:rsid w:val="7BCEB306"/>
    <w:rsid w:val="7BD2573F"/>
    <w:rsid w:val="7BD30EFF"/>
    <w:rsid w:val="7BD70C38"/>
    <w:rsid w:val="7BDB6E6C"/>
    <w:rsid w:val="7BDBCBF4"/>
    <w:rsid w:val="7BDDFC26"/>
    <w:rsid w:val="7BF377BB"/>
    <w:rsid w:val="7BF4D19B"/>
    <w:rsid w:val="7BF6728F"/>
    <w:rsid w:val="7BF6CC02"/>
    <w:rsid w:val="7C071A79"/>
    <w:rsid w:val="7C08A5D9"/>
    <w:rsid w:val="7C09EB6D"/>
    <w:rsid w:val="7C11226F"/>
    <w:rsid w:val="7C1A6CBC"/>
    <w:rsid w:val="7C1AC672"/>
    <w:rsid w:val="7C2BC338"/>
    <w:rsid w:val="7C2DF4F5"/>
    <w:rsid w:val="7C393802"/>
    <w:rsid w:val="7C39FE0E"/>
    <w:rsid w:val="7C4C9254"/>
    <w:rsid w:val="7C4F3008"/>
    <w:rsid w:val="7C51DCA1"/>
    <w:rsid w:val="7C55C84F"/>
    <w:rsid w:val="7C73236A"/>
    <w:rsid w:val="7C73B503"/>
    <w:rsid w:val="7C77409C"/>
    <w:rsid w:val="7C7824C2"/>
    <w:rsid w:val="7C7ED5C5"/>
    <w:rsid w:val="7C84D15A"/>
    <w:rsid w:val="7C85886A"/>
    <w:rsid w:val="7CA411DB"/>
    <w:rsid w:val="7CB886A8"/>
    <w:rsid w:val="7CCA4FBE"/>
    <w:rsid w:val="7CDB2FB0"/>
    <w:rsid w:val="7CDE0F32"/>
    <w:rsid w:val="7CE55023"/>
    <w:rsid w:val="7CE6556C"/>
    <w:rsid w:val="7CE958DF"/>
    <w:rsid w:val="7D0808FB"/>
    <w:rsid w:val="7D0E351D"/>
    <w:rsid w:val="7D1931DF"/>
    <w:rsid w:val="7D29F3A9"/>
    <w:rsid w:val="7D2EB36A"/>
    <w:rsid w:val="7D3310C2"/>
    <w:rsid w:val="7D391A4B"/>
    <w:rsid w:val="7D6467FF"/>
    <w:rsid w:val="7D6A545C"/>
    <w:rsid w:val="7D6DB74D"/>
    <w:rsid w:val="7D6EB213"/>
    <w:rsid w:val="7D6F5938"/>
    <w:rsid w:val="7D7A54F1"/>
    <w:rsid w:val="7D884B38"/>
    <w:rsid w:val="7D9683B4"/>
    <w:rsid w:val="7D96B42B"/>
    <w:rsid w:val="7D9808F8"/>
    <w:rsid w:val="7DA85E52"/>
    <w:rsid w:val="7DAFED76"/>
    <w:rsid w:val="7DBC9D93"/>
    <w:rsid w:val="7DC0BF47"/>
    <w:rsid w:val="7DC2B2BB"/>
    <w:rsid w:val="7DC41DB4"/>
    <w:rsid w:val="7DD117B4"/>
    <w:rsid w:val="7DD1F055"/>
    <w:rsid w:val="7DE248C9"/>
    <w:rsid w:val="7DFAED42"/>
    <w:rsid w:val="7E006A06"/>
    <w:rsid w:val="7E023E36"/>
    <w:rsid w:val="7E046902"/>
    <w:rsid w:val="7E10B237"/>
    <w:rsid w:val="7E16BCAD"/>
    <w:rsid w:val="7E189782"/>
    <w:rsid w:val="7E2187C8"/>
    <w:rsid w:val="7E2414DD"/>
    <w:rsid w:val="7E29B573"/>
    <w:rsid w:val="7E2A2167"/>
    <w:rsid w:val="7E2D925B"/>
    <w:rsid w:val="7E3334E7"/>
    <w:rsid w:val="7E3963B2"/>
    <w:rsid w:val="7E3B2F15"/>
    <w:rsid w:val="7E3B84EE"/>
    <w:rsid w:val="7E3E3BEE"/>
    <w:rsid w:val="7E538A36"/>
    <w:rsid w:val="7E65ACEC"/>
    <w:rsid w:val="7E784515"/>
    <w:rsid w:val="7E796C45"/>
    <w:rsid w:val="7E7EE972"/>
    <w:rsid w:val="7E81E412"/>
    <w:rsid w:val="7E8482EE"/>
    <w:rsid w:val="7E8E2935"/>
    <w:rsid w:val="7E945052"/>
    <w:rsid w:val="7E951C57"/>
    <w:rsid w:val="7E9F20AA"/>
    <w:rsid w:val="7EAB0AB4"/>
    <w:rsid w:val="7EAB153D"/>
    <w:rsid w:val="7EB41983"/>
    <w:rsid w:val="7EB7FD3A"/>
    <w:rsid w:val="7EC735AC"/>
    <w:rsid w:val="7ECA5391"/>
    <w:rsid w:val="7ECAC4E6"/>
    <w:rsid w:val="7EDA2B32"/>
    <w:rsid w:val="7EDDC4F2"/>
    <w:rsid w:val="7EEEB2E6"/>
    <w:rsid w:val="7EF58776"/>
    <w:rsid w:val="7EF82023"/>
    <w:rsid w:val="7EF96F53"/>
    <w:rsid w:val="7EFC6293"/>
    <w:rsid w:val="7F133CE3"/>
    <w:rsid w:val="7F191C76"/>
    <w:rsid w:val="7F23CEFB"/>
    <w:rsid w:val="7F2A0A55"/>
    <w:rsid w:val="7F3263D6"/>
    <w:rsid w:val="7F38E89E"/>
    <w:rsid w:val="7F3D0ECA"/>
    <w:rsid w:val="7F48B5BB"/>
    <w:rsid w:val="7F50D8F6"/>
    <w:rsid w:val="7F520730"/>
    <w:rsid w:val="7F56F0D4"/>
    <w:rsid w:val="7F5CF13A"/>
    <w:rsid w:val="7F71861F"/>
    <w:rsid w:val="7F76AF3E"/>
    <w:rsid w:val="7F7FCDCA"/>
    <w:rsid w:val="7F810252"/>
    <w:rsid w:val="7F81C692"/>
    <w:rsid w:val="7F9D1890"/>
    <w:rsid w:val="7FA6DFDD"/>
    <w:rsid w:val="7FAFB569"/>
    <w:rsid w:val="7FAFD5FF"/>
    <w:rsid w:val="7FB1981B"/>
    <w:rsid w:val="7FB91F0D"/>
    <w:rsid w:val="7FC14F43"/>
    <w:rsid w:val="7FD81A2A"/>
    <w:rsid w:val="7FEC6F69"/>
    <w:rsid w:val="7FF3BBFE"/>
    <w:rsid w:val="7FF8B162"/>
    <w:rsid w:val="7FFBE9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01B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 w:unhideWhenUsed="1"/>
    <w:lsdException w:name="List Continue 2" w:semiHidden="1" w:uiPriority="1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B0D9F72"/>
    <w:pPr>
      <w:spacing w:before="120" w:after="120"/>
    </w:pPr>
    <w:rPr>
      <w:rFonts w:ascii="Calibri" w:hAnsi="Calibri"/>
      <w:lang w:val="en-AU"/>
    </w:rPr>
  </w:style>
  <w:style w:type="paragraph" w:styleId="Heading1">
    <w:name w:val="heading 1"/>
    <w:basedOn w:val="Normal"/>
    <w:next w:val="Normal"/>
    <w:link w:val="Heading1Char"/>
    <w:uiPriority w:val="9"/>
    <w:qFormat/>
    <w:rsid w:val="3B0D9F72"/>
    <w:pPr>
      <w:keepNext/>
      <w:keepLines/>
      <w:numPr>
        <w:numId w:val="73"/>
      </w:numPr>
      <w:spacing w:before="480" w:after="0"/>
      <w:outlineLvl w:val="0"/>
    </w:pPr>
    <w:rPr>
      <w:rFonts w:asciiTheme="majorHAnsi" w:eastAsiaTheme="majorEastAsia" w:hAnsiTheme="majorHAnsi" w:cstheme="majorBidi"/>
      <w:b/>
      <w:bCs/>
      <w:color w:val="650B5F" w:themeColor="accent1" w:themeShade="BF"/>
      <w:sz w:val="28"/>
      <w:szCs w:val="28"/>
    </w:rPr>
  </w:style>
  <w:style w:type="paragraph" w:styleId="Heading2">
    <w:name w:val="heading 2"/>
    <w:basedOn w:val="Normal"/>
    <w:next w:val="Normal"/>
    <w:link w:val="Heading2Char"/>
    <w:uiPriority w:val="9"/>
    <w:unhideWhenUsed/>
    <w:qFormat/>
    <w:rsid w:val="3B0D9F72"/>
    <w:pPr>
      <w:keepNext/>
      <w:keepLines/>
      <w:numPr>
        <w:ilvl w:val="1"/>
        <w:numId w:val="73"/>
      </w:numPr>
      <w:spacing w:before="200" w:after="0"/>
      <w:outlineLvl w:val="1"/>
    </w:pPr>
    <w:rPr>
      <w:rFonts w:asciiTheme="majorHAnsi" w:eastAsiaTheme="majorEastAsia" w:hAnsiTheme="majorHAnsi" w:cstheme="majorBidi"/>
      <w:b/>
      <w:bCs/>
      <w:color w:val="650B5F" w:themeColor="accent1" w:themeShade="BF"/>
      <w:sz w:val="26"/>
      <w:szCs w:val="26"/>
    </w:rPr>
  </w:style>
  <w:style w:type="paragraph" w:styleId="Heading3">
    <w:name w:val="heading 3"/>
    <w:basedOn w:val="Normal"/>
    <w:next w:val="Normal"/>
    <w:link w:val="Heading3Char"/>
    <w:uiPriority w:val="9"/>
    <w:unhideWhenUsed/>
    <w:qFormat/>
    <w:rsid w:val="3B0D9F72"/>
    <w:pPr>
      <w:keepNext/>
      <w:keepLines/>
      <w:numPr>
        <w:ilvl w:val="2"/>
        <w:numId w:val="73"/>
      </w:numPr>
      <w:spacing w:before="200" w:after="0"/>
      <w:outlineLvl w:val="2"/>
    </w:pPr>
    <w:rPr>
      <w:rFonts w:asciiTheme="majorHAnsi" w:eastAsiaTheme="majorEastAsia" w:hAnsiTheme="majorHAnsi" w:cstheme="majorBidi"/>
      <w:b/>
      <w:bCs/>
      <w:color w:val="650B5F" w:themeColor="accent1" w:themeShade="BF"/>
    </w:rPr>
  </w:style>
  <w:style w:type="paragraph" w:styleId="Heading4">
    <w:name w:val="heading 4"/>
    <w:basedOn w:val="Normal"/>
    <w:next w:val="Normal"/>
    <w:link w:val="Heading4Char"/>
    <w:uiPriority w:val="9"/>
    <w:unhideWhenUsed/>
    <w:qFormat/>
    <w:rsid w:val="3B0D9F72"/>
    <w:pPr>
      <w:keepNext/>
      <w:keepLines/>
      <w:numPr>
        <w:ilvl w:val="3"/>
        <w:numId w:val="73"/>
      </w:numPr>
      <w:spacing w:before="200" w:after="0"/>
      <w:outlineLvl w:val="3"/>
    </w:pPr>
    <w:rPr>
      <w:rFonts w:asciiTheme="majorHAnsi" w:eastAsiaTheme="majorEastAsia" w:hAnsiTheme="majorHAnsi" w:cstheme="majorBidi"/>
      <w:b/>
      <w:bCs/>
      <w:i/>
      <w:iCs/>
      <w:color w:val="870F7F" w:themeColor="accent1"/>
    </w:rPr>
  </w:style>
  <w:style w:type="paragraph" w:styleId="Heading5">
    <w:name w:val="heading 5"/>
    <w:basedOn w:val="Normal"/>
    <w:next w:val="Normal"/>
    <w:link w:val="Heading5Char"/>
    <w:uiPriority w:val="9"/>
    <w:semiHidden/>
    <w:unhideWhenUsed/>
    <w:qFormat/>
    <w:rsid w:val="3B0D9F72"/>
    <w:pPr>
      <w:keepNext/>
      <w:keepLines/>
      <w:numPr>
        <w:ilvl w:val="4"/>
        <w:numId w:val="73"/>
      </w:numPr>
      <w:spacing w:before="200" w:after="0"/>
      <w:outlineLvl w:val="4"/>
    </w:pPr>
    <w:rPr>
      <w:rFonts w:asciiTheme="majorHAnsi" w:eastAsiaTheme="majorEastAsia" w:hAnsiTheme="majorHAnsi" w:cstheme="majorBidi"/>
      <w:color w:val="43073F" w:themeColor="accent1" w:themeShade="80"/>
    </w:rPr>
  </w:style>
  <w:style w:type="paragraph" w:styleId="Heading6">
    <w:name w:val="heading 6"/>
    <w:basedOn w:val="Normal"/>
    <w:next w:val="Normal"/>
    <w:link w:val="Heading6Char"/>
    <w:uiPriority w:val="9"/>
    <w:semiHidden/>
    <w:unhideWhenUsed/>
    <w:qFormat/>
    <w:rsid w:val="3B0D9F72"/>
    <w:pPr>
      <w:keepNext/>
      <w:keepLines/>
      <w:numPr>
        <w:ilvl w:val="5"/>
        <w:numId w:val="73"/>
      </w:numPr>
      <w:spacing w:before="200" w:after="0"/>
      <w:outlineLvl w:val="5"/>
    </w:pPr>
    <w:rPr>
      <w:rFonts w:asciiTheme="majorHAnsi" w:eastAsiaTheme="majorEastAsia" w:hAnsiTheme="majorHAnsi" w:cstheme="majorBidi"/>
      <w:i/>
      <w:iCs/>
      <w:color w:val="43073F" w:themeColor="accent1" w:themeShade="80"/>
    </w:rPr>
  </w:style>
  <w:style w:type="paragraph" w:styleId="Heading7">
    <w:name w:val="heading 7"/>
    <w:basedOn w:val="Normal"/>
    <w:next w:val="Normal"/>
    <w:link w:val="Heading7Char"/>
    <w:uiPriority w:val="9"/>
    <w:semiHidden/>
    <w:unhideWhenUsed/>
    <w:qFormat/>
    <w:rsid w:val="3B0D9F72"/>
    <w:pPr>
      <w:keepNext/>
      <w:keepLines/>
      <w:numPr>
        <w:ilvl w:val="6"/>
        <w:numId w:val="7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3B0D9F72"/>
    <w:pPr>
      <w:keepNext/>
      <w:keepLines/>
      <w:numPr>
        <w:ilvl w:val="7"/>
        <w:numId w:val="73"/>
      </w:numPr>
      <w:spacing w:before="200" w:after="0"/>
      <w:outlineLvl w:val="7"/>
    </w:pPr>
    <w:rPr>
      <w:rFonts w:asciiTheme="majorHAnsi" w:eastAsiaTheme="majorEastAsia" w:hAnsiTheme="majorHAnsi" w:cstheme="majorBidi"/>
      <w:color w:val="870F7F" w:themeColor="accent1"/>
      <w:sz w:val="20"/>
      <w:szCs w:val="20"/>
    </w:rPr>
  </w:style>
  <w:style w:type="paragraph" w:styleId="Heading9">
    <w:name w:val="heading 9"/>
    <w:basedOn w:val="Normal"/>
    <w:next w:val="Normal"/>
    <w:link w:val="Heading9Char"/>
    <w:uiPriority w:val="9"/>
    <w:semiHidden/>
    <w:unhideWhenUsed/>
    <w:qFormat/>
    <w:rsid w:val="3B0D9F72"/>
    <w:pPr>
      <w:keepNext/>
      <w:keepLines/>
      <w:numPr>
        <w:ilvl w:val="8"/>
        <w:numId w:val="7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Duniya Table 2"/>
    <w:basedOn w:val="TableNormal"/>
    <w:uiPriority w:val="39"/>
    <w:rsid w:val="00311904"/>
    <w:pPr>
      <w:jc w:val="center"/>
    </w:pPr>
    <w:rPr>
      <w:rFonts w:ascii="Aaux Next Regular" w:hAnsi="Aaux Next Regula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jc w:val="center"/>
      </w:pPr>
      <w:rPr>
        <w:rFonts w:ascii="___WRD_EMBED_SUB_174" w:hAnsi="___WRD_EMBED_SUB_174"/>
        <w:b/>
        <w:color w:val="FFFFFF" w:themeColor="background1"/>
      </w:rPr>
      <w:tblPr/>
      <w:tcPr>
        <w:shd w:val="clear" w:color="auto" w:fill="404040" w:themeFill="text1" w:themeFillTint="BF"/>
      </w:tcPr>
    </w:tblStylePr>
  </w:style>
  <w:style w:type="paragraph" w:styleId="BalloonText">
    <w:name w:val="Balloon Text"/>
    <w:basedOn w:val="Normal"/>
    <w:link w:val="BalloonTextChar"/>
    <w:uiPriority w:val="1"/>
    <w:semiHidden/>
    <w:unhideWhenUsed/>
    <w:rsid w:val="3B0D9F72"/>
    <w:rPr>
      <w:rFonts w:ascii="Tahoma" w:hAnsi="Tahoma" w:cs="Tahoma"/>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sid w:val="00B7796B"/>
    <w:rPr>
      <w:rFonts w:asciiTheme="majorHAnsi" w:eastAsiaTheme="majorEastAsia" w:hAnsiTheme="majorHAnsi" w:cstheme="majorBidi"/>
      <w:b/>
      <w:bCs/>
      <w:color w:val="650B5F" w:themeColor="accent1" w:themeShade="BF"/>
      <w:sz w:val="28"/>
      <w:szCs w:val="28"/>
    </w:rPr>
  </w:style>
  <w:style w:type="character" w:customStyle="1" w:styleId="Heading2Char">
    <w:name w:val="Heading 2 Char"/>
    <w:basedOn w:val="DefaultParagraphFont"/>
    <w:link w:val="Heading2"/>
    <w:uiPriority w:val="9"/>
    <w:rsid w:val="009803A7"/>
    <w:rPr>
      <w:rFonts w:asciiTheme="majorHAnsi" w:eastAsiaTheme="majorEastAsia" w:hAnsiTheme="majorHAnsi" w:cstheme="majorBidi"/>
      <w:b/>
      <w:bCs/>
      <w:color w:val="650B5F" w:themeColor="accent1" w:themeShade="BF"/>
      <w:sz w:val="26"/>
      <w:szCs w:val="26"/>
    </w:rPr>
  </w:style>
  <w:style w:type="paragraph" w:styleId="ListNumber">
    <w:name w:val="List Number"/>
    <w:basedOn w:val="Normal"/>
    <w:link w:val="ListNumberChar"/>
    <w:uiPriority w:val="4"/>
    <w:rsid w:val="3B0D9F72"/>
    <w:pPr>
      <w:numPr>
        <w:numId w:val="67"/>
      </w:numPr>
      <w:contextualSpacing/>
    </w:pPr>
  </w:style>
  <w:style w:type="character" w:styleId="Strong">
    <w:name w:val="Strong"/>
    <w:aliases w:val="Duniya Strong Text"/>
    <w:basedOn w:val="DefaultParagraphFont"/>
    <w:uiPriority w:val="22"/>
    <w:qFormat/>
    <w:rsid w:val="00B7796B"/>
    <w:rPr>
      <w:b/>
      <w:bCs/>
    </w:rPr>
  </w:style>
  <w:style w:type="character" w:styleId="PlaceholderText">
    <w:name w:val="Placeholder Text"/>
    <w:basedOn w:val="DefaultParagraphFont"/>
    <w:uiPriority w:val="99"/>
    <w:semiHidden/>
    <w:rsid w:val="00F62176"/>
    <w:rPr>
      <w:color w:val="808080"/>
    </w:rPr>
  </w:style>
  <w:style w:type="paragraph" w:styleId="Bibliography">
    <w:name w:val="Bibliography"/>
    <w:basedOn w:val="Normal"/>
    <w:next w:val="Normal"/>
    <w:uiPriority w:val="37"/>
    <w:semiHidden/>
    <w:unhideWhenUsed/>
    <w:rsid w:val="3B0D9F72"/>
  </w:style>
  <w:style w:type="paragraph" w:styleId="BodyText">
    <w:name w:val="Body Text"/>
    <w:basedOn w:val="Normal"/>
    <w:link w:val="BodyTextChar"/>
    <w:uiPriority w:val="99"/>
    <w:semiHidden/>
    <w:unhideWhenUsed/>
    <w:rsid w:val="3B0D9F72"/>
  </w:style>
  <w:style w:type="character" w:customStyle="1" w:styleId="BodyTextChar">
    <w:name w:val="Body Text Char"/>
    <w:basedOn w:val="DefaultParagraphFont"/>
    <w:link w:val="BodyText"/>
    <w:uiPriority w:val="99"/>
    <w:semiHidden/>
    <w:rsid w:val="0051234A"/>
  </w:style>
  <w:style w:type="paragraph" w:styleId="BodyText2">
    <w:name w:val="Body Text 2"/>
    <w:basedOn w:val="Normal"/>
    <w:link w:val="BodyText2Char"/>
    <w:uiPriority w:val="99"/>
    <w:semiHidden/>
    <w:unhideWhenUsed/>
    <w:rsid w:val="3B0D9F72"/>
  </w:style>
  <w:style w:type="character" w:customStyle="1" w:styleId="BodyText2Char">
    <w:name w:val="Body Text 2 Char"/>
    <w:basedOn w:val="DefaultParagraphFont"/>
    <w:link w:val="BodyText2"/>
    <w:uiPriority w:val="99"/>
    <w:semiHidden/>
    <w:rsid w:val="0051234A"/>
  </w:style>
  <w:style w:type="paragraph" w:styleId="BodyText3">
    <w:name w:val="Body Text 3"/>
    <w:basedOn w:val="Normal"/>
    <w:link w:val="BodyText3Char"/>
    <w:uiPriority w:val="99"/>
    <w:semiHidden/>
    <w:unhideWhenUsed/>
    <w:rsid w:val="3B0D9F72"/>
  </w:style>
  <w:style w:type="character" w:customStyle="1" w:styleId="BodyText3Char">
    <w:name w:val="Body Text 3 Char"/>
    <w:basedOn w:val="DefaultParagraphFont"/>
    <w:link w:val="BodyText3"/>
    <w:uiPriority w:val="99"/>
    <w:semiHidden/>
    <w:rsid w:val="0051234A"/>
    <w:rPr>
      <w:szCs w:val="16"/>
    </w:rPr>
  </w:style>
  <w:style w:type="paragraph" w:styleId="BodyTextFirstIndent">
    <w:name w:val="Body Text First Indent"/>
    <w:basedOn w:val="BodyText"/>
    <w:link w:val="BodyTextFirstIndentChar"/>
    <w:uiPriority w:val="99"/>
    <w:semiHidden/>
    <w:unhideWhenUsed/>
    <w:rsid w:val="0051234A"/>
    <w:pPr>
      <w:spacing w:after="200"/>
      <w:ind w:firstLine="360"/>
    </w:pPr>
  </w:style>
  <w:style w:type="character" w:customStyle="1" w:styleId="BodyTextFirstIndentChar">
    <w:name w:val="Body Text First Indent Char"/>
    <w:basedOn w:val="BodyTextChar"/>
    <w:link w:val="BodyTextFirstIndent"/>
    <w:uiPriority w:val="99"/>
    <w:semiHidden/>
    <w:rsid w:val="0051234A"/>
  </w:style>
  <w:style w:type="paragraph" w:styleId="BodyTextIndent">
    <w:name w:val="Body Text Indent"/>
    <w:basedOn w:val="Normal"/>
    <w:link w:val="BodyTextIndentChar"/>
    <w:uiPriority w:val="99"/>
    <w:semiHidden/>
    <w:unhideWhenUsed/>
    <w:rsid w:val="3B0D9F72"/>
    <w:pPr>
      <w:ind w:left="360"/>
    </w:pPr>
  </w:style>
  <w:style w:type="character" w:customStyle="1" w:styleId="BodyTextIndentChar">
    <w:name w:val="Body Text Indent Char"/>
    <w:basedOn w:val="DefaultParagraphFont"/>
    <w:link w:val="BodyTextIndent"/>
    <w:uiPriority w:val="99"/>
    <w:semiHidden/>
    <w:rsid w:val="0051234A"/>
  </w:style>
  <w:style w:type="paragraph" w:styleId="BodyTextFirstIndent2">
    <w:name w:val="Body Text First Indent 2"/>
    <w:basedOn w:val="BodyTextIndent"/>
    <w:link w:val="BodyTextFirstIndent2Char"/>
    <w:uiPriority w:val="99"/>
    <w:semiHidden/>
    <w:unhideWhenUsed/>
    <w:rsid w:val="0051234A"/>
    <w:pPr>
      <w:spacing w:after="200"/>
      <w:ind w:firstLine="360"/>
    </w:pPr>
  </w:style>
  <w:style w:type="character" w:customStyle="1" w:styleId="BodyTextFirstIndent2Char">
    <w:name w:val="Body Text First Indent 2 Char"/>
    <w:basedOn w:val="BodyTextIndentChar"/>
    <w:link w:val="BodyTextFirstIndent2"/>
    <w:uiPriority w:val="99"/>
    <w:semiHidden/>
    <w:rsid w:val="0051234A"/>
  </w:style>
  <w:style w:type="paragraph" w:styleId="BodyTextIndent2">
    <w:name w:val="Body Text Indent 2"/>
    <w:basedOn w:val="Normal"/>
    <w:link w:val="BodyTextIndent2Char"/>
    <w:uiPriority w:val="99"/>
    <w:semiHidden/>
    <w:unhideWhenUsed/>
    <w:rsid w:val="3B0D9F72"/>
    <w:pPr>
      <w:ind w:left="360"/>
    </w:pPr>
  </w:style>
  <w:style w:type="character" w:customStyle="1" w:styleId="BodyTextIndent2Char">
    <w:name w:val="Body Text Indent 2 Char"/>
    <w:basedOn w:val="DefaultParagraphFont"/>
    <w:link w:val="BodyTextIndent2"/>
    <w:uiPriority w:val="99"/>
    <w:semiHidden/>
    <w:rsid w:val="0051234A"/>
  </w:style>
  <w:style w:type="paragraph" w:styleId="BodyTextIndent3">
    <w:name w:val="Body Text Indent 3"/>
    <w:basedOn w:val="Normal"/>
    <w:link w:val="BodyTextIndent3Char"/>
    <w:uiPriority w:val="99"/>
    <w:semiHidden/>
    <w:unhideWhenUsed/>
    <w:rsid w:val="3B0D9F72"/>
    <w:pPr>
      <w:ind w:left="360"/>
    </w:pPr>
  </w:style>
  <w:style w:type="character" w:customStyle="1" w:styleId="BodyTextIndent3Char">
    <w:name w:val="Body Text Indent 3 Char"/>
    <w:basedOn w:val="DefaultParagraphFont"/>
    <w:link w:val="BodyTextIndent3"/>
    <w:uiPriority w:val="99"/>
    <w:semiHidden/>
    <w:rsid w:val="0051234A"/>
    <w:rPr>
      <w:szCs w:val="16"/>
    </w:rPr>
  </w:style>
  <w:style w:type="paragraph" w:styleId="Caption">
    <w:name w:val="caption"/>
    <w:basedOn w:val="Normal"/>
    <w:next w:val="Normal"/>
    <w:uiPriority w:val="35"/>
    <w:semiHidden/>
    <w:unhideWhenUsed/>
    <w:qFormat/>
    <w:rsid w:val="3B0D9F72"/>
    <w:rPr>
      <w:b/>
      <w:bCs/>
      <w:color w:val="870F7F" w:themeColor="accent1"/>
      <w:sz w:val="18"/>
      <w:szCs w:val="18"/>
    </w:rPr>
  </w:style>
  <w:style w:type="paragraph" w:styleId="Closing">
    <w:name w:val="Closing"/>
    <w:basedOn w:val="Normal"/>
    <w:link w:val="ClosingChar"/>
    <w:uiPriority w:val="99"/>
    <w:semiHidden/>
    <w:unhideWhenUsed/>
    <w:rsid w:val="3B0D9F72"/>
    <w:pPr>
      <w:ind w:left="4320"/>
    </w:pPr>
  </w:style>
  <w:style w:type="character" w:customStyle="1" w:styleId="ClosingChar">
    <w:name w:val="Closing Char"/>
    <w:basedOn w:val="DefaultParagraphFont"/>
    <w:link w:val="Closing"/>
    <w:uiPriority w:val="99"/>
    <w:semiHidden/>
    <w:rsid w:val="0051234A"/>
  </w:style>
  <w:style w:type="table" w:styleId="ColorfulGrid">
    <w:name w:val="Colorful Grid"/>
    <w:basedOn w:val="TableNormal"/>
    <w:uiPriority w:val="99"/>
    <w:semiHidden/>
    <w:unhideWhenUsed/>
    <w:rsid w:val="0051234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1234A"/>
    <w:rPr>
      <w:color w:val="000000" w:themeColor="text1"/>
    </w:rPr>
    <w:tblPr>
      <w:tblStyleRowBandSize w:val="1"/>
      <w:tblStyleColBandSize w:val="1"/>
      <w:tblBorders>
        <w:insideH w:val="single" w:sz="4" w:space="0" w:color="FFFFFF" w:themeColor="background1"/>
      </w:tblBorders>
    </w:tblPr>
    <w:tcPr>
      <w:shd w:val="clear" w:color="auto" w:fill="F7BEF3" w:themeFill="accent1" w:themeFillTint="33"/>
    </w:tcPr>
    <w:tblStylePr w:type="firstRow">
      <w:rPr>
        <w:b/>
        <w:bCs/>
      </w:rPr>
      <w:tblPr/>
      <w:tcPr>
        <w:shd w:val="clear" w:color="auto" w:fill="F07DE8" w:themeFill="accent1" w:themeFillTint="66"/>
      </w:tcPr>
    </w:tblStylePr>
    <w:tblStylePr w:type="lastRow">
      <w:rPr>
        <w:b/>
        <w:bCs/>
        <w:color w:val="000000" w:themeColor="text1"/>
      </w:rPr>
      <w:tblPr/>
      <w:tcPr>
        <w:shd w:val="clear" w:color="auto" w:fill="F07DE8" w:themeFill="accent1" w:themeFillTint="66"/>
      </w:tcPr>
    </w:tblStylePr>
    <w:tblStylePr w:type="firstCol">
      <w:rPr>
        <w:color w:val="FFFFFF" w:themeColor="background1"/>
      </w:rPr>
      <w:tblPr/>
      <w:tcPr>
        <w:shd w:val="clear" w:color="auto" w:fill="650B5F" w:themeFill="accent1" w:themeFillShade="BF"/>
      </w:tcPr>
    </w:tblStylePr>
    <w:tblStylePr w:type="lastCol">
      <w:rPr>
        <w:color w:val="FFFFFF" w:themeColor="background1"/>
      </w:rPr>
      <w:tblPr/>
      <w:tcPr>
        <w:shd w:val="clear" w:color="auto" w:fill="650B5F" w:themeFill="accent1" w:themeFillShade="BF"/>
      </w:tcPr>
    </w:tblStylePr>
    <w:tblStylePr w:type="band1Vert">
      <w:tblPr/>
      <w:tcPr>
        <w:shd w:val="clear" w:color="auto" w:fill="ED5DE3" w:themeFill="accent1" w:themeFillTint="7F"/>
      </w:tcPr>
    </w:tblStylePr>
    <w:tblStylePr w:type="band1Horz">
      <w:tblPr/>
      <w:tcPr>
        <w:shd w:val="clear" w:color="auto" w:fill="ED5DE3" w:themeFill="accent1" w:themeFillTint="7F"/>
      </w:tcPr>
    </w:tblStylePr>
  </w:style>
  <w:style w:type="table" w:styleId="ColorfulGrid-Accent2">
    <w:name w:val="Colorful Grid Accent 2"/>
    <w:basedOn w:val="TableNormal"/>
    <w:uiPriority w:val="73"/>
    <w:semiHidden/>
    <w:unhideWhenUsed/>
    <w:rsid w:val="0051234A"/>
    <w:rPr>
      <w:color w:val="000000" w:themeColor="text1"/>
    </w:rPr>
    <w:tblPr>
      <w:tblStyleRowBandSize w:val="1"/>
      <w:tblStyleColBandSize w:val="1"/>
      <w:tblBorders>
        <w:insideH w:val="single" w:sz="4" w:space="0" w:color="FFFFFF" w:themeColor="background1"/>
      </w:tblBorders>
    </w:tblPr>
    <w:tcPr>
      <w:shd w:val="clear" w:color="auto" w:fill="DAEEF3" w:themeFill="accent2" w:themeFillTint="33"/>
    </w:tcPr>
    <w:tblStylePr w:type="firstRow">
      <w:rPr>
        <w:b/>
        <w:bCs/>
      </w:rPr>
      <w:tblPr/>
      <w:tcPr>
        <w:shd w:val="clear" w:color="auto" w:fill="B6DDE8" w:themeFill="accent2" w:themeFillTint="66"/>
      </w:tcPr>
    </w:tblStylePr>
    <w:tblStylePr w:type="lastRow">
      <w:rPr>
        <w:b/>
        <w:bCs/>
        <w:color w:val="000000" w:themeColor="text1"/>
      </w:rPr>
      <w:tblPr/>
      <w:tcPr>
        <w:shd w:val="clear" w:color="auto" w:fill="B6DDE8" w:themeFill="accent2" w:themeFillTint="66"/>
      </w:tcPr>
    </w:tblStylePr>
    <w:tblStylePr w:type="firstCol">
      <w:rPr>
        <w:color w:val="FFFFFF" w:themeColor="background1"/>
      </w:rPr>
      <w:tblPr/>
      <w:tcPr>
        <w:shd w:val="clear" w:color="auto" w:fill="31849B" w:themeFill="accent2" w:themeFillShade="BF"/>
      </w:tcPr>
    </w:tblStylePr>
    <w:tblStylePr w:type="lastCol">
      <w:rPr>
        <w:color w:val="FFFFFF" w:themeColor="background1"/>
      </w:rPr>
      <w:tblPr/>
      <w:tcPr>
        <w:shd w:val="clear" w:color="auto" w:fill="31849B" w:themeFill="accent2" w:themeFillShade="BF"/>
      </w:tcPr>
    </w:tblStylePr>
    <w:tblStylePr w:type="band1Vert">
      <w:tblPr/>
      <w:tcPr>
        <w:shd w:val="clear" w:color="auto" w:fill="A5D5E2" w:themeFill="accent2" w:themeFillTint="7F"/>
      </w:tcPr>
    </w:tblStylePr>
    <w:tblStylePr w:type="band1Horz">
      <w:tblPr/>
      <w:tcPr>
        <w:shd w:val="clear" w:color="auto" w:fill="A5D5E2" w:themeFill="accent2" w:themeFillTint="7F"/>
      </w:tcPr>
    </w:tblStylePr>
  </w:style>
  <w:style w:type="table" w:styleId="ColorfulGrid-Accent3">
    <w:name w:val="Colorful Grid Accent 3"/>
    <w:basedOn w:val="TableNormal"/>
    <w:uiPriority w:val="73"/>
    <w:semiHidden/>
    <w:unhideWhenUsed/>
    <w:rsid w:val="0051234A"/>
    <w:rPr>
      <w:color w:val="000000" w:themeColor="text1"/>
    </w:rPr>
    <w:tblPr>
      <w:tblStyleRowBandSize w:val="1"/>
      <w:tblStyleColBandSize w:val="1"/>
      <w:tblBorders>
        <w:insideH w:val="single" w:sz="4" w:space="0" w:color="FFFFFF" w:themeColor="background1"/>
      </w:tblBorders>
    </w:tblPr>
    <w:tcPr>
      <w:shd w:val="clear" w:color="auto" w:fill="F7F7F7" w:themeFill="accent3" w:themeFillTint="33"/>
    </w:tcPr>
    <w:tblStylePr w:type="firstRow">
      <w:rPr>
        <w:b/>
        <w:bCs/>
      </w:rPr>
      <w:tblPr/>
      <w:tcPr>
        <w:shd w:val="clear" w:color="auto" w:fill="EFEFEF" w:themeFill="accent3" w:themeFillTint="66"/>
      </w:tcPr>
    </w:tblStylePr>
    <w:tblStylePr w:type="lastRow">
      <w:rPr>
        <w:b/>
        <w:bCs/>
        <w:color w:val="000000" w:themeColor="text1"/>
      </w:rPr>
      <w:tblPr/>
      <w:tcPr>
        <w:shd w:val="clear" w:color="auto" w:fill="EFEFEF" w:themeFill="accent3" w:themeFillTint="66"/>
      </w:tcPr>
    </w:tblStylePr>
    <w:tblStylePr w:type="firstCol">
      <w:rPr>
        <w:color w:val="FFFFFF" w:themeColor="background1"/>
      </w:rPr>
      <w:tblPr/>
      <w:tcPr>
        <w:shd w:val="clear" w:color="auto" w:fill="A1A1A1" w:themeFill="accent3" w:themeFillShade="BF"/>
      </w:tcPr>
    </w:tblStylePr>
    <w:tblStylePr w:type="lastCol">
      <w:rPr>
        <w:color w:val="FFFFFF" w:themeColor="background1"/>
      </w:rPr>
      <w:tblPr/>
      <w:tcPr>
        <w:shd w:val="clear" w:color="auto" w:fill="A1A1A1" w:themeFill="accent3" w:themeFillShade="BF"/>
      </w:tcPr>
    </w:tblStylePr>
    <w:tblStylePr w:type="band1Vert">
      <w:tblPr/>
      <w:tcPr>
        <w:shd w:val="clear" w:color="auto" w:fill="EBEBEB" w:themeFill="accent3" w:themeFillTint="7F"/>
      </w:tcPr>
    </w:tblStylePr>
    <w:tblStylePr w:type="band1Horz">
      <w:tblPr/>
      <w:tcPr>
        <w:shd w:val="clear" w:color="auto" w:fill="EBEBEB" w:themeFill="accent3" w:themeFillTint="7F"/>
      </w:tcPr>
    </w:tblStylePr>
  </w:style>
  <w:style w:type="table" w:styleId="ColorfulGrid-Accent4">
    <w:name w:val="Colorful Grid Accent 4"/>
    <w:basedOn w:val="TableNormal"/>
    <w:uiPriority w:val="73"/>
    <w:semiHidden/>
    <w:unhideWhenUsed/>
    <w:rsid w:val="0051234A"/>
    <w:rPr>
      <w:color w:val="000000" w:themeColor="text1"/>
    </w:rPr>
    <w:tblPr>
      <w:tblStyleRowBandSize w:val="1"/>
      <w:tblStyleColBandSize w:val="1"/>
      <w:tblBorders>
        <w:insideH w:val="single" w:sz="4" w:space="0" w:color="FFFFFF" w:themeColor="background1"/>
      </w:tblBorders>
    </w:tblPr>
    <w:tcPr>
      <w:shd w:val="clear" w:color="auto" w:fill="E8EFF9" w:themeFill="accent4" w:themeFillTint="33"/>
    </w:tcPr>
    <w:tblStylePr w:type="firstRow">
      <w:rPr>
        <w:b/>
        <w:bCs/>
      </w:rPr>
      <w:tblPr/>
      <w:tcPr>
        <w:shd w:val="clear" w:color="auto" w:fill="D1E0F3" w:themeFill="accent4" w:themeFillTint="66"/>
      </w:tcPr>
    </w:tblStylePr>
    <w:tblStylePr w:type="lastRow">
      <w:rPr>
        <w:b/>
        <w:bCs/>
        <w:color w:val="000000" w:themeColor="text1"/>
      </w:rPr>
      <w:tblPr/>
      <w:tcPr>
        <w:shd w:val="clear" w:color="auto" w:fill="D1E0F3" w:themeFill="accent4" w:themeFillTint="66"/>
      </w:tcPr>
    </w:tblStylePr>
    <w:tblStylePr w:type="firstCol">
      <w:rPr>
        <w:color w:val="FFFFFF" w:themeColor="background1"/>
      </w:rPr>
      <w:tblPr/>
      <w:tcPr>
        <w:shd w:val="clear" w:color="auto" w:fill="4381CF" w:themeFill="accent4" w:themeFillShade="BF"/>
      </w:tcPr>
    </w:tblStylePr>
    <w:tblStylePr w:type="lastCol">
      <w:rPr>
        <w:color w:val="FFFFFF" w:themeColor="background1"/>
      </w:rPr>
      <w:tblPr/>
      <w:tcPr>
        <w:shd w:val="clear" w:color="auto" w:fill="4381CF" w:themeFill="accent4" w:themeFillShade="BF"/>
      </w:tcPr>
    </w:tblStylePr>
    <w:tblStylePr w:type="band1Vert">
      <w:tblPr/>
      <w:tcPr>
        <w:shd w:val="clear" w:color="auto" w:fill="C6D9F0" w:themeFill="accent4" w:themeFillTint="7F"/>
      </w:tcPr>
    </w:tblStylePr>
    <w:tblStylePr w:type="band1Horz">
      <w:tblPr/>
      <w:tcPr>
        <w:shd w:val="clear" w:color="auto" w:fill="C6D9F0" w:themeFill="accent4" w:themeFillTint="7F"/>
      </w:tcPr>
    </w:tblStylePr>
  </w:style>
  <w:style w:type="table" w:styleId="ColorfulGrid-Accent5">
    <w:name w:val="Colorful Grid Accent 5"/>
    <w:basedOn w:val="TableNormal"/>
    <w:uiPriority w:val="73"/>
    <w:semiHidden/>
    <w:unhideWhenUsed/>
    <w:rsid w:val="0051234A"/>
    <w:rPr>
      <w:color w:val="000000" w:themeColor="text1"/>
    </w:rPr>
    <w:tblPr>
      <w:tblStyleRowBandSize w:val="1"/>
      <w:tblStyleColBandSize w:val="1"/>
      <w:tblBorders>
        <w:insideH w:val="single" w:sz="4" w:space="0" w:color="FFFFFF" w:themeColor="background1"/>
      </w:tblBorders>
    </w:tblPr>
    <w:tcPr>
      <w:shd w:val="clear" w:color="auto" w:fill="FBFBF8" w:themeFill="accent5" w:themeFillTint="33"/>
    </w:tcPr>
    <w:tblStylePr w:type="firstRow">
      <w:rPr>
        <w:b/>
        <w:bCs/>
      </w:rPr>
      <w:tblPr/>
      <w:tcPr>
        <w:shd w:val="clear" w:color="auto" w:fill="F8F7F2" w:themeFill="accent5" w:themeFillTint="66"/>
      </w:tcPr>
    </w:tblStylePr>
    <w:tblStylePr w:type="lastRow">
      <w:rPr>
        <w:b/>
        <w:bCs/>
        <w:color w:val="000000" w:themeColor="text1"/>
      </w:rPr>
      <w:tblPr/>
      <w:tcPr>
        <w:shd w:val="clear" w:color="auto" w:fill="F8F7F2" w:themeFill="accent5" w:themeFillTint="66"/>
      </w:tcPr>
    </w:tblStylePr>
    <w:tblStylePr w:type="firstCol">
      <w:rPr>
        <w:color w:val="FFFFFF" w:themeColor="background1"/>
      </w:rPr>
      <w:tblPr/>
      <w:tcPr>
        <w:shd w:val="clear" w:color="auto" w:fill="C4BC96" w:themeFill="accent5" w:themeFillShade="BF"/>
      </w:tcPr>
    </w:tblStylePr>
    <w:tblStylePr w:type="lastCol">
      <w:rPr>
        <w:color w:val="FFFFFF" w:themeColor="background1"/>
      </w:rPr>
      <w:tblPr/>
      <w:tcPr>
        <w:shd w:val="clear" w:color="auto" w:fill="C4BC96" w:themeFill="accent5" w:themeFillShade="BF"/>
      </w:tcPr>
    </w:tblStylePr>
    <w:tblStylePr w:type="band1Vert">
      <w:tblPr/>
      <w:tcPr>
        <w:shd w:val="clear" w:color="auto" w:fill="F6F5EF" w:themeFill="accent5" w:themeFillTint="7F"/>
      </w:tcPr>
    </w:tblStylePr>
    <w:tblStylePr w:type="band1Horz">
      <w:tblPr/>
      <w:tcPr>
        <w:shd w:val="clear" w:color="auto" w:fill="F6F5EF" w:themeFill="accent5" w:themeFillTint="7F"/>
      </w:tcPr>
    </w:tblStylePr>
  </w:style>
  <w:style w:type="table" w:styleId="ColorfulGrid-Accent6">
    <w:name w:val="Colorful Grid Accent 6"/>
    <w:basedOn w:val="TableNormal"/>
    <w:uiPriority w:val="73"/>
    <w:semiHidden/>
    <w:unhideWhenUsed/>
    <w:rsid w:val="0051234A"/>
    <w:rPr>
      <w:color w:val="000000" w:themeColor="text1"/>
    </w:rPr>
    <w:tblPr>
      <w:tblStyleRowBandSize w:val="1"/>
      <w:tblStyleColBandSize w:val="1"/>
      <w:tblBorders>
        <w:insideH w:val="single" w:sz="4" w:space="0" w:color="FFFFFF" w:themeColor="background1"/>
      </w:tblBorders>
    </w:tblPr>
    <w:tcPr>
      <w:shd w:val="clear" w:color="auto" w:fill="FCE2CD" w:themeFill="accent6" w:themeFillTint="33"/>
    </w:tcPr>
    <w:tblStylePr w:type="firstRow">
      <w:rPr>
        <w:b/>
        <w:bCs/>
      </w:rPr>
      <w:tblPr/>
      <w:tcPr>
        <w:shd w:val="clear" w:color="auto" w:fill="F9C59B" w:themeFill="accent6" w:themeFillTint="66"/>
      </w:tcPr>
    </w:tblStylePr>
    <w:tblStylePr w:type="lastRow">
      <w:rPr>
        <w:b/>
        <w:bCs/>
        <w:color w:val="000000" w:themeColor="text1"/>
      </w:rPr>
      <w:tblPr/>
      <w:tcPr>
        <w:shd w:val="clear" w:color="auto" w:fill="F9C59B" w:themeFill="accent6" w:themeFillTint="66"/>
      </w:tcPr>
    </w:tblStylePr>
    <w:tblStylePr w:type="firstCol">
      <w:rPr>
        <w:color w:val="FFFFFF" w:themeColor="background1"/>
      </w:rPr>
      <w:tblPr/>
      <w:tcPr>
        <w:shd w:val="clear" w:color="auto" w:fill="AF5309" w:themeFill="accent6" w:themeFillShade="BF"/>
      </w:tcPr>
    </w:tblStylePr>
    <w:tblStylePr w:type="lastCol">
      <w:rPr>
        <w:color w:val="FFFFFF" w:themeColor="background1"/>
      </w:rPr>
      <w:tblPr/>
      <w:tcPr>
        <w:shd w:val="clear" w:color="auto" w:fill="AF5309" w:themeFill="accent6" w:themeFillShade="BF"/>
      </w:tcPr>
    </w:tblStylePr>
    <w:tblStylePr w:type="band1Vert">
      <w:tblPr/>
      <w:tcPr>
        <w:shd w:val="clear" w:color="auto" w:fill="F8B782" w:themeFill="accent6" w:themeFillTint="7F"/>
      </w:tcPr>
    </w:tblStylePr>
    <w:tblStylePr w:type="band1Horz">
      <w:tblPr/>
      <w:tcPr>
        <w:shd w:val="clear" w:color="auto" w:fill="F8B782" w:themeFill="accent6" w:themeFillTint="7F"/>
      </w:tcPr>
    </w:tblStylePr>
  </w:style>
  <w:style w:type="table" w:styleId="ColorfulList">
    <w:name w:val="Colorful List"/>
    <w:basedOn w:val="TableNormal"/>
    <w:uiPriority w:val="99"/>
    <w:semiHidden/>
    <w:unhideWhenUsed/>
    <w:rsid w:val="0051234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48DA5" w:themeFill="accent2" w:themeFillShade="CC"/>
      </w:tcPr>
    </w:tblStylePr>
    <w:tblStylePr w:type="lastRow">
      <w:rPr>
        <w:b/>
        <w:bCs/>
        <w:color w:val="348DA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1234A"/>
    <w:rPr>
      <w:color w:val="000000" w:themeColor="text1"/>
    </w:rPr>
    <w:tblPr>
      <w:tblStyleRowBandSize w:val="1"/>
      <w:tblStyleColBandSize w:val="1"/>
    </w:tblPr>
    <w:tcPr>
      <w:shd w:val="clear" w:color="auto" w:fill="FBDFF9" w:themeFill="accent1" w:themeFillTint="19"/>
    </w:tcPr>
    <w:tblStylePr w:type="firstRow">
      <w:rPr>
        <w:b/>
        <w:bCs/>
        <w:color w:val="FFFFFF" w:themeColor="background1"/>
      </w:rPr>
      <w:tblPr/>
      <w:tcPr>
        <w:tcBorders>
          <w:bottom w:val="single" w:sz="12" w:space="0" w:color="FFFFFF" w:themeColor="background1"/>
        </w:tcBorders>
        <w:shd w:val="clear" w:color="auto" w:fill="348DA5" w:themeFill="accent2" w:themeFillShade="CC"/>
      </w:tcPr>
    </w:tblStylePr>
    <w:tblStylePr w:type="lastRow">
      <w:rPr>
        <w:b/>
        <w:bCs/>
        <w:color w:val="348DA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AEF1" w:themeFill="accent1" w:themeFillTint="3F"/>
      </w:tcPr>
    </w:tblStylePr>
    <w:tblStylePr w:type="band1Horz">
      <w:tblPr/>
      <w:tcPr>
        <w:shd w:val="clear" w:color="auto" w:fill="F7BEF3" w:themeFill="accent1" w:themeFillTint="33"/>
      </w:tcPr>
    </w:tblStylePr>
  </w:style>
  <w:style w:type="table" w:styleId="ColorfulList-Accent2">
    <w:name w:val="Colorful List Accent 2"/>
    <w:basedOn w:val="TableNormal"/>
    <w:uiPriority w:val="72"/>
    <w:semiHidden/>
    <w:unhideWhenUsed/>
    <w:rsid w:val="0051234A"/>
    <w:rPr>
      <w:color w:val="000000" w:themeColor="text1"/>
    </w:rPr>
    <w:tblPr>
      <w:tblStyleRowBandSize w:val="1"/>
      <w:tblStyleColBandSize w:val="1"/>
    </w:tblPr>
    <w:tcPr>
      <w:shd w:val="clear" w:color="auto" w:fill="EDF6F9" w:themeFill="accent2" w:themeFillTint="19"/>
    </w:tcPr>
    <w:tblStylePr w:type="firstRow">
      <w:rPr>
        <w:b/>
        <w:bCs/>
        <w:color w:val="FFFFFF" w:themeColor="background1"/>
      </w:rPr>
      <w:tblPr/>
      <w:tcPr>
        <w:tcBorders>
          <w:bottom w:val="single" w:sz="12" w:space="0" w:color="FFFFFF" w:themeColor="background1"/>
        </w:tcBorders>
        <w:shd w:val="clear" w:color="auto" w:fill="348DA5" w:themeFill="accent2" w:themeFillShade="CC"/>
      </w:tcPr>
    </w:tblStylePr>
    <w:tblStylePr w:type="lastRow">
      <w:rPr>
        <w:b/>
        <w:bCs/>
        <w:color w:val="348DA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2" w:themeFillTint="3F"/>
      </w:tcPr>
    </w:tblStylePr>
    <w:tblStylePr w:type="band1Horz">
      <w:tblPr/>
      <w:tcPr>
        <w:shd w:val="clear" w:color="auto" w:fill="DAEEF3" w:themeFill="accent2" w:themeFillTint="33"/>
      </w:tcPr>
    </w:tblStylePr>
  </w:style>
  <w:style w:type="table" w:styleId="ColorfulList-Accent3">
    <w:name w:val="Colorful List Accent 3"/>
    <w:basedOn w:val="TableNormal"/>
    <w:uiPriority w:val="72"/>
    <w:semiHidden/>
    <w:unhideWhenUsed/>
    <w:rsid w:val="0051234A"/>
    <w:rPr>
      <w:color w:val="000000" w:themeColor="text1"/>
    </w:rPr>
    <w:tblPr>
      <w:tblStyleRowBandSize w:val="1"/>
      <w:tblStyleColBandSize w:val="1"/>
    </w:tblPr>
    <w:tcPr>
      <w:shd w:val="clear" w:color="auto" w:fill="FBFBFB" w:themeFill="accent3" w:themeFillTint="19"/>
    </w:tcPr>
    <w:tblStylePr w:type="firstRow">
      <w:rPr>
        <w:b/>
        <w:bCs/>
        <w:color w:val="FFFFFF" w:themeColor="background1"/>
      </w:rPr>
      <w:tblPr/>
      <w:tcPr>
        <w:tcBorders>
          <w:bottom w:val="single" w:sz="12" w:space="0" w:color="FFFFFF" w:themeColor="background1"/>
        </w:tcBorders>
        <w:shd w:val="clear" w:color="auto" w:fill="528BD3" w:themeFill="accent4" w:themeFillShade="CC"/>
      </w:tcPr>
    </w:tblStylePr>
    <w:tblStylePr w:type="lastRow">
      <w:rPr>
        <w:b/>
        <w:bCs/>
        <w:color w:val="528BD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3" w:themeFillTint="3F"/>
      </w:tcPr>
    </w:tblStylePr>
    <w:tblStylePr w:type="band1Horz">
      <w:tblPr/>
      <w:tcPr>
        <w:shd w:val="clear" w:color="auto" w:fill="F7F7F7" w:themeFill="accent3" w:themeFillTint="33"/>
      </w:tcPr>
    </w:tblStylePr>
  </w:style>
  <w:style w:type="table" w:styleId="ColorfulList-Accent4">
    <w:name w:val="Colorful List Accent 4"/>
    <w:basedOn w:val="TableNormal"/>
    <w:uiPriority w:val="72"/>
    <w:semiHidden/>
    <w:unhideWhenUsed/>
    <w:rsid w:val="0051234A"/>
    <w:rPr>
      <w:color w:val="000000" w:themeColor="text1"/>
    </w:rPr>
    <w:tblPr>
      <w:tblStyleRowBandSize w:val="1"/>
      <w:tblStyleColBandSize w:val="1"/>
    </w:tblPr>
    <w:tcPr>
      <w:shd w:val="clear" w:color="auto" w:fill="F3F7FC" w:themeFill="accent4" w:themeFillTint="19"/>
    </w:tcPr>
    <w:tblStylePr w:type="firstRow">
      <w:rPr>
        <w:b/>
        <w:bCs/>
        <w:color w:val="FFFFFF" w:themeColor="background1"/>
      </w:rPr>
      <w:tblPr/>
      <w:tcPr>
        <w:tcBorders>
          <w:bottom w:val="single" w:sz="12" w:space="0" w:color="FFFFFF" w:themeColor="background1"/>
        </w:tcBorders>
        <w:shd w:val="clear" w:color="auto" w:fill="ACACAC" w:themeFill="accent3" w:themeFillShade="CC"/>
      </w:tcPr>
    </w:tblStylePr>
    <w:tblStylePr w:type="lastRow">
      <w:rPr>
        <w:b/>
        <w:bCs/>
        <w:color w:val="ACACA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CF7" w:themeFill="accent4" w:themeFillTint="3F"/>
      </w:tcPr>
    </w:tblStylePr>
    <w:tblStylePr w:type="band1Horz">
      <w:tblPr/>
      <w:tcPr>
        <w:shd w:val="clear" w:color="auto" w:fill="E8EFF9" w:themeFill="accent4" w:themeFillTint="33"/>
      </w:tcPr>
    </w:tblStylePr>
  </w:style>
  <w:style w:type="table" w:styleId="ColorfulList-Accent5">
    <w:name w:val="Colorful List Accent 5"/>
    <w:basedOn w:val="TableNormal"/>
    <w:uiPriority w:val="72"/>
    <w:semiHidden/>
    <w:unhideWhenUsed/>
    <w:rsid w:val="0051234A"/>
    <w:rPr>
      <w:color w:val="000000" w:themeColor="text1"/>
    </w:rPr>
    <w:tblPr>
      <w:tblStyleRowBandSize w:val="1"/>
      <w:tblStyleColBandSize w:val="1"/>
    </w:tblPr>
    <w:tcPr>
      <w:shd w:val="clear" w:color="auto" w:fill="FDFDFC" w:themeFill="accent5" w:themeFillTint="19"/>
    </w:tcPr>
    <w:tblStylePr w:type="firstRow">
      <w:rPr>
        <w:b/>
        <w:bCs/>
        <w:color w:val="FFFFFF" w:themeColor="background1"/>
      </w:rPr>
      <w:tblPr/>
      <w:tcPr>
        <w:tcBorders>
          <w:bottom w:val="single" w:sz="12" w:space="0" w:color="FFFFFF" w:themeColor="background1"/>
        </w:tcBorders>
        <w:shd w:val="clear" w:color="auto" w:fill="BA590A" w:themeFill="accent6" w:themeFillShade="CC"/>
      </w:tcPr>
    </w:tblStylePr>
    <w:tblStylePr w:type="lastRow">
      <w:rPr>
        <w:b/>
        <w:bCs/>
        <w:color w:val="BA59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AF7" w:themeFill="accent5" w:themeFillTint="3F"/>
      </w:tcPr>
    </w:tblStylePr>
    <w:tblStylePr w:type="band1Horz">
      <w:tblPr/>
      <w:tcPr>
        <w:shd w:val="clear" w:color="auto" w:fill="FBFBF8" w:themeFill="accent5" w:themeFillTint="33"/>
      </w:tcPr>
    </w:tblStylePr>
  </w:style>
  <w:style w:type="table" w:styleId="ColorfulList-Accent6">
    <w:name w:val="Colorful List Accent 6"/>
    <w:basedOn w:val="TableNormal"/>
    <w:uiPriority w:val="72"/>
    <w:semiHidden/>
    <w:unhideWhenUsed/>
    <w:rsid w:val="0051234A"/>
    <w:rPr>
      <w:color w:val="000000" w:themeColor="text1"/>
    </w:rPr>
    <w:tblPr>
      <w:tblStyleRowBandSize w:val="1"/>
      <w:tblStyleColBandSize w:val="1"/>
    </w:tblPr>
    <w:tcPr>
      <w:shd w:val="clear" w:color="auto" w:fill="FDF0E6" w:themeFill="accent6" w:themeFillTint="19"/>
    </w:tcPr>
    <w:tblStylePr w:type="firstRow">
      <w:rPr>
        <w:b/>
        <w:bCs/>
        <w:color w:val="FFFFFF" w:themeColor="background1"/>
      </w:rPr>
      <w:tblPr/>
      <w:tcPr>
        <w:tcBorders>
          <w:bottom w:val="single" w:sz="12" w:space="0" w:color="FFFFFF" w:themeColor="background1"/>
        </w:tcBorders>
        <w:shd w:val="clear" w:color="auto" w:fill="CCC6A5" w:themeFill="accent5" w:themeFillShade="CC"/>
      </w:tcPr>
    </w:tblStylePr>
    <w:tblStylePr w:type="lastRow">
      <w:rPr>
        <w:b/>
        <w:bCs/>
        <w:color w:val="CCC6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BC1" w:themeFill="accent6" w:themeFillTint="3F"/>
      </w:tcPr>
    </w:tblStylePr>
    <w:tblStylePr w:type="band1Horz">
      <w:tblPr/>
      <w:tcPr>
        <w:shd w:val="clear" w:color="auto" w:fill="FCE2CD" w:themeFill="accent6" w:themeFillTint="33"/>
      </w:tcPr>
    </w:tblStylePr>
  </w:style>
  <w:style w:type="table" w:styleId="ColorfulShading">
    <w:name w:val="Colorful Shading"/>
    <w:basedOn w:val="TableNormal"/>
    <w:uiPriority w:val="99"/>
    <w:semiHidden/>
    <w:unhideWhenUsed/>
    <w:rsid w:val="0051234A"/>
    <w:rPr>
      <w:color w:val="000000" w:themeColor="text1"/>
    </w:rPr>
    <w:tblPr>
      <w:tblStyleRowBandSize w:val="1"/>
      <w:tblStyleColBandSize w:val="1"/>
      <w:tblBorders>
        <w:top w:val="single" w:sz="24" w:space="0" w:color="4BAC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BAC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1234A"/>
    <w:rPr>
      <w:color w:val="000000" w:themeColor="text1"/>
    </w:rPr>
    <w:tblPr>
      <w:tblStyleRowBandSize w:val="1"/>
      <w:tblStyleColBandSize w:val="1"/>
      <w:tblBorders>
        <w:top w:val="single" w:sz="24" w:space="0" w:color="4BACC6" w:themeColor="accent2"/>
        <w:left w:val="single" w:sz="4" w:space="0" w:color="870F7F" w:themeColor="accent1"/>
        <w:bottom w:val="single" w:sz="4" w:space="0" w:color="870F7F" w:themeColor="accent1"/>
        <w:right w:val="single" w:sz="4" w:space="0" w:color="870F7F" w:themeColor="accent1"/>
        <w:insideH w:val="single" w:sz="4" w:space="0" w:color="FFFFFF" w:themeColor="background1"/>
        <w:insideV w:val="single" w:sz="4" w:space="0" w:color="FFFFFF" w:themeColor="background1"/>
      </w:tblBorders>
    </w:tblPr>
    <w:tcPr>
      <w:shd w:val="clear" w:color="auto" w:fill="FBDFF9" w:themeFill="accent1" w:themeFillTint="19"/>
    </w:tcPr>
    <w:tblStylePr w:type="firstRow">
      <w:rPr>
        <w:b/>
        <w:bCs/>
      </w:rPr>
      <w:tblPr/>
      <w:tcPr>
        <w:tcBorders>
          <w:top w:val="nil"/>
          <w:left w:val="nil"/>
          <w:bottom w:val="single" w:sz="24" w:space="0" w:color="4BAC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094C" w:themeFill="accent1" w:themeFillShade="99"/>
      </w:tcPr>
    </w:tblStylePr>
    <w:tblStylePr w:type="firstCol">
      <w:rPr>
        <w:color w:val="FFFFFF" w:themeColor="background1"/>
      </w:rPr>
      <w:tblPr/>
      <w:tcPr>
        <w:tcBorders>
          <w:top w:val="nil"/>
          <w:left w:val="nil"/>
          <w:bottom w:val="nil"/>
          <w:right w:val="nil"/>
          <w:insideH w:val="single" w:sz="4" w:space="0" w:color="51094C" w:themeColor="accent1" w:themeShade="99"/>
          <w:insideV w:val="nil"/>
        </w:tcBorders>
        <w:shd w:val="clear" w:color="auto" w:fill="51094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1094C" w:themeFill="accent1" w:themeFillShade="99"/>
      </w:tcPr>
    </w:tblStylePr>
    <w:tblStylePr w:type="band1Vert">
      <w:tblPr/>
      <w:tcPr>
        <w:shd w:val="clear" w:color="auto" w:fill="F07DE8" w:themeFill="accent1" w:themeFillTint="66"/>
      </w:tcPr>
    </w:tblStylePr>
    <w:tblStylePr w:type="band1Horz">
      <w:tblPr/>
      <w:tcPr>
        <w:shd w:val="clear" w:color="auto" w:fill="ED5D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1234A"/>
    <w:rPr>
      <w:color w:val="000000" w:themeColor="text1"/>
    </w:rPr>
    <w:tblPr>
      <w:tblStyleRowBandSize w:val="1"/>
      <w:tblStyleColBandSize w:val="1"/>
      <w:tblBorders>
        <w:top w:val="single" w:sz="24" w:space="0" w:color="4BACC6" w:themeColor="accent2"/>
        <w:left w:val="single" w:sz="4" w:space="0" w:color="4BACC6" w:themeColor="accent2"/>
        <w:bottom w:val="single" w:sz="4" w:space="0" w:color="4BACC6" w:themeColor="accent2"/>
        <w:right w:val="single" w:sz="4" w:space="0" w:color="4BACC6" w:themeColor="accent2"/>
        <w:insideH w:val="single" w:sz="4" w:space="0" w:color="FFFFFF" w:themeColor="background1"/>
        <w:insideV w:val="single" w:sz="4" w:space="0" w:color="FFFFFF" w:themeColor="background1"/>
      </w:tblBorders>
    </w:tblPr>
    <w:tcPr>
      <w:shd w:val="clear" w:color="auto" w:fill="EDF6F9" w:themeFill="accent2" w:themeFillTint="19"/>
    </w:tcPr>
    <w:tblStylePr w:type="firstRow">
      <w:rPr>
        <w:b/>
        <w:bCs/>
      </w:rPr>
      <w:tblPr/>
      <w:tcPr>
        <w:tcBorders>
          <w:top w:val="nil"/>
          <w:left w:val="nil"/>
          <w:bottom w:val="single" w:sz="24" w:space="0" w:color="4BAC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2" w:themeFillShade="99"/>
      </w:tcPr>
    </w:tblStylePr>
    <w:tblStylePr w:type="firstCol">
      <w:rPr>
        <w:color w:val="FFFFFF" w:themeColor="background1"/>
      </w:rPr>
      <w:tblPr/>
      <w:tcPr>
        <w:tcBorders>
          <w:top w:val="nil"/>
          <w:left w:val="nil"/>
          <w:bottom w:val="nil"/>
          <w:right w:val="nil"/>
          <w:insideH w:val="single" w:sz="4" w:space="0" w:color="276A7C" w:themeColor="accent2" w:themeShade="99"/>
          <w:insideV w:val="nil"/>
        </w:tcBorders>
        <w:shd w:val="clear" w:color="auto" w:fill="276A7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2" w:themeFillShade="99"/>
      </w:tcPr>
    </w:tblStylePr>
    <w:tblStylePr w:type="band1Vert">
      <w:tblPr/>
      <w:tcPr>
        <w:shd w:val="clear" w:color="auto" w:fill="B6DDE8" w:themeFill="accent2" w:themeFillTint="66"/>
      </w:tcPr>
    </w:tblStylePr>
    <w:tblStylePr w:type="band1Horz">
      <w:tblPr/>
      <w:tcPr>
        <w:shd w:val="clear" w:color="auto" w:fill="A5D5E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1234A"/>
    <w:rPr>
      <w:color w:val="000000" w:themeColor="text1"/>
    </w:rPr>
    <w:tblPr>
      <w:tblStyleRowBandSize w:val="1"/>
      <w:tblStyleColBandSize w:val="1"/>
      <w:tblBorders>
        <w:top w:val="single" w:sz="24" w:space="0" w:color="8DB3E2" w:themeColor="accent4"/>
        <w:left w:val="single" w:sz="4" w:space="0" w:color="D8D8D8" w:themeColor="accent3"/>
        <w:bottom w:val="single" w:sz="4" w:space="0" w:color="D8D8D8" w:themeColor="accent3"/>
        <w:right w:val="single" w:sz="4" w:space="0" w:color="D8D8D8" w:themeColor="accent3"/>
        <w:insideH w:val="single" w:sz="4" w:space="0" w:color="FFFFFF" w:themeColor="background1"/>
        <w:insideV w:val="single" w:sz="4" w:space="0" w:color="FFFFFF" w:themeColor="background1"/>
      </w:tblBorders>
    </w:tblPr>
    <w:tcPr>
      <w:shd w:val="clear" w:color="auto" w:fill="FBFBFB" w:themeFill="accent3" w:themeFillTint="19"/>
    </w:tcPr>
    <w:tblStylePr w:type="firstRow">
      <w:rPr>
        <w:b/>
        <w:bCs/>
      </w:rPr>
      <w:tblPr/>
      <w:tcPr>
        <w:tcBorders>
          <w:top w:val="nil"/>
          <w:left w:val="nil"/>
          <w:bottom w:val="single" w:sz="24" w:space="0" w:color="8DB3E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8181" w:themeFill="accent3" w:themeFillShade="99"/>
      </w:tcPr>
    </w:tblStylePr>
    <w:tblStylePr w:type="firstCol">
      <w:rPr>
        <w:color w:val="FFFFFF" w:themeColor="background1"/>
      </w:rPr>
      <w:tblPr/>
      <w:tcPr>
        <w:tcBorders>
          <w:top w:val="nil"/>
          <w:left w:val="nil"/>
          <w:bottom w:val="nil"/>
          <w:right w:val="nil"/>
          <w:insideH w:val="single" w:sz="4" w:space="0" w:color="818181" w:themeColor="accent3" w:themeShade="99"/>
          <w:insideV w:val="nil"/>
        </w:tcBorders>
        <w:shd w:val="clear" w:color="auto" w:fill="81818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18181" w:themeFill="accent3" w:themeFillShade="99"/>
      </w:tcPr>
    </w:tblStylePr>
    <w:tblStylePr w:type="band1Vert">
      <w:tblPr/>
      <w:tcPr>
        <w:shd w:val="clear" w:color="auto" w:fill="EFEFEF" w:themeFill="accent3" w:themeFillTint="66"/>
      </w:tcPr>
    </w:tblStylePr>
    <w:tblStylePr w:type="band1Horz">
      <w:tblPr/>
      <w:tcPr>
        <w:shd w:val="clear" w:color="auto" w:fill="EBEBEB" w:themeFill="accent3" w:themeFillTint="7F"/>
      </w:tcPr>
    </w:tblStylePr>
  </w:style>
  <w:style w:type="table" w:styleId="ColorfulShading-Accent4">
    <w:name w:val="Colorful Shading Accent 4"/>
    <w:basedOn w:val="TableNormal"/>
    <w:uiPriority w:val="71"/>
    <w:semiHidden/>
    <w:unhideWhenUsed/>
    <w:rsid w:val="0051234A"/>
    <w:rPr>
      <w:color w:val="000000" w:themeColor="text1"/>
    </w:rPr>
    <w:tblPr>
      <w:tblStyleRowBandSize w:val="1"/>
      <w:tblStyleColBandSize w:val="1"/>
      <w:tblBorders>
        <w:top w:val="single" w:sz="24" w:space="0" w:color="D8D8D8" w:themeColor="accent3"/>
        <w:left w:val="single" w:sz="4" w:space="0" w:color="8DB3E2" w:themeColor="accent4"/>
        <w:bottom w:val="single" w:sz="4" w:space="0" w:color="8DB3E2" w:themeColor="accent4"/>
        <w:right w:val="single" w:sz="4" w:space="0" w:color="8DB3E2" w:themeColor="accent4"/>
        <w:insideH w:val="single" w:sz="4" w:space="0" w:color="FFFFFF" w:themeColor="background1"/>
        <w:insideV w:val="single" w:sz="4" w:space="0" w:color="FFFFFF" w:themeColor="background1"/>
      </w:tblBorders>
    </w:tblPr>
    <w:tcPr>
      <w:shd w:val="clear" w:color="auto" w:fill="F3F7FC" w:themeFill="accent4" w:themeFillTint="19"/>
    </w:tcPr>
    <w:tblStylePr w:type="firstRow">
      <w:rPr>
        <w:b/>
        <w:bCs/>
      </w:rPr>
      <w:tblPr/>
      <w:tcPr>
        <w:tcBorders>
          <w:top w:val="nil"/>
          <w:left w:val="nil"/>
          <w:bottom w:val="single" w:sz="24" w:space="0" w:color="D8D8D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67AF" w:themeFill="accent4" w:themeFillShade="99"/>
      </w:tcPr>
    </w:tblStylePr>
    <w:tblStylePr w:type="firstCol">
      <w:rPr>
        <w:color w:val="FFFFFF" w:themeColor="background1"/>
      </w:rPr>
      <w:tblPr/>
      <w:tcPr>
        <w:tcBorders>
          <w:top w:val="nil"/>
          <w:left w:val="nil"/>
          <w:bottom w:val="nil"/>
          <w:right w:val="nil"/>
          <w:insideH w:val="single" w:sz="4" w:space="0" w:color="2C67AF" w:themeColor="accent4" w:themeShade="99"/>
          <w:insideV w:val="nil"/>
        </w:tcBorders>
        <w:shd w:val="clear" w:color="auto" w:fill="2C67A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C67AF" w:themeFill="accent4" w:themeFillShade="99"/>
      </w:tcPr>
    </w:tblStylePr>
    <w:tblStylePr w:type="band1Vert">
      <w:tblPr/>
      <w:tcPr>
        <w:shd w:val="clear" w:color="auto" w:fill="D1E0F3" w:themeFill="accent4" w:themeFillTint="66"/>
      </w:tcPr>
    </w:tblStylePr>
    <w:tblStylePr w:type="band1Horz">
      <w:tblPr/>
      <w:tcPr>
        <w:shd w:val="clear" w:color="auto" w:fill="C6D9F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1234A"/>
    <w:rPr>
      <w:color w:val="000000" w:themeColor="text1"/>
    </w:rPr>
    <w:tblPr>
      <w:tblStyleRowBandSize w:val="1"/>
      <w:tblStyleColBandSize w:val="1"/>
      <w:tblBorders>
        <w:top w:val="single" w:sz="24" w:space="0" w:color="EA700D" w:themeColor="accent6"/>
        <w:left w:val="single" w:sz="4" w:space="0" w:color="EEECE1" w:themeColor="accent5"/>
        <w:bottom w:val="single" w:sz="4" w:space="0" w:color="EEECE1" w:themeColor="accent5"/>
        <w:right w:val="single" w:sz="4" w:space="0" w:color="EEECE1" w:themeColor="accent5"/>
        <w:insideH w:val="single" w:sz="4" w:space="0" w:color="FFFFFF" w:themeColor="background1"/>
        <w:insideV w:val="single" w:sz="4" w:space="0" w:color="FFFFFF" w:themeColor="background1"/>
      </w:tblBorders>
    </w:tblPr>
    <w:tcPr>
      <w:shd w:val="clear" w:color="auto" w:fill="FDFDFC" w:themeFill="accent5" w:themeFillTint="19"/>
    </w:tcPr>
    <w:tblStylePr w:type="firstRow">
      <w:rPr>
        <w:b/>
        <w:bCs/>
      </w:rPr>
      <w:tblPr/>
      <w:tcPr>
        <w:tcBorders>
          <w:top w:val="nil"/>
          <w:left w:val="nil"/>
          <w:bottom w:val="single" w:sz="24" w:space="0" w:color="EA700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A06A" w:themeFill="accent5" w:themeFillShade="99"/>
      </w:tcPr>
    </w:tblStylePr>
    <w:tblStylePr w:type="firstCol">
      <w:rPr>
        <w:color w:val="FFFFFF" w:themeColor="background1"/>
      </w:rPr>
      <w:tblPr/>
      <w:tcPr>
        <w:tcBorders>
          <w:top w:val="nil"/>
          <w:left w:val="nil"/>
          <w:bottom w:val="nil"/>
          <w:right w:val="nil"/>
          <w:insideH w:val="single" w:sz="4" w:space="0" w:color="ABA06A" w:themeColor="accent5" w:themeShade="99"/>
          <w:insideV w:val="nil"/>
        </w:tcBorders>
        <w:shd w:val="clear" w:color="auto" w:fill="ABA0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BA06A" w:themeFill="accent5" w:themeFillShade="99"/>
      </w:tcPr>
    </w:tblStylePr>
    <w:tblStylePr w:type="band1Vert">
      <w:tblPr/>
      <w:tcPr>
        <w:shd w:val="clear" w:color="auto" w:fill="F8F7F2" w:themeFill="accent5" w:themeFillTint="66"/>
      </w:tcPr>
    </w:tblStylePr>
    <w:tblStylePr w:type="band1Horz">
      <w:tblPr/>
      <w:tcPr>
        <w:shd w:val="clear" w:color="auto" w:fill="F6F5E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1234A"/>
    <w:rPr>
      <w:color w:val="000000" w:themeColor="text1"/>
    </w:rPr>
    <w:tblPr>
      <w:tblStyleRowBandSize w:val="1"/>
      <w:tblStyleColBandSize w:val="1"/>
      <w:tblBorders>
        <w:top w:val="single" w:sz="24" w:space="0" w:color="EEECE1" w:themeColor="accent5"/>
        <w:left w:val="single" w:sz="4" w:space="0" w:color="EA700D" w:themeColor="accent6"/>
        <w:bottom w:val="single" w:sz="4" w:space="0" w:color="EA700D" w:themeColor="accent6"/>
        <w:right w:val="single" w:sz="4" w:space="0" w:color="EA700D" w:themeColor="accent6"/>
        <w:insideH w:val="single" w:sz="4" w:space="0" w:color="FFFFFF" w:themeColor="background1"/>
        <w:insideV w:val="single" w:sz="4" w:space="0" w:color="FFFFFF" w:themeColor="background1"/>
      </w:tblBorders>
    </w:tblPr>
    <w:tcPr>
      <w:shd w:val="clear" w:color="auto" w:fill="FDF0E6" w:themeFill="accent6" w:themeFillTint="19"/>
    </w:tcPr>
    <w:tblStylePr w:type="firstRow">
      <w:rPr>
        <w:b/>
        <w:bCs/>
      </w:rPr>
      <w:tblPr/>
      <w:tcPr>
        <w:tcBorders>
          <w:top w:val="nil"/>
          <w:left w:val="nil"/>
          <w:bottom w:val="single" w:sz="24" w:space="0" w:color="EEEC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308" w:themeFill="accent6" w:themeFillShade="99"/>
      </w:tcPr>
    </w:tblStylePr>
    <w:tblStylePr w:type="firstCol">
      <w:rPr>
        <w:color w:val="FFFFFF" w:themeColor="background1"/>
      </w:rPr>
      <w:tblPr/>
      <w:tcPr>
        <w:tcBorders>
          <w:top w:val="nil"/>
          <w:left w:val="nil"/>
          <w:bottom w:val="nil"/>
          <w:right w:val="nil"/>
          <w:insideH w:val="single" w:sz="4" w:space="0" w:color="8C4308" w:themeColor="accent6" w:themeShade="99"/>
          <w:insideV w:val="nil"/>
        </w:tcBorders>
        <w:shd w:val="clear" w:color="auto" w:fill="8C43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4308" w:themeFill="accent6" w:themeFillShade="99"/>
      </w:tcPr>
    </w:tblStylePr>
    <w:tblStylePr w:type="band1Vert">
      <w:tblPr/>
      <w:tcPr>
        <w:shd w:val="clear" w:color="auto" w:fill="F9C59B" w:themeFill="accent6" w:themeFillTint="66"/>
      </w:tcPr>
    </w:tblStylePr>
    <w:tblStylePr w:type="band1Horz">
      <w:tblPr/>
      <w:tcPr>
        <w:shd w:val="clear" w:color="auto" w:fill="F8B78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1234A"/>
    <w:rPr>
      <w:sz w:val="22"/>
      <w:szCs w:val="16"/>
    </w:rPr>
  </w:style>
  <w:style w:type="paragraph" w:styleId="CommentText">
    <w:name w:val="annotation text"/>
    <w:basedOn w:val="Normal"/>
    <w:link w:val="CommentTextChar"/>
    <w:uiPriority w:val="99"/>
    <w:unhideWhenUsed/>
    <w:rsid w:val="3B0D9F72"/>
  </w:style>
  <w:style w:type="character" w:customStyle="1" w:styleId="CommentTextChar">
    <w:name w:val="Comment Text Char"/>
    <w:basedOn w:val="DefaultParagraphFont"/>
    <w:link w:val="CommentText"/>
    <w:uiPriority w:val="99"/>
    <w:rsid w:val="0051234A"/>
    <w:rPr>
      <w:szCs w:val="20"/>
    </w:rPr>
  </w:style>
  <w:style w:type="paragraph" w:styleId="CommentSubject">
    <w:name w:val="annotation subject"/>
    <w:basedOn w:val="CommentText"/>
    <w:next w:val="CommentText"/>
    <w:link w:val="CommentSubjectChar"/>
    <w:uiPriority w:val="99"/>
    <w:semiHidden/>
    <w:unhideWhenUsed/>
    <w:rsid w:val="0051234A"/>
    <w:rPr>
      <w:b/>
      <w:bCs/>
    </w:rPr>
  </w:style>
  <w:style w:type="character" w:customStyle="1" w:styleId="CommentSubjectChar">
    <w:name w:val="Comment Subject Char"/>
    <w:basedOn w:val="CommentTextChar"/>
    <w:link w:val="CommentSubject"/>
    <w:uiPriority w:val="99"/>
    <w:semiHidden/>
    <w:rsid w:val="0051234A"/>
    <w:rPr>
      <w:b/>
      <w:bCs/>
      <w:szCs w:val="20"/>
    </w:rPr>
  </w:style>
  <w:style w:type="table" w:styleId="DarkList">
    <w:name w:val="Dark List"/>
    <w:basedOn w:val="TableNormal"/>
    <w:uiPriority w:val="99"/>
    <w:semiHidden/>
    <w:unhideWhenUsed/>
    <w:rsid w:val="0051234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1234A"/>
    <w:rPr>
      <w:color w:val="FFFFFF" w:themeColor="background1"/>
    </w:rPr>
    <w:tblPr>
      <w:tblStyleRowBandSize w:val="1"/>
      <w:tblStyleColBandSize w:val="1"/>
    </w:tblPr>
    <w:tcPr>
      <w:shd w:val="clear" w:color="auto" w:fill="870F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07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50B5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50B5F" w:themeFill="accent1" w:themeFillShade="BF"/>
      </w:tcPr>
    </w:tblStylePr>
    <w:tblStylePr w:type="band1Vert">
      <w:tblPr/>
      <w:tcPr>
        <w:tcBorders>
          <w:top w:val="nil"/>
          <w:left w:val="nil"/>
          <w:bottom w:val="nil"/>
          <w:right w:val="nil"/>
          <w:insideH w:val="nil"/>
          <w:insideV w:val="nil"/>
        </w:tcBorders>
        <w:shd w:val="clear" w:color="auto" w:fill="650B5F" w:themeFill="accent1" w:themeFillShade="BF"/>
      </w:tcPr>
    </w:tblStylePr>
    <w:tblStylePr w:type="band1Horz">
      <w:tblPr/>
      <w:tcPr>
        <w:tcBorders>
          <w:top w:val="nil"/>
          <w:left w:val="nil"/>
          <w:bottom w:val="nil"/>
          <w:right w:val="nil"/>
          <w:insideH w:val="nil"/>
          <w:insideV w:val="nil"/>
        </w:tcBorders>
        <w:shd w:val="clear" w:color="auto" w:fill="650B5F" w:themeFill="accent1" w:themeFillShade="BF"/>
      </w:tcPr>
    </w:tblStylePr>
  </w:style>
  <w:style w:type="table" w:styleId="DarkList-Accent2">
    <w:name w:val="Dark List Accent 2"/>
    <w:basedOn w:val="TableNormal"/>
    <w:uiPriority w:val="70"/>
    <w:semiHidden/>
    <w:unhideWhenUsed/>
    <w:rsid w:val="0051234A"/>
    <w:rPr>
      <w:color w:val="FFFFFF" w:themeColor="background1"/>
    </w:rPr>
    <w:tblPr>
      <w:tblStyleRowBandSize w:val="1"/>
      <w:tblStyleColBandSize w:val="1"/>
    </w:tblPr>
    <w:tcPr>
      <w:shd w:val="clear" w:color="auto" w:fill="4BAC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2" w:themeFillShade="BF"/>
      </w:tcPr>
    </w:tblStylePr>
    <w:tblStylePr w:type="band1Vert">
      <w:tblPr/>
      <w:tcPr>
        <w:tcBorders>
          <w:top w:val="nil"/>
          <w:left w:val="nil"/>
          <w:bottom w:val="nil"/>
          <w:right w:val="nil"/>
          <w:insideH w:val="nil"/>
          <w:insideV w:val="nil"/>
        </w:tcBorders>
        <w:shd w:val="clear" w:color="auto" w:fill="31849B" w:themeFill="accent2" w:themeFillShade="BF"/>
      </w:tcPr>
    </w:tblStylePr>
    <w:tblStylePr w:type="band1Horz">
      <w:tblPr/>
      <w:tcPr>
        <w:tcBorders>
          <w:top w:val="nil"/>
          <w:left w:val="nil"/>
          <w:bottom w:val="nil"/>
          <w:right w:val="nil"/>
          <w:insideH w:val="nil"/>
          <w:insideV w:val="nil"/>
        </w:tcBorders>
        <w:shd w:val="clear" w:color="auto" w:fill="31849B" w:themeFill="accent2" w:themeFillShade="BF"/>
      </w:tcPr>
    </w:tblStylePr>
  </w:style>
  <w:style w:type="table" w:styleId="DarkList-Accent3">
    <w:name w:val="Dark List Accent 3"/>
    <w:basedOn w:val="TableNormal"/>
    <w:uiPriority w:val="70"/>
    <w:semiHidden/>
    <w:unhideWhenUsed/>
    <w:rsid w:val="0051234A"/>
    <w:rPr>
      <w:color w:val="FFFFFF" w:themeColor="background1"/>
    </w:rPr>
    <w:tblPr>
      <w:tblStyleRowBandSize w:val="1"/>
      <w:tblStyleColBandSize w:val="1"/>
    </w:tblPr>
    <w:tcPr>
      <w:shd w:val="clear" w:color="auto" w:fill="D8D8D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6B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1A1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1A1A1" w:themeFill="accent3" w:themeFillShade="BF"/>
      </w:tcPr>
    </w:tblStylePr>
    <w:tblStylePr w:type="band1Vert">
      <w:tblPr/>
      <w:tcPr>
        <w:tcBorders>
          <w:top w:val="nil"/>
          <w:left w:val="nil"/>
          <w:bottom w:val="nil"/>
          <w:right w:val="nil"/>
          <w:insideH w:val="nil"/>
          <w:insideV w:val="nil"/>
        </w:tcBorders>
        <w:shd w:val="clear" w:color="auto" w:fill="A1A1A1" w:themeFill="accent3" w:themeFillShade="BF"/>
      </w:tcPr>
    </w:tblStylePr>
    <w:tblStylePr w:type="band1Horz">
      <w:tblPr/>
      <w:tcPr>
        <w:tcBorders>
          <w:top w:val="nil"/>
          <w:left w:val="nil"/>
          <w:bottom w:val="nil"/>
          <w:right w:val="nil"/>
          <w:insideH w:val="nil"/>
          <w:insideV w:val="nil"/>
        </w:tcBorders>
        <w:shd w:val="clear" w:color="auto" w:fill="A1A1A1" w:themeFill="accent3" w:themeFillShade="BF"/>
      </w:tcPr>
    </w:tblStylePr>
  </w:style>
  <w:style w:type="table" w:styleId="DarkList-Accent4">
    <w:name w:val="Dark List Accent 4"/>
    <w:basedOn w:val="TableNormal"/>
    <w:uiPriority w:val="70"/>
    <w:semiHidden/>
    <w:unhideWhenUsed/>
    <w:rsid w:val="0051234A"/>
    <w:rPr>
      <w:color w:val="FFFFFF" w:themeColor="background1"/>
    </w:rPr>
    <w:tblPr>
      <w:tblStyleRowBandSize w:val="1"/>
      <w:tblStyleColBandSize w:val="1"/>
    </w:tblPr>
    <w:tcPr>
      <w:shd w:val="clear" w:color="auto" w:fill="8DB3E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559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381C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381CF" w:themeFill="accent4" w:themeFillShade="BF"/>
      </w:tcPr>
    </w:tblStylePr>
    <w:tblStylePr w:type="band1Vert">
      <w:tblPr/>
      <w:tcPr>
        <w:tcBorders>
          <w:top w:val="nil"/>
          <w:left w:val="nil"/>
          <w:bottom w:val="nil"/>
          <w:right w:val="nil"/>
          <w:insideH w:val="nil"/>
          <w:insideV w:val="nil"/>
        </w:tcBorders>
        <w:shd w:val="clear" w:color="auto" w:fill="4381CF" w:themeFill="accent4" w:themeFillShade="BF"/>
      </w:tcPr>
    </w:tblStylePr>
    <w:tblStylePr w:type="band1Horz">
      <w:tblPr/>
      <w:tcPr>
        <w:tcBorders>
          <w:top w:val="nil"/>
          <w:left w:val="nil"/>
          <w:bottom w:val="nil"/>
          <w:right w:val="nil"/>
          <w:insideH w:val="nil"/>
          <w:insideV w:val="nil"/>
        </w:tcBorders>
        <w:shd w:val="clear" w:color="auto" w:fill="4381CF" w:themeFill="accent4" w:themeFillShade="BF"/>
      </w:tcPr>
    </w:tblStylePr>
  </w:style>
  <w:style w:type="table" w:styleId="DarkList-Accent5">
    <w:name w:val="Dark List Accent 5"/>
    <w:basedOn w:val="TableNormal"/>
    <w:uiPriority w:val="70"/>
    <w:semiHidden/>
    <w:unhideWhenUsed/>
    <w:rsid w:val="0051234A"/>
    <w:rPr>
      <w:color w:val="FFFFFF" w:themeColor="background1"/>
    </w:rPr>
    <w:tblPr>
      <w:tblStyleRowBandSize w:val="1"/>
      <w:tblStyleColBandSize w:val="1"/>
    </w:tblPr>
    <w:tcPr>
      <w:shd w:val="clear" w:color="auto" w:fill="EEEC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895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4BC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4BC96" w:themeFill="accent5" w:themeFillShade="BF"/>
      </w:tcPr>
    </w:tblStylePr>
    <w:tblStylePr w:type="band1Vert">
      <w:tblPr/>
      <w:tcPr>
        <w:tcBorders>
          <w:top w:val="nil"/>
          <w:left w:val="nil"/>
          <w:bottom w:val="nil"/>
          <w:right w:val="nil"/>
          <w:insideH w:val="nil"/>
          <w:insideV w:val="nil"/>
        </w:tcBorders>
        <w:shd w:val="clear" w:color="auto" w:fill="C4BC96" w:themeFill="accent5" w:themeFillShade="BF"/>
      </w:tcPr>
    </w:tblStylePr>
    <w:tblStylePr w:type="band1Horz">
      <w:tblPr/>
      <w:tcPr>
        <w:tcBorders>
          <w:top w:val="nil"/>
          <w:left w:val="nil"/>
          <w:bottom w:val="nil"/>
          <w:right w:val="nil"/>
          <w:insideH w:val="nil"/>
          <w:insideV w:val="nil"/>
        </w:tcBorders>
        <w:shd w:val="clear" w:color="auto" w:fill="C4BC96" w:themeFill="accent5" w:themeFillShade="BF"/>
      </w:tcPr>
    </w:tblStylePr>
  </w:style>
  <w:style w:type="table" w:styleId="DarkList-Accent6">
    <w:name w:val="Dark List Accent 6"/>
    <w:basedOn w:val="TableNormal"/>
    <w:uiPriority w:val="70"/>
    <w:semiHidden/>
    <w:unhideWhenUsed/>
    <w:rsid w:val="0051234A"/>
    <w:rPr>
      <w:color w:val="FFFFFF" w:themeColor="background1"/>
    </w:rPr>
    <w:tblPr>
      <w:tblStyleRowBandSize w:val="1"/>
      <w:tblStyleColBandSize w:val="1"/>
    </w:tblPr>
    <w:tcPr>
      <w:shd w:val="clear" w:color="auto" w:fill="EA700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5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5309" w:themeFill="accent6" w:themeFillShade="BF"/>
      </w:tcPr>
    </w:tblStylePr>
    <w:tblStylePr w:type="band1Vert">
      <w:tblPr/>
      <w:tcPr>
        <w:tcBorders>
          <w:top w:val="nil"/>
          <w:left w:val="nil"/>
          <w:bottom w:val="nil"/>
          <w:right w:val="nil"/>
          <w:insideH w:val="nil"/>
          <w:insideV w:val="nil"/>
        </w:tcBorders>
        <w:shd w:val="clear" w:color="auto" w:fill="AF5309" w:themeFill="accent6" w:themeFillShade="BF"/>
      </w:tcPr>
    </w:tblStylePr>
    <w:tblStylePr w:type="band1Horz">
      <w:tblPr/>
      <w:tcPr>
        <w:tcBorders>
          <w:top w:val="nil"/>
          <w:left w:val="nil"/>
          <w:bottom w:val="nil"/>
          <w:right w:val="nil"/>
          <w:insideH w:val="nil"/>
          <w:insideV w:val="nil"/>
        </w:tcBorders>
        <w:shd w:val="clear" w:color="auto" w:fill="AF5309" w:themeFill="accent6" w:themeFillShade="BF"/>
      </w:tcPr>
    </w:tblStylePr>
  </w:style>
  <w:style w:type="paragraph" w:styleId="Date">
    <w:name w:val="Date"/>
    <w:basedOn w:val="Normal"/>
    <w:next w:val="Normal"/>
    <w:link w:val="DateChar"/>
    <w:uiPriority w:val="99"/>
    <w:semiHidden/>
    <w:unhideWhenUsed/>
    <w:rsid w:val="3B0D9F72"/>
  </w:style>
  <w:style w:type="character" w:customStyle="1" w:styleId="DateChar">
    <w:name w:val="Date Char"/>
    <w:basedOn w:val="DefaultParagraphFont"/>
    <w:link w:val="Date"/>
    <w:uiPriority w:val="99"/>
    <w:semiHidden/>
    <w:rsid w:val="0051234A"/>
  </w:style>
  <w:style w:type="paragraph" w:styleId="DocumentMap">
    <w:name w:val="Document Map"/>
    <w:basedOn w:val="Normal"/>
    <w:link w:val="DocumentMapChar"/>
    <w:uiPriority w:val="99"/>
    <w:semiHidden/>
    <w:unhideWhenUsed/>
    <w:rsid w:val="3B0D9F72"/>
    <w:rPr>
      <w:rFonts w:ascii="Segoe UI" w:hAnsi="Segoe UI" w:cs="Segoe UI"/>
    </w:rPr>
  </w:style>
  <w:style w:type="character" w:customStyle="1" w:styleId="DocumentMapChar">
    <w:name w:val="Document Map Char"/>
    <w:basedOn w:val="DefaultParagraphFont"/>
    <w:link w:val="DocumentMap"/>
    <w:uiPriority w:val="99"/>
    <w:semiHidden/>
    <w:rsid w:val="0051234A"/>
    <w:rPr>
      <w:rFonts w:ascii="Segoe UI" w:hAnsi="Segoe UI" w:cs="Segoe UI"/>
      <w:szCs w:val="16"/>
    </w:rPr>
  </w:style>
  <w:style w:type="paragraph" w:styleId="E-mailSignature">
    <w:name w:val="E-mail Signature"/>
    <w:basedOn w:val="Normal"/>
    <w:link w:val="E-mailSignatureChar"/>
    <w:uiPriority w:val="99"/>
    <w:semiHidden/>
    <w:unhideWhenUsed/>
    <w:rsid w:val="3B0D9F72"/>
  </w:style>
  <w:style w:type="character" w:customStyle="1" w:styleId="E-mailSignatureChar">
    <w:name w:val="E-mail Signature Char"/>
    <w:basedOn w:val="DefaultParagraphFont"/>
    <w:link w:val="E-mailSignature"/>
    <w:uiPriority w:val="99"/>
    <w:semiHidden/>
    <w:rsid w:val="0051234A"/>
  </w:style>
  <w:style w:type="character" w:styleId="EndnoteReference">
    <w:name w:val="endnote reference"/>
    <w:basedOn w:val="DefaultParagraphFont"/>
    <w:uiPriority w:val="99"/>
    <w:semiHidden/>
    <w:unhideWhenUsed/>
    <w:rsid w:val="0051234A"/>
    <w:rPr>
      <w:vertAlign w:val="superscript"/>
    </w:rPr>
  </w:style>
  <w:style w:type="paragraph" w:styleId="EndnoteText">
    <w:name w:val="endnote text"/>
    <w:basedOn w:val="Normal"/>
    <w:link w:val="EndnoteTextChar"/>
    <w:uiPriority w:val="99"/>
    <w:semiHidden/>
    <w:unhideWhenUsed/>
    <w:rsid w:val="3B0D9F72"/>
  </w:style>
  <w:style w:type="character" w:customStyle="1" w:styleId="EndnoteTextChar">
    <w:name w:val="Endnote Text Char"/>
    <w:basedOn w:val="DefaultParagraphFont"/>
    <w:link w:val="EndnoteText"/>
    <w:uiPriority w:val="99"/>
    <w:semiHidden/>
    <w:rsid w:val="0051234A"/>
    <w:rPr>
      <w:szCs w:val="20"/>
    </w:rPr>
  </w:style>
  <w:style w:type="paragraph" w:styleId="EnvelopeAddress">
    <w:name w:val="envelope address"/>
    <w:basedOn w:val="Normal"/>
    <w:uiPriority w:val="99"/>
    <w:semiHidden/>
    <w:unhideWhenUsed/>
    <w:rsid w:val="3B0D9F72"/>
    <w:pPr>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3B0D9F72"/>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51234A"/>
    <w:rPr>
      <w:color w:val="800080" w:themeColor="followedHyperlink"/>
      <w:u w:val="single"/>
    </w:rPr>
  </w:style>
  <w:style w:type="paragraph" w:styleId="Footer">
    <w:name w:val="footer"/>
    <w:basedOn w:val="Normal"/>
    <w:link w:val="FooterChar"/>
    <w:uiPriority w:val="99"/>
    <w:unhideWhenUsed/>
    <w:rsid w:val="3B0D9F72"/>
  </w:style>
  <w:style w:type="character" w:customStyle="1" w:styleId="FooterChar">
    <w:name w:val="Footer Char"/>
    <w:basedOn w:val="DefaultParagraphFont"/>
    <w:link w:val="Footer"/>
    <w:uiPriority w:val="99"/>
    <w:rsid w:val="00415E6E"/>
  </w:style>
  <w:style w:type="character" w:styleId="FootnoteReference">
    <w:name w:val="footnote reference"/>
    <w:basedOn w:val="DefaultParagraphFont"/>
    <w:uiPriority w:val="99"/>
    <w:semiHidden/>
    <w:unhideWhenUsed/>
    <w:rsid w:val="00CB5A85"/>
    <w:rPr>
      <w:vertAlign w:val="superscript"/>
    </w:rPr>
  </w:style>
  <w:style w:type="paragraph" w:styleId="FootnoteText">
    <w:name w:val="footnote text"/>
    <w:basedOn w:val="Normal"/>
    <w:link w:val="FootnoteTextChar"/>
    <w:uiPriority w:val="99"/>
    <w:unhideWhenUsed/>
    <w:rsid w:val="00172432"/>
    <w:pPr>
      <w:spacing w:before="40" w:after="40" w:line="240" w:lineRule="auto"/>
    </w:pPr>
    <w:rPr>
      <w:rFonts w:cs="Times New Roman (Body CS)"/>
      <w:sz w:val="18"/>
    </w:rPr>
  </w:style>
  <w:style w:type="character" w:customStyle="1" w:styleId="FootnoteTextChar">
    <w:name w:val="Footnote Text Char"/>
    <w:basedOn w:val="DefaultParagraphFont"/>
    <w:link w:val="FootnoteText"/>
    <w:uiPriority w:val="99"/>
    <w:rsid w:val="00172432"/>
    <w:rPr>
      <w:rFonts w:ascii="Calibri" w:hAnsi="Calibri" w:cs="Times New Roman (Body CS)"/>
      <w:sz w:val="18"/>
      <w:lang w:val="en-AU"/>
    </w:rPr>
  </w:style>
  <w:style w:type="table" w:styleId="GridTable1Light">
    <w:name w:val="Grid Table 1 Light"/>
    <w:basedOn w:val="TableNormal"/>
    <w:uiPriority w:val="46"/>
    <w:rsid w:val="0051234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1234A"/>
    <w:tblPr>
      <w:tblStyleRowBandSize w:val="1"/>
      <w:tblStyleColBandSize w:val="1"/>
      <w:tblBorders>
        <w:top w:val="single" w:sz="4" w:space="0" w:color="F07DE8" w:themeColor="accent1" w:themeTint="66"/>
        <w:left w:val="single" w:sz="4" w:space="0" w:color="F07DE8" w:themeColor="accent1" w:themeTint="66"/>
        <w:bottom w:val="single" w:sz="4" w:space="0" w:color="F07DE8" w:themeColor="accent1" w:themeTint="66"/>
        <w:right w:val="single" w:sz="4" w:space="0" w:color="F07DE8" w:themeColor="accent1" w:themeTint="66"/>
        <w:insideH w:val="single" w:sz="4" w:space="0" w:color="F07DE8" w:themeColor="accent1" w:themeTint="66"/>
        <w:insideV w:val="single" w:sz="4" w:space="0" w:color="F07DE8" w:themeColor="accent1" w:themeTint="66"/>
      </w:tblBorders>
    </w:tblPr>
    <w:tblStylePr w:type="firstRow">
      <w:rPr>
        <w:b/>
        <w:bCs/>
      </w:rPr>
      <w:tblPr/>
      <w:tcPr>
        <w:tcBorders>
          <w:bottom w:val="single" w:sz="12" w:space="0" w:color="E93CDD" w:themeColor="accent1" w:themeTint="99"/>
        </w:tcBorders>
      </w:tcPr>
    </w:tblStylePr>
    <w:tblStylePr w:type="lastRow">
      <w:rPr>
        <w:b/>
        <w:bCs/>
      </w:rPr>
      <w:tblPr/>
      <w:tcPr>
        <w:tcBorders>
          <w:top w:val="double" w:sz="2" w:space="0" w:color="E93C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1234A"/>
    <w:tblPr>
      <w:tblStyleRowBandSize w:val="1"/>
      <w:tblStyleColBandSize w:val="1"/>
      <w:tblBorders>
        <w:top w:val="single" w:sz="4" w:space="0" w:color="B6DDE8" w:themeColor="accent2" w:themeTint="66"/>
        <w:left w:val="single" w:sz="4" w:space="0" w:color="B6DDE8" w:themeColor="accent2" w:themeTint="66"/>
        <w:bottom w:val="single" w:sz="4" w:space="0" w:color="B6DDE8" w:themeColor="accent2" w:themeTint="66"/>
        <w:right w:val="single" w:sz="4" w:space="0" w:color="B6DDE8" w:themeColor="accent2" w:themeTint="66"/>
        <w:insideH w:val="single" w:sz="4" w:space="0" w:color="B6DDE8" w:themeColor="accent2" w:themeTint="66"/>
        <w:insideV w:val="single" w:sz="4" w:space="0" w:color="B6DDE8" w:themeColor="accent2" w:themeTint="66"/>
      </w:tblBorders>
    </w:tblPr>
    <w:tblStylePr w:type="firstRow">
      <w:rPr>
        <w:b/>
        <w:bCs/>
      </w:rPr>
      <w:tblPr/>
      <w:tcPr>
        <w:tcBorders>
          <w:bottom w:val="single" w:sz="12" w:space="0" w:color="92CDDC" w:themeColor="accent2" w:themeTint="99"/>
        </w:tcBorders>
      </w:tcPr>
    </w:tblStylePr>
    <w:tblStylePr w:type="lastRow">
      <w:rPr>
        <w:b/>
        <w:bCs/>
      </w:rPr>
      <w:tblPr/>
      <w:tcPr>
        <w:tcBorders>
          <w:top w:val="double" w:sz="2" w:space="0" w:color="92CDD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1234A"/>
    <w:tblPr>
      <w:tblStyleRowBandSize w:val="1"/>
      <w:tblStyleColBandSize w:val="1"/>
      <w:tblBorders>
        <w:top w:val="single" w:sz="4" w:space="0" w:color="EFEFEF" w:themeColor="accent3" w:themeTint="66"/>
        <w:left w:val="single" w:sz="4" w:space="0" w:color="EFEFEF" w:themeColor="accent3" w:themeTint="66"/>
        <w:bottom w:val="single" w:sz="4" w:space="0" w:color="EFEFEF" w:themeColor="accent3" w:themeTint="66"/>
        <w:right w:val="single" w:sz="4" w:space="0" w:color="EFEFEF" w:themeColor="accent3" w:themeTint="66"/>
        <w:insideH w:val="single" w:sz="4" w:space="0" w:color="EFEFEF" w:themeColor="accent3" w:themeTint="66"/>
        <w:insideV w:val="single" w:sz="4" w:space="0" w:color="EFEFEF" w:themeColor="accent3" w:themeTint="66"/>
      </w:tblBorders>
    </w:tblPr>
    <w:tblStylePr w:type="firstRow">
      <w:rPr>
        <w:b/>
        <w:bCs/>
      </w:rPr>
      <w:tblPr/>
      <w:tcPr>
        <w:tcBorders>
          <w:bottom w:val="single" w:sz="12" w:space="0" w:color="E7E7E7" w:themeColor="accent3" w:themeTint="99"/>
        </w:tcBorders>
      </w:tcPr>
    </w:tblStylePr>
    <w:tblStylePr w:type="lastRow">
      <w:rPr>
        <w:b/>
        <w:bCs/>
      </w:rPr>
      <w:tblPr/>
      <w:tcPr>
        <w:tcBorders>
          <w:top w:val="double" w:sz="2" w:space="0" w:color="E7E7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1234A"/>
    <w:tblPr>
      <w:tblStyleRowBandSize w:val="1"/>
      <w:tblStyleColBandSize w:val="1"/>
      <w:tblBorders>
        <w:top w:val="single" w:sz="4" w:space="0" w:color="D1E0F3" w:themeColor="accent4" w:themeTint="66"/>
        <w:left w:val="single" w:sz="4" w:space="0" w:color="D1E0F3" w:themeColor="accent4" w:themeTint="66"/>
        <w:bottom w:val="single" w:sz="4" w:space="0" w:color="D1E0F3" w:themeColor="accent4" w:themeTint="66"/>
        <w:right w:val="single" w:sz="4" w:space="0" w:color="D1E0F3" w:themeColor="accent4" w:themeTint="66"/>
        <w:insideH w:val="single" w:sz="4" w:space="0" w:color="D1E0F3" w:themeColor="accent4" w:themeTint="66"/>
        <w:insideV w:val="single" w:sz="4" w:space="0" w:color="D1E0F3" w:themeColor="accent4" w:themeTint="66"/>
      </w:tblBorders>
    </w:tblPr>
    <w:tblStylePr w:type="firstRow">
      <w:rPr>
        <w:b/>
        <w:bCs/>
      </w:rPr>
      <w:tblPr/>
      <w:tcPr>
        <w:tcBorders>
          <w:bottom w:val="single" w:sz="12" w:space="0" w:color="BAD1ED" w:themeColor="accent4" w:themeTint="99"/>
        </w:tcBorders>
      </w:tcPr>
    </w:tblStylePr>
    <w:tblStylePr w:type="lastRow">
      <w:rPr>
        <w:b/>
        <w:bCs/>
      </w:rPr>
      <w:tblPr/>
      <w:tcPr>
        <w:tcBorders>
          <w:top w:val="double" w:sz="2" w:space="0" w:color="BAD1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1234A"/>
    <w:tblPr>
      <w:tblStyleRowBandSize w:val="1"/>
      <w:tblStyleColBandSize w:val="1"/>
      <w:tblBorders>
        <w:top w:val="single" w:sz="4" w:space="0" w:color="F8F7F2" w:themeColor="accent5" w:themeTint="66"/>
        <w:left w:val="single" w:sz="4" w:space="0" w:color="F8F7F2" w:themeColor="accent5" w:themeTint="66"/>
        <w:bottom w:val="single" w:sz="4" w:space="0" w:color="F8F7F2" w:themeColor="accent5" w:themeTint="66"/>
        <w:right w:val="single" w:sz="4" w:space="0" w:color="F8F7F2" w:themeColor="accent5" w:themeTint="66"/>
        <w:insideH w:val="single" w:sz="4" w:space="0" w:color="F8F7F2" w:themeColor="accent5" w:themeTint="66"/>
        <w:insideV w:val="single" w:sz="4" w:space="0" w:color="F8F7F2" w:themeColor="accent5" w:themeTint="66"/>
      </w:tblBorders>
    </w:tblPr>
    <w:tblStylePr w:type="firstRow">
      <w:rPr>
        <w:b/>
        <w:bCs/>
      </w:rPr>
      <w:tblPr/>
      <w:tcPr>
        <w:tcBorders>
          <w:bottom w:val="single" w:sz="12" w:space="0" w:color="F4F3EC" w:themeColor="accent5" w:themeTint="99"/>
        </w:tcBorders>
      </w:tcPr>
    </w:tblStylePr>
    <w:tblStylePr w:type="lastRow">
      <w:rPr>
        <w:b/>
        <w:bCs/>
      </w:rPr>
      <w:tblPr/>
      <w:tcPr>
        <w:tcBorders>
          <w:top w:val="double" w:sz="2" w:space="0" w:color="F4F3E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1234A"/>
    <w:tblPr>
      <w:tblStyleRowBandSize w:val="1"/>
      <w:tblStyleColBandSize w:val="1"/>
      <w:tblBorders>
        <w:top w:val="single" w:sz="4" w:space="0" w:color="F9C59B" w:themeColor="accent6" w:themeTint="66"/>
        <w:left w:val="single" w:sz="4" w:space="0" w:color="F9C59B" w:themeColor="accent6" w:themeTint="66"/>
        <w:bottom w:val="single" w:sz="4" w:space="0" w:color="F9C59B" w:themeColor="accent6" w:themeTint="66"/>
        <w:right w:val="single" w:sz="4" w:space="0" w:color="F9C59B" w:themeColor="accent6" w:themeTint="66"/>
        <w:insideH w:val="single" w:sz="4" w:space="0" w:color="F9C59B" w:themeColor="accent6" w:themeTint="66"/>
        <w:insideV w:val="single" w:sz="4" w:space="0" w:color="F9C59B" w:themeColor="accent6" w:themeTint="66"/>
      </w:tblBorders>
    </w:tblPr>
    <w:tblStylePr w:type="firstRow">
      <w:rPr>
        <w:b/>
        <w:bCs/>
      </w:rPr>
      <w:tblPr/>
      <w:tcPr>
        <w:tcBorders>
          <w:bottom w:val="single" w:sz="12" w:space="0" w:color="F6A869" w:themeColor="accent6" w:themeTint="99"/>
        </w:tcBorders>
      </w:tcPr>
    </w:tblStylePr>
    <w:tblStylePr w:type="lastRow">
      <w:rPr>
        <w:b/>
        <w:bCs/>
      </w:rPr>
      <w:tblPr/>
      <w:tcPr>
        <w:tcBorders>
          <w:top w:val="double" w:sz="2" w:space="0" w:color="F6A86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1234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1234A"/>
    <w:tblPr>
      <w:tblStyleRowBandSize w:val="1"/>
      <w:tblStyleColBandSize w:val="1"/>
      <w:tblBorders>
        <w:top w:val="single" w:sz="2" w:space="0" w:color="E93CDD" w:themeColor="accent1" w:themeTint="99"/>
        <w:bottom w:val="single" w:sz="2" w:space="0" w:color="E93CDD" w:themeColor="accent1" w:themeTint="99"/>
        <w:insideH w:val="single" w:sz="2" w:space="0" w:color="E93CDD" w:themeColor="accent1" w:themeTint="99"/>
        <w:insideV w:val="single" w:sz="2" w:space="0" w:color="E93CDD" w:themeColor="accent1" w:themeTint="99"/>
      </w:tblBorders>
    </w:tblPr>
    <w:tblStylePr w:type="firstRow">
      <w:rPr>
        <w:b/>
        <w:bCs/>
      </w:rPr>
      <w:tblPr/>
      <w:tcPr>
        <w:tcBorders>
          <w:top w:val="nil"/>
          <w:bottom w:val="single" w:sz="12" w:space="0" w:color="E93CDD" w:themeColor="accent1" w:themeTint="99"/>
          <w:insideH w:val="nil"/>
          <w:insideV w:val="nil"/>
        </w:tcBorders>
        <w:shd w:val="clear" w:color="auto" w:fill="FFFFFF" w:themeFill="background1"/>
      </w:tcPr>
    </w:tblStylePr>
    <w:tblStylePr w:type="lastRow">
      <w:rPr>
        <w:b/>
        <w:bCs/>
      </w:rPr>
      <w:tblPr/>
      <w:tcPr>
        <w:tcBorders>
          <w:top w:val="double" w:sz="2" w:space="0" w:color="E93C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BEF3" w:themeFill="accent1" w:themeFillTint="33"/>
      </w:tcPr>
    </w:tblStylePr>
    <w:tblStylePr w:type="band1Horz">
      <w:tblPr/>
      <w:tcPr>
        <w:shd w:val="clear" w:color="auto" w:fill="F7BEF3" w:themeFill="accent1" w:themeFillTint="33"/>
      </w:tcPr>
    </w:tblStylePr>
  </w:style>
  <w:style w:type="table" w:styleId="GridTable2-Accent2">
    <w:name w:val="Grid Table 2 Accent 2"/>
    <w:basedOn w:val="TableNormal"/>
    <w:uiPriority w:val="47"/>
    <w:rsid w:val="0051234A"/>
    <w:tblPr>
      <w:tblStyleRowBandSize w:val="1"/>
      <w:tblStyleColBandSize w:val="1"/>
      <w:tblBorders>
        <w:top w:val="single" w:sz="2" w:space="0" w:color="92CDDC" w:themeColor="accent2" w:themeTint="99"/>
        <w:bottom w:val="single" w:sz="2" w:space="0" w:color="92CDDC" w:themeColor="accent2" w:themeTint="99"/>
        <w:insideH w:val="single" w:sz="2" w:space="0" w:color="92CDDC" w:themeColor="accent2" w:themeTint="99"/>
        <w:insideV w:val="single" w:sz="2" w:space="0" w:color="92CDDC" w:themeColor="accent2" w:themeTint="99"/>
      </w:tblBorders>
    </w:tblPr>
    <w:tblStylePr w:type="firstRow">
      <w:rPr>
        <w:b/>
        <w:bCs/>
      </w:rPr>
      <w:tblPr/>
      <w:tcPr>
        <w:tcBorders>
          <w:top w:val="nil"/>
          <w:bottom w:val="single" w:sz="12" w:space="0" w:color="92CDDC" w:themeColor="accent2" w:themeTint="99"/>
          <w:insideH w:val="nil"/>
          <w:insideV w:val="nil"/>
        </w:tcBorders>
        <w:shd w:val="clear" w:color="auto" w:fill="FFFFFF" w:themeFill="background1"/>
      </w:tcPr>
    </w:tblStylePr>
    <w:tblStylePr w:type="lastRow">
      <w:rPr>
        <w:b/>
        <w:bCs/>
      </w:rPr>
      <w:tblPr/>
      <w:tcPr>
        <w:tcBorders>
          <w:top w:val="double" w:sz="2" w:space="0" w:color="92CDD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2" w:themeFillTint="33"/>
      </w:tcPr>
    </w:tblStylePr>
    <w:tblStylePr w:type="band1Horz">
      <w:tblPr/>
      <w:tcPr>
        <w:shd w:val="clear" w:color="auto" w:fill="DAEEF3" w:themeFill="accent2" w:themeFillTint="33"/>
      </w:tcPr>
    </w:tblStylePr>
  </w:style>
  <w:style w:type="table" w:styleId="GridTable2-Accent3">
    <w:name w:val="Grid Table 2 Accent 3"/>
    <w:basedOn w:val="TableNormal"/>
    <w:uiPriority w:val="47"/>
    <w:rsid w:val="0051234A"/>
    <w:tblPr>
      <w:tblStyleRowBandSize w:val="1"/>
      <w:tblStyleColBandSize w:val="1"/>
      <w:tblBorders>
        <w:top w:val="single" w:sz="2" w:space="0" w:color="E7E7E7" w:themeColor="accent3" w:themeTint="99"/>
        <w:bottom w:val="single" w:sz="2" w:space="0" w:color="E7E7E7" w:themeColor="accent3" w:themeTint="99"/>
        <w:insideH w:val="single" w:sz="2" w:space="0" w:color="E7E7E7" w:themeColor="accent3" w:themeTint="99"/>
        <w:insideV w:val="single" w:sz="2" w:space="0" w:color="E7E7E7" w:themeColor="accent3" w:themeTint="99"/>
      </w:tblBorders>
    </w:tblPr>
    <w:tblStylePr w:type="firstRow">
      <w:rPr>
        <w:b/>
        <w:bCs/>
      </w:rPr>
      <w:tblPr/>
      <w:tcPr>
        <w:tcBorders>
          <w:top w:val="nil"/>
          <w:bottom w:val="single" w:sz="12" w:space="0" w:color="E7E7E7" w:themeColor="accent3" w:themeTint="99"/>
          <w:insideH w:val="nil"/>
          <w:insideV w:val="nil"/>
        </w:tcBorders>
        <w:shd w:val="clear" w:color="auto" w:fill="FFFFFF" w:themeFill="background1"/>
      </w:tcPr>
    </w:tblStylePr>
    <w:tblStylePr w:type="lastRow">
      <w:rPr>
        <w:b/>
        <w:bCs/>
      </w:rPr>
      <w:tblPr/>
      <w:tcPr>
        <w:tcBorders>
          <w:top w:val="double" w:sz="2" w:space="0" w:color="E7E7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table" w:styleId="GridTable2-Accent4">
    <w:name w:val="Grid Table 2 Accent 4"/>
    <w:basedOn w:val="TableNormal"/>
    <w:uiPriority w:val="47"/>
    <w:rsid w:val="0051234A"/>
    <w:tblPr>
      <w:tblStyleRowBandSize w:val="1"/>
      <w:tblStyleColBandSize w:val="1"/>
      <w:tblBorders>
        <w:top w:val="single" w:sz="2" w:space="0" w:color="BAD1ED" w:themeColor="accent4" w:themeTint="99"/>
        <w:bottom w:val="single" w:sz="2" w:space="0" w:color="BAD1ED" w:themeColor="accent4" w:themeTint="99"/>
        <w:insideH w:val="single" w:sz="2" w:space="0" w:color="BAD1ED" w:themeColor="accent4" w:themeTint="99"/>
        <w:insideV w:val="single" w:sz="2" w:space="0" w:color="BAD1ED" w:themeColor="accent4" w:themeTint="99"/>
      </w:tblBorders>
    </w:tblPr>
    <w:tblStylePr w:type="firstRow">
      <w:rPr>
        <w:b/>
        <w:bCs/>
      </w:rPr>
      <w:tblPr/>
      <w:tcPr>
        <w:tcBorders>
          <w:top w:val="nil"/>
          <w:bottom w:val="single" w:sz="12" w:space="0" w:color="BAD1ED" w:themeColor="accent4" w:themeTint="99"/>
          <w:insideH w:val="nil"/>
          <w:insideV w:val="nil"/>
        </w:tcBorders>
        <w:shd w:val="clear" w:color="auto" w:fill="FFFFFF" w:themeFill="background1"/>
      </w:tcPr>
    </w:tblStylePr>
    <w:tblStylePr w:type="lastRow">
      <w:rPr>
        <w:b/>
        <w:bCs/>
      </w:rPr>
      <w:tblPr/>
      <w:tcPr>
        <w:tcBorders>
          <w:top w:val="double" w:sz="2" w:space="0" w:color="BAD1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FF9" w:themeFill="accent4" w:themeFillTint="33"/>
      </w:tcPr>
    </w:tblStylePr>
    <w:tblStylePr w:type="band1Horz">
      <w:tblPr/>
      <w:tcPr>
        <w:shd w:val="clear" w:color="auto" w:fill="E8EFF9" w:themeFill="accent4" w:themeFillTint="33"/>
      </w:tcPr>
    </w:tblStylePr>
  </w:style>
  <w:style w:type="table" w:styleId="GridTable2-Accent5">
    <w:name w:val="Grid Table 2 Accent 5"/>
    <w:basedOn w:val="TableNormal"/>
    <w:uiPriority w:val="47"/>
    <w:rsid w:val="0051234A"/>
    <w:tblPr>
      <w:tblStyleRowBandSize w:val="1"/>
      <w:tblStyleColBandSize w:val="1"/>
      <w:tblBorders>
        <w:top w:val="single" w:sz="2" w:space="0" w:color="F4F3EC" w:themeColor="accent5" w:themeTint="99"/>
        <w:bottom w:val="single" w:sz="2" w:space="0" w:color="F4F3EC" w:themeColor="accent5" w:themeTint="99"/>
        <w:insideH w:val="single" w:sz="2" w:space="0" w:color="F4F3EC" w:themeColor="accent5" w:themeTint="99"/>
        <w:insideV w:val="single" w:sz="2" w:space="0" w:color="F4F3EC" w:themeColor="accent5" w:themeTint="99"/>
      </w:tblBorders>
    </w:tblPr>
    <w:tblStylePr w:type="firstRow">
      <w:rPr>
        <w:b/>
        <w:bCs/>
      </w:rPr>
      <w:tblPr/>
      <w:tcPr>
        <w:tcBorders>
          <w:top w:val="nil"/>
          <w:bottom w:val="single" w:sz="12" w:space="0" w:color="F4F3EC" w:themeColor="accent5" w:themeTint="99"/>
          <w:insideH w:val="nil"/>
          <w:insideV w:val="nil"/>
        </w:tcBorders>
        <w:shd w:val="clear" w:color="auto" w:fill="FFFFFF" w:themeFill="background1"/>
      </w:tcPr>
    </w:tblStylePr>
    <w:tblStylePr w:type="lastRow">
      <w:rPr>
        <w:b/>
        <w:bCs/>
      </w:rPr>
      <w:tblPr/>
      <w:tcPr>
        <w:tcBorders>
          <w:top w:val="double" w:sz="2" w:space="0" w:color="F4F3E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BF8" w:themeFill="accent5" w:themeFillTint="33"/>
      </w:tcPr>
    </w:tblStylePr>
    <w:tblStylePr w:type="band1Horz">
      <w:tblPr/>
      <w:tcPr>
        <w:shd w:val="clear" w:color="auto" w:fill="FBFBF8" w:themeFill="accent5" w:themeFillTint="33"/>
      </w:tcPr>
    </w:tblStylePr>
  </w:style>
  <w:style w:type="table" w:styleId="GridTable2-Accent6">
    <w:name w:val="Grid Table 2 Accent 6"/>
    <w:basedOn w:val="TableNormal"/>
    <w:uiPriority w:val="47"/>
    <w:rsid w:val="0051234A"/>
    <w:tblPr>
      <w:tblStyleRowBandSize w:val="1"/>
      <w:tblStyleColBandSize w:val="1"/>
      <w:tblBorders>
        <w:top w:val="single" w:sz="2" w:space="0" w:color="F6A869" w:themeColor="accent6" w:themeTint="99"/>
        <w:bottom w:val="single" w:sz="2" w:space="0" w:color="F6A869" w:themeColor="accent6" w:themeTint="99"/>
        <w:insideH w:val="single" w:sz="2" w:space="0" w:color="F6A869" w:themeColor="accent6" w:themeTint="99"/>
        <w:insideV w:val="single" w:sz="2" w:space="0" w:color="F6A869" w:themeColor="accent6" w:themeTint="99"/>
      </w:tblBorders>
    </w:tblPr>
    <w:tblStylePr w:type="firstRow">
      <w:rPr>
        <w:b/>
        <w:bCs/>
      </w:rPr>
      <w:tblPr/>
      <w:tcPr>
        <w:tcBorders>
          <w:top w:val="nil"/>
          <w:bottom w:val="single" w:sz="12" w:space="0" w:color="F6A869" w:themeColor="accent6" w:themeTint="99"/>
          <w:insideH w:val="nil"/>
          <w:insideV w:val="nil"/>
        </w:tcBorders>
        <w:shd w:val="clear" w:color="auto" w:fill="FFFFFF" w:themeFill="background1"/>
      </w:tcPr>
    </w:tblStylePr>
    <w:tblStylePr w:type="lastRow">
      <w:rPr>
        <w:b/>
        <w:bCs/>
      </w:rPr>
      <w:tblPr/>
      <w:tcPr>
        <w:tcBorders>
          <w:top w:val="double" w:sz="2" w:space="0" w:color="F6A86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2CD" w:themeFill="accent6" w:themeFillTint="33"/>
      </w:tcPr>
    </w:tblStylePr>
    <w:tblStylePr w:type="band1Horz">
      <w:tblPr/>
      <w:tcPr>
        <w:shd w:val="clear" w:color="auto" w:fill="FCE2CD" w:themeFill="accent6" w:themeFillTint="33"/>
      </w:tcPr>
    </w:tblStylePr>
  </w:style>
  <w:style w:type="table" w:styleId="GridTable3">
    <w:name w:val="Grid Table 3"/>
    <w:basedOn w:val="TableNormal"/>
    <w:uiPriority w:val="48"/>
    <w:rsid w:val="0051234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1234A"/>
    <w:tblPr>
      <w:tblStyleRowBandSize w:val="1"/>
      <w:tblStyleColBandSize w:val="1"/>
      <w:tblBorders>
        <w:top w:val="single" w:sz="4" w:space="0" w:color="E93CDD" w:themeColor="accent1" w:themeTint="99"/>
        <w:left w:val="single" w:sz="4" w:space="0" w:color="E93CDD" w:themeColor="accent1" w:themeTint="99"/>
        <w:bottom w:val="single" w:sz="4" w:space="0" w:color="E93CDD" w:themeColor="accent1" w:themeTint="99"/>
        <w:right w:val="single" w:sz="4" w:space="0" w:color="E93CDD" w:themeColor="accent1" w:themeTint="99"/>
        <w:insideH w:val="single" w:sz="4" w:space="0" w:color="E93CDD" w:themeColor="accent1" w:themeTint="99"/>
        <w:insideV w:val="single" w:sz="4" w:space="0" w:color="E93C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BEF3" w:themeFill="accent1" w:themeFillTint="33"/>
      </w:tcPr>
    </w:tblStylePr>
    <w:tblStylePr w:type="band1Horz">
      <w:tblPr/>
      <w:tcPr>
        <w:shd w:val="clear" w:color="auto" w:fill="F7BEF3" w:themeFill="accent1" w:themeFillTint="33"/>
      </w:tcPr>
    </w:tblStylePr>
    <w:tblStylePr w:type="neCell">
      <w:tblPr/>
      <w:tcPr>
        <w:tcBorders>
          <w:bottom w:val="single" w:sz="4" w:space="0" w:color="E93CDD" w:themeColor="accent1" w:themeTint="99"/>
        </w:tcBorders>
      </w:tcPr>
    </w:tblStylePr>
    <w:tblStylePr w:type="nwCell">
      <w:tblPr/>
      <w:tcPr>
        <w:tcBorders>
          <w:bottom w:val="single" w:sz="4" w:space="0" w:color="E93CDD" w:themeColor="accent1" w:themeTint="99"/>
        </w:tcBorders>
      </w:tcPr>
    </w:tblStylePr>
    <w:tblStylePr w:type="seCell">
      <w:tblPr/>
      <w:tcPr>
        <w:tcBorders>
          <w:top w:val="single" w:sz="4" w:space="0" w:color="E93CDD" w:themeColor="accent1" w:themeTint="99"/>
        </w:tcBorders>
      </w:tcPr>
    </w:tblStylePr>
    <w:tblStylePr w:type="swCell">
      <w:tblPr/>
      <w:tcPr>
        <w:tcBorders>
          <w:top w:val="single" w:sz="4" w:space="0" w:color="E93CDD" w:themeColor="accent1" w:themeTint="99"/>
        </w:tcBorders>
      </w:tcPr>
    </w:tblStylePr>
  </w:style>
  <w:style w:type="table" w:styleId="GridTable3-Accent2">
    <w:name w:val="Grid Table 3 Accent 2"/>
    <w:basedOn w:val="TableNormal"/>
    <w:uiPriority w:val="48"/>
    <w:rsid w:val="0051234A"/>
    <w:tblPr>
      <w:tblStyleRowBandSize w:val="1"/>
      <w:tblStyleColBandSize w:val="1"/>
      <w:tblBorders>
        <w:top w:val="single" w:sz="4" w:space="0" w:color="92CDDC" w:themeColor="accent2" w:themeTint="99"/>
        <w:left w:val="single" w:sz="4" w:space="0" w:color="92CDDC" w:themeColor="accent2" w:themeTint="99"/>
        <w:bottom w:val="single" w:sz="4" w:space="0" w:color="92CDDC" w:themeColor="accent2" w:themeTint="99"/>
        <w:right w:val="single" w:sz="4" w:space="0" w:color="92CDDC" w:themeColor="accent2" w:themeTint="99"/>
        <w:insideH w:val="single" w:sz="4" w:space="0" w:color="92CDDC" w:themeColor="accent2" w:themeTint="99"/>
        <w:insideV w:val="single" w:sz="4" w:space="0" w:color="92CDD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2" w:themeFillTint="33"/>
      </w:tcPr>
    </w:tblStylePr>
    <w:tblStylePr w:type="band1Horz">
      <w:tblPr/>
      <w:tcPr>
        <w:shd w:val="clear" w:color="auto" w:fill="DAEEF3" w:themeFill="accent2" w:themeFillTint="33"/>
      </w:tcPr>
    </w:tblStylePr>
    <w:tblStylePr w:type="neCell">
      <w:tblPr/>
      <w:tcPr>
        <w:tcBorders>
          <w:bottom w:val="single" w:sz="4" w:space="0" w:color="92CDDC" w:themeColor="accent2" w:themeTint="99"/>
        </w:tcBorders>
      </w:tcPr>
    </w:tblStylePr>
    <w:tblStylePr w:type="nwCell">
      <w:tblPr/>
      <w:tcPr>
        <w:tcBorders>
          <w:bottom w:val="single" w:sz="4" w:space="0" w:color="92CDDC" w:themeColor="accent2" w:themeTint="99"/>
        </w:tcBorders>
      </w:tcPr>
    </w:tblStylePr>
    <w:tblStylePr w:type="seCell">
      <w:tblPr/>
      <w:tcPr>
        <w:tcBorders>
          <w:top w:val="single" w:sz="4" w:space="0" w:color="92CDDC" w:themeColor="accent2" w:themeTint="99"/>
        </w:tcBorders>
      </w:tcPr>
    </w:tblStylePr>
    <w:tblStylePr w:type="swCell">
      <w:tblPr/>
      <w:tcPr>
        <w:tcBorders>
          <w:top w:val="single" w:sz="4" w:space="0" w:color="92CDDC" w:themeColor="accent2" w:themeTint="99"/>
        </w:tcBorders>
      </w:tcPr>
    </w:tblStylePr>
  </w:style>
  <w:style w:type="table" w:styleId="GridTable3-Accent3">
    <w:name w:val="Grid Table 3 Accent 3"/>
    <w:basedOn w:val="TableNormal"/>
    <w:uiPriority w:val="48"/>
    <w:rsid w:val="0051234A"/>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3" w:themeFillTint="33"/>
      </w:tcPr>
    </w:tblStylePr>
    <w:tblStylePr w:type="band1Horz">
      <w:tblPr/>
      <w:tcPr>
        <w:shd w:val="clear" w:color="auto" w:fill="F7F7F7" w:themeFill="accent3" w:themeFillTint="33"/>
      </w:tcPr>
    </w:tblStylePr>
    <w:tblStylePr w:type="neCell">
      <w:tblPr/>
      <w:tcPr>
        <w:tcBorders>
          <w:bottom w:val="single" w:sz="4" w:space="0" w:color="E7E7E7" w:themeColor="accent3" w:themeTint="99"/>
        </w:tcBorders>
      </w:tcPr>
    </w:tblStylePr>
    <w:tblStylePr w:type="nwCell">
      <w:tblPr/>
      <w:tcPr>
        <w:tcBorders>
          <w:bottom w:val="single" w:sz="4" w:space="0" w:color="E7E7E7" w:themeColor="accent3" w:themeTint="99"/>
        </w:tcBorders>
      </w:tcPr>
    </w:tblStylePr>
    <w:tblStylePr w:type="seCell">
      <w:tblPr/>
      <w:tcPr>
        <w:tcBorders>
          <w:top w:val="single" w:sz="4" w:space="0" w:color="E7E7E7" w:themeColor="accent3" w:themeTint="99"/>
        </w:tcBorders>
      </w:tcPr>
    </w:tblStylePr>
    <w:tblStylePr w:type="swCell">
      <w:tblPr/>
      <w:tcPr>
        <w:tcBorders>
          <w:top w:val="single" w:sz="4" w:space="0" w:color="E7E7E7" w:themeColor="accent3" w:themeTint="99"/>
        </w:tcBorders>
      </w:tcPr>
    </w:tblStylePr>
  </w:style>
  <w:style w:type="table" w:styleId="GridTable3-Accent4">
    <w:name w:val="Grid Table 3 Accent 4"/>
    <w:basedOn w:val="TableNormal"/>
    <w:uiPriority w:val="48"/>
    <w:rsid w:val="0051234A"/>
    <w:tblPr>
      <w:tblStyleRowBandSize w:val="1"/>
      <w:tblStyleColBandSize w:val="1"/>
      <w:tblBorders>
        <w:top w:val="single" w:sz="4" w:space="0" w:color="BAD1ED" w:themeColor="accent4" w:themeTint="99"/>
        <w:left w:val="single" w:sz="4" w:space="0" w:color="BAD1ED" w:themeColor="accent4" w:themeTint="99"/>
        <w:bottom w:val="single" w:sz="4" w:space="0" w:color="BAD1ED" w:themeColor="accent4" w:themeTint="99"/>
        <w:right w:val="single" w:sz="4" w:space="0" w:color="BAD1ED" w:themeColor="accent4" w:themeTint="99"/>
        <w:insideH w:val="single" w:sz="4" w:space="0" w:color="BAD1ED" w:themeColor="accent4" w:themeTint="99"/>
        <w:insideV w:val="single" w:sz="4" w:space="0" w:color="BAD1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9" w:themeFill="accent4" w:themeFillTint="33"/>
      </w:tcPr>
    </w:tblStylePr>
    <w:tblStylePr w:type="band1Horz">
      <w:tblPr/>
      <w:tcPr>
        <w:shd w:val="clear" w:color="auto" w:fill="E8EFF9" w:themeFill="accent4" w:themeFillTint="33"/>
      </w:tcPr>
    </w:tblStylePr>
    <w:tblStylePr w:type="neCell">
      <w:tblPr/>
      <w:tcPr>
        <w:tcBorders>
          <w:bottom w:val="single" w:sz="4" w:space="0" w:color="BAD1ED" w:themeColor="accent4" w:themeTint="99"/>
        </w:tcBorders>
      </w:tcPr>
    </w:tblStylePr>
    <w:tblStylePr w:type="nwCell">
      <w:tblPr/>
      <w:tcPr>
        <w:tcBorders>
          <w:bottom w:val="single" w:sz="4" w:space="0" w:color="BAD1ED" w:themeColor="accent4" w:themeTint="99"/>
        </w:tcBorders>
      </w:tcPr>
    </w:tblStylePr>
    <w:tblStylePr w:type="seCell">
      <w:tblPr/>
      <w:tcPr>
        <w:tcBorders>
          <w:top w:val="single" w:sz="4" w:space="0" w:color="BAD1ED" w:themeColor="accent4" w:themeTint="99"/>
        </w:tcBorders>
      </w:tcPr>
    </w:tblStylePr>
    <w:tblStylePr w:type="swCell">
      <w:tblPr/>
      <w:tcPr>
        <w:tcBorders>
          <w:top w:val="single" w:sz="4" w:space="0" w:color="BAD1ED" w:themeColor="accent4" w:themeTint="99"/>
        </w:tcBorders>
      </w:tcPr>
    </w:tblStylePr>
  </w:style>
  <w:style w:type="table" w:styleId="GridTable3-Accent5">
    <w:name w:val="Grid Table 3 Accent 5"/>
    <w:basedOn w:val="TableNormal"/>
    <w:uiPriority w:val="48"/>
    <w:rsid w:val="0051234A"/>
    <w:tblPr>
      <w:tblStyleRowBandSize w:val="1"/>
      <w:tblStyleColBandSize w:val="1"/>
      <w:tblBorders>
        <w:top w:val="single" w:sz="4" w:space="0" w:color="F4F3EC" w:themeColor="accent5" w:themeTint="99"/>
        <w:left w:val="single" w:sz="4" w:space="0" w:color="F4F3EC" w:themeColor="accent5" w:themeTint="99"/>
        <w:bottom w:val="single" w:sz="4" w:space="0" w:color="F4F3EC" w:themeColor="accent5" w:themeTint="99"/>
        <w:right w:val="single" w:sz="4" w:space="0" w:color="F4F3EC" w:themeColor="accent5" w:themeTint="99"/>
        <w:insideH w:val="single" w:sz="4" w:space="0" w:color="F4F3EC" w:themeColor="accent5" w:themeTint="99"/>
        <w:insideV w:val="single" w:sz="4" w:space="0" w:color="F4F3E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8" w:themeFill="accent5" w:themeFillTint="33"/>
      </w:tcPr>
    </w:tblStylePr>
    <w:tblStylePr w:type="band1Horz">
      <w:tblPr/>
      <w:tcPr>
        <w:shd w:val="clear" w:color="auto" w:fill="FBFBF8" w:themeFill="accent5" w:themeFillTint="33"/>
      </w:tcPr>
    </w:tblStylePr>
    <w:tblStylePr w:type="neCell">
      <w:tblPr/>
      <w:tcPr>
        <w:tcBorders>
          <w:bottom w:val="single" w:sz="4" w:space="0" w:color="F4F3EC" w:themeColor="accent5" w:themeTint="99"/>
        </w:tcBorders>
      </w:tcPr>
    </w:tblStylePr>
    <w:tblStylePr w:type="nwCell">
      <w:tblPr/>
      <w:tcPr>
        <w:tcBorders>
          <w:bottom w:val="single" w:sz="4" w:space="0" w:color="F4F3EC" w:themeColor="accent5" w:themeTint="99"/>
        </w:tcBorders>
      </w:tcPr>
    </w:tblStylePr>
    <w:tblStylePr w:type="seCell">
      <w:tblPr/>
      <w:tcPr>
        <w:tcBorders>
          <w:top w:val="single" w:sz="4" w:space="0" w:color="F4F3EC" w:themeColor="accent5" w:themeTint="99"/>
        </w:tcBorders>
      </w:tcPr>
    </w:tblStylePr>
    <w:tblStylePr w:type="swCell">
      <w:tblPr/>
      <w:tcPr>
        <w:tcBorders>
          <w:top w:val="single" w:sz="4" w:space="0" w:color="F4F3EC" w:themeColor="accent5" w:themeTint="99"/>
        </w:tcBorders>
      </w:tcPr>
    </w:tblStylePr>
  </w:style>
  <w:style w:type="table" w:styleId="GridTable3-Accent6">
    <w:name w:val="Grid Table 3 Accent 6"/>
    <w:basedOn w:val="TableNormal"/>
    <w:uiPriority w:val="48"/>
    <w:rsid w:val="0051234A"/>
    <w:tblPr>
      <w:tblStyleRowBandSize w:val="1"/>
      <w:tblStyleColBandSize w:val="1"/>
      <w:tblBorders>
        <w:top w:val="single" w:sz="4" w:space="0" w:color="F6A869" w:themeColor="accent6" w:themeTint="99"/>
        <w:left w:val="single" w:sz="4" w:space="0" w:color="F6A869" w:themeColor="accent6" w:themeTint="99"/>
        <w:bottom w:val="single" w:sz="4" w:space="0" w:color="F6A869" w:themeColor="accent6" w:themeTint="99"/>
        <w:right w:val="single" w:sz="4" w:space="0" w:color="F6A869" w:themeColor="accent6" w:themeTint="99"/>
        <w:insideH w:val="single" w:sz="4" w:space="0" w:color="F6A869" w:themeColor="accent6" w:themeTint="99"/>
        <w:insideV w:val="single" w:sz="4" w:space="0" w:color="F6A86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2CD" w:themeFill="accent6" w:themeFillTint="33"/>
      </w:tcPr>
    </w:tblStylePr>
    <w:tblStylePr w:type="band1Horz">
      <w:tblPr/>
      <w:tcPr>
        <w:shd w:val="clear" w:color="auto" w:fill="FCE2CD" w:themeFill="accent6" w:themeFillTint="33"/>
      </w:tcPr>
    </w:tblStylePr>
    <w:tblStylePr w:type="neCell">
      <w:tblPr/>
      <w:tcPr>
        <w:tcBorders>
          <w:bottom w:val="single" w:sz="4" w:space="0" w:color="F6A869" w:themeColor="accent6" w:themeTint="99"/>
        </w:tcBorders>
      </w:tcPr>
    </w:tblStylePr>
    <w:tblStylePr w:type="nwCell">
      <w:tblPr/>
      <w:tcPr>
        <w:tcBorders>
          <w:bottom w:val="single" w:sz="4" w:space="0" w:color="F6A869" w:themeColor="accent6" w:themeTint="99"/>
        </w:tcBorders>
      </w:tcPr>
    </w:tblStylePr>
    <w:tblStylePr w:type="seCell">
      <w:tblPr/>
      <w:tcPr>
        <w:tcBorders>
          <w:top w:val="single" w:sz="4" w:space="0" w:color="F6A869" w:themeColor="accent6" w:themeTint="99"/>
        </w:tcBorders>
      </w:tcPr>
    </w:tblStylePr>
    <w:tblStylePr w:type="swCell">
      <w:tblPr/>
      <w:tcPr>
        <w:tcBorders>
          <w:top w:val="single" w:sz="4" w:space="0" w:color="F6A869" w:themeColor="accent6" w:themeTint="99"/>
        </w:tcBorders>
      </w:tcPr>
    </w:tblStylePr>
  </w:style>
  <w:style w:type="table" w:styleId="GridTable4">
    <w:name w:val="Grid Table 4"/>
    <w:basedOn w:val="TableNormal"/>
    <w:uiPriority w:val="49"/>
    <w:rsid w:val="0051234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1234A"/>
    <w:tblPr>
      <w:tblStyleRowBandSize w:val="1"/>
      <w:tblStyleColBandSize w:val="1"/>
      <w:tblBorders>
        <w:top w:val="single" w:sz="4" w:space="0" w:color="E93CDD" w:themeColor="accent1" w:themeTint="99"/>
        <w:left w:val="single" w:sz="4" w:space="0" w:color="E93CDD" w:themeColor="accent1" w:themeTint="99"/>
        <w:bottom w:val="single" w:sz="4" w:space="0" w:color="E93CDD" w:themeColor="accent1" w:themeTint="99"/>
        <w:right w:val="single" w:sz="4" w:space="0" w:color="E93CDD" w:themeColor="accent1" w:themeTint="99"/>
        <w:insideH w:val="single" w:sz="4" w:space="0" w:color="E93CDD" w:themeColor="accent1" w:themeTint="99"/>
        <w:insideV w:val="single" w:sz="4" w:space="0" w:color="E93CDD" w:themeColor="accent1" w:themeTint="99"/>
      </w:tblBorders>
    </w:tblPr>
    <w:tblStylePr w:type="firstRow">
      <w:rPr>
        <w:b/>
        <w:bCs/>
        <w:color w:val="FFFFFF" w:themeColor="background1"/>
      </w:rPr>
      <w:tblPr/>
      <w:tcPr>
        <w:tcBorders>
          <w:top w:val="single" w:sz="4" w:space="0" w:color="870F7F" w:themeColor="accent1"/>
          <w:left w:val="single" w:sz="4" w:space="0" w:color="870F7F" w:themeColor="accent1"/>
          <w:bottom w:val="single" w:sz="4" w:space="0" w:color="870F7F" w:themeColor="accent1"/>
          <w:right w:val="single" w:sz="4" w:space="0" w:color="870F7F" w:themeColor="accent1"/>
          <w:insideH w:val="nil"/>
          <w:insideV w:val="nil"/>
        </w:tcBorders>
        <w:shd w:val="clear" w:color="auto" w:fill="870F7F" w:themeFill="accent1"/>
      </w:tcPr>
    </w:tblStylePr>
    <w:tblStylePr w:type="lastRow">
      <w:rPr>
        <w:b/>
        <w:bCs/>
      </w:rPr>
      <w:tblPr/>
      <w:tcPr>
        <w:tcBorders>
          <w:top w:val="double" w:sz="4" w:space="0" w:color="870F7F" w:themeColor="accent1"/>
        </w:tcBorders>
      </w:tcPr>
    </w:tblStylePr>
    <w:tblStylePr w:type="firstCol">
      <w:rPr>
        <w:b/>
        <w:bCs/>
      </w:rPr>
    </w:tblStylePr>
    <w:tblStylePr w:type="lastCol">
      <w:rPr>
        <w:b/>
        <w:bCs/>
      </w:rPr>
    </w:tblStylePr>
    <w:tblStylePr w:type="band1Vert">
      <w:tblPr/>
      <w:tcPr>
        <w:shd w:val="clear" w:color="auto" w:fill="F7BEF3" w:themeFill="accent1" w:themeFillTint="33"/>
      </w:tcPr>
    </w:tblStylePr>
    <w:tblStylePr w:type="band1Horz">
      <w:tblPr/>
      <w:tcPr>
        <w:shd w:val="clear" w:color="auto" w:fill="F7BEF3" w:themeFill="accent1" w:themeFillTint="33"/>
      </w:tcPr>
    </w:tblStylePr>
  </w:style>
  <w:style w:type="table" w:styleId="GridTable4-Accent2">
    <w:name w:val="Grid Table 4 Accent 2"/>
    <w:basedOn w:val="TableNormal"/>
    <w:uiPriority w:val="49"/>
    <w:rsid w:val="0051234A"/>
    <w:tblPr>
      <w:tblStyleRowBandSize w:val="1"/>
      <w:tblStyleColBandSize w:val="1"/>
      <w:tblBorders>
        <w:top w:val="single" w:sz="4" w:space="0" w:color="92CDDC" w:themeColor="accent2" w:themeTint="99"/>
        <w:left w:val="single" w:sz="4" w:space="0" w:color="92CDDC" w:themeColor="accent2" w:themeTint="99"/>
        <w:bottom w:val="single" w:sz="4" w:space="0" w:color="92CDDC" w:themeColor="accent2" w:themeTint="99"/>
        <w:right w:val="single" w:sz="4" w:space="0" w:color="92CDDC" w:themeColor="accent2" w:themeTint="99"/>
        <w:insideH w:val="single" w:sz="4" w:space="0" w:color="92CDDC" w:themeColor="accent2" w:themeTint="99"/>
        <w:insideV w:val="single" w:sz="4" w:space="0" w:color="92CDDC" w:themeColor="accent2" w:themeTint="99"/>
      </w:tblBorders>
    </w:tblPr>
    <w:tblStylePr w:type="firstRow">
      <w:rPr>
        <w:b/>
        <w:bCs/>
        <w:color w:val="FFFFFF" w:themeColor="background1"/>
      </w:rPr>
      <w:tblPr/>
      <w:tcPr>
        <w:tcBorders>
          <w:top w:val="single" w:sz="4" w:space="0" w:color="4BACC6" w:themeColor="accent2"/>
          <w:left w:val="single" w:sz="4" w:space="0" w:color="4BACC6" w:themeColor="accent2"/>
          <w:bottom w:val="single" w:sz="4" w:space="0" w:color="4BACC6" w:themeColor="accent2"/>
          <w:right w:val="single" w:sz="4" w:space="0" w:color="4BACC6" w:themeColor="accent2"/>
          <w:insideH w:val="nil"/>
          <w:insideV w:val="nil"/>
        </w:tcBorders>
        <w:shd w:val="clear" w:color="auto" w:fill="4BACC6" w:themeFill="accent2"/>
      </w:tcPr>
    </w:tblStylePr>
    <w:tblStylePr w:type="lastRow">
      <w:rPr>
        <w:b/>
        <w:bCs/>
      </w:rPr>
      <w:tblPr/>
      <w:tcPr>
        <w:tcBorders>
          <w:top w:val="double" w:sz="4" w:space="0" w:color="4BACC6" w:themeColor="accent2"/>
        </w:tcBorders>
      </w:tcPr>
    </w:tblStylePr>
    <w:tblStylePr w:type="firstCol">
      <w:rPr>
        <w:b/>
        <w:bCs/>
      </w:rPr>
    </w:tblStylePr>
    <w:tblStylePr w:type="lastCol">
      <w:rPr>
        <w:b/>
        <w:bCs/>
      </w:rPr>
    </w:tblStylePr>
    <w:tblStylePr w:type="band1Vert">
      <w:tblPr/>
      <w:tcPr>
        <w:shd w:val="clear" w:color="auto" w:fill="DAEEF3" w:themeFill="accent2" w:themeFillTint="33"/>
      </w:tcPr>
    </w:tblStylePr>
    <w:tblStylePr w:type="band1Horz">
      <w:tblPr/>
      <w:tcPr>
        <w:shd w:val="clear" w:color="auto" w:fill="DAEEF3" w:themeFill="accent2" w:themeFillTint="33"/>
      </w:tcPr>
    </w:tblStylePr>
  </w:style>
  <w:style w:type="table" w:styleId="GridTable4-Accent3">
    <w:name w:val="Grid Table 4 Accent 3"/>
    <w:basedOn w:val="TableNormal"/>
    <w:uiPriority w:val="49"/>
    <w:rsid w:val="0051234A"/>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table" w:styleId="GridTable4-Accent4">
    <w:name w:val="Grid Table 4 Accent 4"/>
    <w:basedOn w:val="TableNormal"/>
    <w:uiPriority w:val="49"/>
    <w:rsid w:val="0051234A"/>
    <w:tblPr>
      <w:tblStyleRowBandSize w:val="1"/>
      <w:tblStyleColBandSize w:val="1"/>
      <w:tblBorders>
        <w:top w:val="single" w:sz="4" w:space="0" w:color="BAD1ED" w:themeColor="accent4" w:themeTint="99"/>
        <w:left w:val="single" w:sz="4" w:space="0" w:color="BAD1ED" w:themeColor="accent4" w:themeTint="99"/>
        <w:bottom w:val="single" w:sz="4" w:space="0" w:color="BAD1ED" w:themeColor="accent4" w:themeTint="99"/>
        <w:right w:val="single" w:sz="4" w:space="0" w:color="BAD1ED" w:themeColor="accent4" w:themeTint="99"/>
        <w:insideH w:val="single" w:sz="4" w:space="0" w:color="BAD1ED" w:themeColor="accent4" w:themeTint="99"/>
        <w:insideV w:val="single" w:sz="4" w:space="0" w:color="BAD1ED" w:themeColor="accent4" w:themeTint="99"/>
      </w:tblBorders>
    </w:tblPr>
    <w:tblStylePr w:type="firstRow">
      <w:rPr>
        <w:b/>
        <w:bCs/>
        <w:color w:val="FFFFFF" w:themeColor="background1"/>
      </w:rPr>
      <w:tblPr/>
      <w:tcPr>
        <w:tcBorders>
          <w:top w:val="single" w:sz="4" w:space="0" w:color="8DB3E2" w:themeColor="accent4"/>
          <w:left w:val="single" w:sz="4" w:space="0" w:color="8DB3E2" w:themeColor="accent4"/>
          <w:bottom w:val="single" w:sz="4" w:space="0" w:color="8DB3E2" w:themeColor="accent4"/>
          <w:right w:val="single" w:sz="4" w:space="0" w:color="8DB3E2" w:themeColor="accent4"/>
          <w:insideH w:val="nil"/>
          <w:insideV w:val="nil"/>
        </w:tcBorders>
        <w:shd w:val="clear" w:color="auto" w:fill="8DB3E2" w:themeFill="accent4"/>
      </w:tcPr>
    </w:tblStylePr>
    <w:tblStylePr w:type="lastRow">
      <w:rPr>
        <w:b/>
        <w:bCs/>
      </w:rPr>
      <w:tblPr/>
      <w:tcPr>
        <w:tcBorders>
          <w:top w:val="double" w:sz="4" w:space="0" w:color="8DB3E2" w:themeColor="accent4"/>
        </w:tcBorders>
      </w:tcPr>
    </w:tblStylePr>
    <w:tblStylePr w:type="firstCol">
      <w:rPr>
        <w:b/>
        <w:bCs/>
      </w:rPr>
    </w:tblStylePr>
    <w:tblStylePr w:type="lastCol">
      <w:rPr>
        <w:b/>
        <w:bCs/>
      </w:rPr>
    </w:tblStylePr>
    <w:tblStylePr w:type="band1Vert">
      <w:tblPr/>
      <w:tcPr>
        <w:shd w:val="clear" w:color="auto" w:fill="E8EFF9" w:themeFill="accent4" w:themeFillTint="33"/>
      </w:tcPr>
    </w:tblStylePr>
    <w:tblStylePr w:type="band1Horz">
      <w:tblPr/>
      <w:tcPr>
        <w:shd w:val="clear" w:color="auto" w:fill="E8EFF9" w:themeFill="accent4" w:themeFillTint="33"/>
      </w:tcPr>
    </w:tblStylePr>
  </w:style>
  <w:style w:type="table" w:styleId="GridTable4-Accent5">
    <w:name w:val="Grid Table 4 Accent 5"/>
    <w:basedOn w:val="TableNormal"/>
    <w:uiPriority w:val="49"/>
    <w:rsid w:val="0051234A"/>
    <w:tblPr>
      <w:tblStyleRowBandSize w:val="1"/>
      <w:tblStyleColBandSize w:val="1"/>
      <w:tblBorders>
        <w:top w:val="single" w:sz="4" w:space="0" w:color="F4F3EC" w:themeColor="accent5" w:themeTint="99"/>
        <w:left w:val="single" w:sz="4" w:space="0" w:color="F4F3EC" w:themeColor="accent5" w:themeTint="99"/>
        <w:bottom w:val="single" w:sz="4" w:space="0" w:color="F4F3EC" w:themeColor="accent5" w:themeTint="99"/>
        <w:right w:val="single" w:sz="4" w:space="0" w:color="F4F3EC" w:themeColor="accent5" w:themeTint="99"/>
        <w:insideH w:val="single" w:sz="4" w:space="0" w:color="F4F3EC" w:themeColor="accent5" w:themeTint="99"/>
        <w:insideV w:val="single" w:sz="4" w:space="0" w:color="F4F3EC" w:themeColor="accent5" w:themeTint="99"/>
      </w:tblBorders>
    </w:tblPr>
    <w:tblStylePr w:type="firstRow">
      <w:rPr>
        <w:b/>
        <w:bCs/>
        <w:color w:val="FFFFFF" w:themeColor="background1"/>
      </w:rPr>
      <w:tblPr/>
      <w:tcPr>
        <w:tcBorders>
          <w:top w:val="single" w:sz="4" w:space="0" w:color="EEECE1" w:themeColor="accent5"/>
          <w:left w:val="single" w:sz="4" w:space="0" w:color="EEECE1" w:themeColor="accent5"/>
          <w:bottom w:val="single" w:sz="4" w:space="0" w:color="EEECE1" w:themeColor="accent5"/>
          <w:right w:val="single" w:sz="4" w:space="0" w:color="EEECE1" w:themeColor="accent5"/>
          <w:insideH w:val="nil"/>
          <w:insideV w:val="nil"/>
        </w:tcBorders>
        <w:shd w:val="clear" w:color="auto" w:fill="EEECE1" w:themeFill="accent5"/>
      </w:tcPr>
    </w:tblStylePr>
    <w:tblStylePr w:type="lastRow">
      <w:rPr>
        <w:b/>
        <w:bCs/>
      </w:rPr>
      <w:tblPr/>
      <w:tcPr>
        <w:tcBorders>
          <w:top w:val="double" w:sz="4" w:space="0" w:color="EEECE1" w:themeColor="accent5"/>
        </w:tcBorders>
      </w:tcPr>
    </w:tblStylePr>
    <w:tblStylePr w:type="firstCol">
      <w:rPr>
        <w:b/>
        <w:bCs/>
      </w:rPr>
    </w:tblStylePr>
    <w:tblStylePr w:type="lastCol">
      <w:rPr>
        <w:b/>
        <w:bCs/>
      </w:rPr>
    </w:tblStylePr>
    <w:tblStylePr w:type="band1Vert">
      <w:tblPr/>
      <w:tcPr>
        <w:shd w:val="clear" w:color="auto" w:fill="FBFBF8" w:themeFill="accent5" w:themeFillTint="33"/>
      </w:tcPr>
    </w:tblStylePr>
    <w:tblStylePr w:type="band1Horz">
      <w:tblPr/>
      <w:tcPr>
        <w:shd w:val="clear" w:color="auto" w:fill="FBFBF8" w:themeFill="accent5" w:themeFillTint="33"/>
      </w:tcPr>
    </w:tblStylePr>
  </w:style>
  <w:style w:type="table" w:styleId="GridTable4-Accent6">
    <w:name w:val="Grid Table 4 Accent 6"/>
    <w:basedOn w:val="TableNormal"/>
    <w:uiPriority w:val="49"/>
    <w:rsid w:val="0051234A"/>
    <w:tblPr>
      <w:tblStyleRowBandSize w:val="1"/>
      <w:tblStyleColBandSize w:val="1"/>
      <w:tblBorders>
        <w:top w:val="single" w:sz="4" w:space="0" w:color="F6A869" w:themeColor="accent6" w:themeTint="99"/>
        <w:left w:val="single" w:sz="4" w:space="0" w:color="F6A869" w:themeColor="accent6" w:themeTint="99"/>
        <w:bottom w:val="single" w:sz="4" w:space="0" w:color="F6A869" w:themeColor="accent6" w:themeTint="99"/>
        <w:right w:val="single" w:sz="4" w:space="0" w:color="F6A869" w:themeColor="accent6" w:themeTint="99"/>
        <w:insideH w:val="single" w:sz="4" w:space="0" w:color="F6A869" w:themeColor="accent6" w:themeTint="99"/>
        <w:insideV w:val="single" w:sz="4" w:space="0" w:color="F6A869" w:themeColor="accent6" w:themeTint="99"/>
      </w:tblBorders>
    </w:tblPr>
    <w:tblStylePr w:type="firstRow">
      <w:rPr>
        <w:b/>
        <w:bCs/>
        <w:color w:val="FFFFFF" w:themeColor="background1"/>
      </w:rPr>
      <w:tblPr/>
      <w:tcPr>
        <w:tcBorders>
          <w:top w:val="single" w:sz="4" w:space="0" w:color="EA700D" w:themeColor="accent6"/>
          <w:left w:val="single" w:sz="4" w:space="0" w:color="EA700D" w:themeColor="accent6"/>
          <w:bottom w:val="single" w:sz="4" w:space="0" w:color="EA700D" w:themeColor="accent6"/>
          <w:right w:val="single" w:sz="4" w:space="0" w:color="EA700D" w:themeColor="accent6"/>
          <w:insideH w:val="nil"/>
          <w:insideV w:val="nil"/>
        </w:tcBorders>
        <w:shd w:val="clear" w:color="auto" w:fill="EA700D" w:themeFill="accent6"/>
      </w:tcPr>
    </w:tblStylePr>
    <w:tblStylePr w:type="lastRow">
      <w:rPr>
        <w:b/>
        <w:bCs/>
      </w:rPr>
      <w:tblPr/>
      <w:tcPr>
        <w:tcBorders>
          <w:top w:val="double" w:sz="4" w:space="0" w:color="EA700D" w:themeColor="accent6"/>
        </w:tcBorders>
      </w:tcPr>
    </w:tblStylePr>
    <w:tblStylePr w:type="firstCol">
      <w:rPr>
        <w:b/>
        <w:bCs/>
      </w:rPr>
    </w:tblStylePr>
    <w:tblStylePr w:type="lastCol">
      <w:rPr>
        <w:b/>
        <w:bCs/>
      </w:rPr>
    </w:tblStylePr>
    <w:tblStylePr w:type="band1Vert">
      <w:tblPr/>
      <w:tcPr>
        <w:shd w:val="clear" w:color="auto" w:fill="FCE2CD" w:themeFill="accent6" w:themeFillTint="33"/>
      </w:tcPr>
    </w:tblStylePr>
    <w:tblStylePr w:type="band1Horz">
      <w:tblPr/>
      <w:tcPr>
        <w:shd w:val="clear" w:color="auto" w:fill="FCE2CD" w:themeFill="accent6" w:themeFillTint="33"/>
      </w:tcPr>
    </w:tblStylePr>
  </w:style>
  <w:style w:type="table" w:styleId="GridTable5Dark">
    <w:name w:val="Grid Table 5 Dark"/>
    <w:basedOn w:val="TableNormal"/>
    <w:uiPriority w:val="50"/>
    <w:rsid w:val="005123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123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BE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0F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0F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0F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0F7F" w:themeFill="accent1"/>
      </w:tcPr>
    </w:tblStylePr>
    <w:tblStylePr w:type="band1Vert">
      <w:tblPr/>
      <w:tcPr>
        <w:shd w:val="clear" w:color="auto" w:fill="F07DE8" w:themeFill="accent1" w:themeFillTint="66"/>
      </w:tcPr>
    </w:tblStylePr>
    <w:tblStylePr w:type="band1Horz">
      <w:tblPr/>
      <w:tcPr>
        <w:shd w:val="clear" w:color="auto" w:fill="F07DE8" w:themeFill="accent1" w:themeFillTint="66"/>
      </w:tcPr>
    </w:tblStylePr>
  </w:style>
  <w:style w:type="table" w:styleId="GridTable5Dark-Accent2">
    <w:name w:val="Grid Table 5 Dark Accent 2"/>
    <w:basedOn w:val="TableNormal"/>
    <w:uiPriority w:val="50"/>
    <w:rsid w:val="005123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2"/>
      </w:tcPr>
    </w:tblStylePr>
    <w:tblStylePr w:type="band1Vert">
      <w:tblPr/>
      <w:tcPr>
        <w:shd w:val="clear" w:color="auto" w:fill="B6DDE8" w:themeFill="accent2" w:themeFillTint="66"/>
      </w:tcPr>
    </w:tblStylePr>
    <w:tblStylePr w:type="band1Horz">
      <w:tblPr/>
      <w:tcPr>
        <w:shd w:val="clear" w:color="auto" w:fill="B6DDE8" w:themeFill="accent2" w:themeFillTint="66"/>
      </w:tcPr>
    </w:tblStylePr>
  </w:style>
  <w:style w:type="table" w:styleId="GridTable5Dark-Accent3">
    <w:name w:val="Grid Table 5 Dark Accent 3"/>
    <w:basedOn w:val="TableNormal"/>
    <w:uiPriority w:val="50"/>
    <w:rsid w:val="005123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8D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8D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8D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8D8" w:themeFill="accent3"/>
      </w:tcPr>
    </w:tblStylePr>
    <w:tblStylePr w:type="band1Vert">
      <w:tblPr/>
      <w:tcPr>
        <w:shd w:val="clear" w:color="auto" w:fill="EFEFEF" w:themeFill="accent3" w:themeFillTint="66"/>
      </w:tcPr>
    </w:tblStylePr>
    <w:tblStylePr w:type="band1Horz">
      <w:tblPr/>
      <w:tcPr>
        <w:shd w:val="clear" w:color="auto" w:fill="EFEFEF" w:themeFill="accent3" w:themeFillTint="66"/>
      </w:tcPr>
    </w:tblStylePr>
  </w:style>
  <w:style w:type="table" w:styleId="GridTable5Dark-Accent4">
    <w:name w:val="Grid Table 5 Dark Accent 4"/>
    <w:basedOn w:val="TableNormal"/>
    <w:uiPriority w:val="50"/>
    <w:rsid w:val="005123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B3E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B3E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B3E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B3E2" w:themeFill="accent4"/>
      </w:tcPr>
    </w:tblStylePr>
    <w:tblStylePr w:type="band1Vert">
      <w:tblPr/>
      <w:tcPr>
        <w:shd w:val="clear" w:color="auto" w:fill="D1E0F3" w:themeFill="accent4" w:themeFillTint="66"/>
      </w:tcPr>
    </w:tblStylePr>
    <w:tblStylePr w:type="band1Horz">
      <w:tblPr/>
      <w:tcPr>
        <w:shd w:val="clear" w:color="auto" w:fill="D1E0F3" w:themeFill="accent4" w:themeFillTint="66"/>
      </w:tcPr>
    </w:tblStylePr>
  </w:style>
  <w:style w:type="table" w:styleId="GridTable5Dark-Accent5">
    <w:name w:val="Grid Table 5 Dark Accent 5"/>
    <w:basedOn w:val="TableNormal"/>
    <w:uiPriority w:val="50"/>
    <w:rsid w:val="005123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EC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EC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EC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ECE1" w:themeFill="accent5"/>
      </w:tcPr>
    </w:tblStylePr>
    <w:tblStylePr w:type="band1Vert">
      <w:tblPr/>
      <w:tcPr>
        <w:shd w:val="clear" w:color="auto" w:fill="F8F7F2" w:themeFill="accent5" w:themeFillTint="66"/>
      </w:tcPr>
    </w:tblStylePr>
    <w:tblStylePr w:type="band1Horz">
      <w:tblPr/>
      <w:tcPr>
        <w:shd w:val="clear" w:color="auto" w:fill="F8F7F2" w:themeFill="accent5" w:themeFillTint="66"/>
      </w:tcPr>
    </w:tblStylePr>
  </w:style>
  <w:style w:type="table" w:styleId="GridTable5Dark-Accent6">
    <w:name w:val="Grid Table 5 Dark Accent 6"/>
    <w:basedOn w:val="TableNormal"/>
    <w:uiPriority w:val="50"/>
    <w:rsid w:val="0051234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2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00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00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00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00D" w:themeFill="accent6"/>
      </w:tcPr>
    </w:tblStylePr>
    <w:tblStylePr w:type="band1Vert">
      <w:tblPr/>
      <w:tcPr>
        <w:shd w:val="clear" w:color="auto" w:fill="F9C59B" w:themeFill="accent6" w:themeFillTint="66"/>
      </w:tcPr>
    </w:tblStylePr>
    <w:tblStylePr w:type="band1Horz">
      <w:tblPr/>
      <w:tcPr>
        <w:shd w:val="clear" w:color="auto" w:fill="F9C59B" w:themeFill="accent6" w:themeFillTint="66"/>
      </w:tcPr>
    </w:tblStylePr>
  </w:style>
  <w:style w:type="table" w:styleId="GridTable6Colorful">
    <w:name w:val="Grid Table 6 Colorful"/>
    <w:basedOn w:val="TableNormal"/>
    <w:uiPriority w:val="51"/>
    <w:rsid w:val="0051234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1234A"/>
    <w:rPr>
      <w:color w:val="650B5F" w:themeColor="accent1" w:themeShade="BF"/>
    </w:rPr>
    <w:tblPr>
      <w:tblStyleRowBandSize w:val="1"/>
      <w:tblStyleColBandSize w:val="1"/>
      <w:tblBorders>
        <w:top w:val="single" w:sz="4" w:space="0" w:color="E93CDD" w:themeColor="accent1" w:themeTint="99"/>
        <w:left w:val="single" w:sz="4" w:space="0" w:color="E93CDD" w:themeColor="accent1" w:themeTint="99"/>
        <w:bottom w:val="single" w:sz="4" w:space="0" w:color="E93CDD" w:themeColor="accent1" w:themeTint="99"/>
        <w:right w:val="single" w:sz="4" w:space="0" w:color="E93CDD" w:themeColor="accent1" w:themeTint="99"/>
        <w:insideH w:val="single" w:sz="4" w:space="0" w:color="E93CDD" w:themeColor="accent1" w:themeTint="99"/>
        <w:insideV w:val="single" w:sz="4" w:space="0" w:color="E93CDD" w:themeColor="accent1" w:themeTint="99"/>
      </w:tblBorders>
    </w:tblPr>
    <w:tblStylePr w:type="firstRow">
      <w:rPr>
        <w:b/>
        <w:bCs/>
      </w:rPr>
      <w:tblPr/>
      <w:tcPr>
        <w:tcBorders>
          <w:bottom w:val="single" w:sz="12" w:space="0" w:color="E93CDD" w:themeColor="accent1" w:themeTint="99"/>
        </w:tcBorders>
      </w:tcPr>
    </w:tblStylePr>
    <w:tblStylePr w:type="lastRow">
      <w:rPr>
        <w:b/>
        <w:bCs/>
      </w:rPr>
      <w:tblPr/>
      <w:tcPr>
        <w:tcBorders>
          <w:top w:val="double" w:sz="4" w:space="0" w:color="E93CDD" w:themeColor="accent1" w:themeTint="99"/>
        </w:tcBorders>
      </w:tcPr>
    </w:tblStylePr>
    <w:tblStylePr w:type="firstCol">
      <w:rPr>
        <w:b/>
        <w:bCs/>
      </w:rPr>
    </w:tblStylePr>
    <w:tblStylePr w:type="lastCol">
      <w:rPr>
        <w:b/>
        <w:bCs/>
      </w:rPr>
    </w:tblStylePr>
    <w:tblStylePr w:type="band1Vert">
      <w:tblPr/>
      <w:tcPr>
        <w:shd w:val="clear" w:color="auto" w:fill="F7BEF3" w:themeFill="accent1" w:themeFillTint="33"/>
      </w:tcPr>
    </w:tblStylePr>
    <w:tblStylePr w:type="band1Horz">
      <w:tblPr/>
      <w:tcPr>
        <w:shd w:val="clear" w:color="auto" w:fill="F7BEF3" w:themeFill="accent1" w:themeFillTint="33"/>
      </w:tcPr>
    </w:tblStylePr>
  </w:style>
  <w:style w:type="table" w:styleId="GridTable6Colorful-Accent2">
    <w:name w:val="Grid Table 6 Colorful Accent 2"/>
    <w:basedOn w:val="TableNormal"/>
    <w:uiPriority w:val="51"/>
    <w:rsid w:val="0051234A"/>
    <w:rPr>
      <w:color w:val="31849B" w:themeColor="accent2" w:themeShade="BF"/>
    </w:rPr>
    <w:tblPr>
      <w:tblStyleRowBandSize w:val="1"/>
      <w:tblStyleColBandSize w:val="1"/>
      <w:tblBorders>
        <w:top w:val="single" w:sz="4" w:space="0" w:color="92CDDC" w:themeColor="accent2" w:themeTint="99"/>
        <w:left w:val="single" w:sz="4" w:space="0" w:color="92CDDC" w:themeColor="accent2" w:themeTint="99"/>
        <w:bottom w:val="single" w:sz="4" w:space="0" w:color="92CDDC" w:themeColor="accent2" w:themeTint="99"/>
        <w:right w:val="single" w:sz="4" w:space="0" w:color="92CDDC" w:themeColor="accent2" w:themeTint="99"/>
        <w:insideH w:val="single" w:sz="4" w:space="0" w:color="92CDDC" w:themeColor="accent2" w:themeTint="99"/>
        <w:insideV w:val="single" w:sz="4" w:space="0" w:color="92CDDC" w:themeColor="accent2" w:themeTint="99"/>
      </w:tblBorders>
    </w:tblPr>
    <w:tblStylePr w:type="firstRow">
      <w:rPr>
        <w:b/>
        <w:bCs/>
      </w:rPr>
      <w:tblPr/>
      <w:tcPr>
        <w:tcBorders>
          <w:bottom w:val="single" w:sz="12" w:space="0" w:color="92CDDC" w:themeColor="accent2" w:themeTint="99"/>
        </w:tcBorders>
      </w:tcPr>
    </w:tblStylePr>
    <w:tblStylePr w:type="lastRow">
      <w:rPr>
        <w:b/>
        <w:bCs/>
      </w:rPr>
      <w:tblPr/>
      <w:tcPr>
        <w:tcBorders>
          <w:top w:val="double" w:sz="4" w:space="0" w:color="92CDDC" w:themeColor="accent2" w:themeTint="99"/>
        </w:tcBorders>
      </w:tcPr>
    </w:tblStylePr>
    <w:tblStylePr w:type="firstCol">
      <w:rPr>
        <w:b/>
        <w:bCs/>
      </w:rPr>
    </w:tblStylePr>
    <w:tblStylePr w:type="lastCol">
      <w:rPr>
        <w:b/>
        <w:bCs/>
      </w:rPr>
    </w:tblStylePr>
    <w:tblStylePr w:type="band1Vert">
      <w:tblPr/>
      <w:tcPr>
        <w:shd w:val="clear" w:color="auto" w:fill="DAEEF3" w:themeFill="accent2" w:themeFillTint="33"/>
      </w:tcPr>
    </w:tblStylePr>
    <w:tblStylePr w:type="band1Horz">
      <w:tblPr/>
      <w:tcPr>
        <w:shd w:val="clear" w:color="auto" w:fill="DAEEF3" w:themeFill="accent2" w:themeFillTint="33"/>
      </w:tcPr>
    </w:tblStylePr>
  </w:style>
  <w:style w:type="table" w:styleId="GridTable6Colorful-Accent3">
    <w:name w:val="Grid Table 6 Colorful Accent 3"/>
    <w:basedOn w:val="TableNormal"/>
    <w:uiPriority w:val="51"/>
    <w:rsid w:val="0051234A"/>
    <w:rPr>
      <w:color w:val="A1A1A1" w:themeColor="accent3" w:themeShade="BF"/>
    </w:r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rPr>
      <w:tblPr/>
      <w:tcPr>
        <w:tcBorders>
          <w:bottom w:val="single" w:sz="12" w:space="0" w:color="E7E7E7" w:themeColor="accent3" w:themeTint="99"/>
        </w:tcBorders>
      </w:tcPr>
    </w:tblStylePr>
    <w:tblStylePr w:type="lastRow">
      <w:rPr>
        <w:b/>
        <w:bCs/>
      </w:rPr>
      <w:tblPr/>
      <w:tcPr>
        <w:tcBorders>
          <w:top w:val="double" w:sz="4" w:space="0" w:color="E7E7E7" w:themeColor="accent3" w:themeTint="99"/>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table" w:styleId="GridTable6Colorful-Accent4">
    <w:name w:val="Grid Table 6 Colorful Accent 4"/>
    <w:basedOn w:val="TableNormal"/>
    <w:uiPriority w:val="51"/>
    <w:rsid w:val="0051234A"/>
    <w:rPr>
      <w:color w:val="4381CF" w:themeColor="accent4" w:themeShade="BF"/>
    </w:rPr>
    <w:tblPr>
      <w:tblStyleRowBandSize w:val="1"/>
      <w:tblStyleColBandSize w:val="1"/>
      <w:tblBorders>
        <w:top w:val="single" w:sz="4" w:space="0" w:color="BAD1ED" w:themeColor="accent4" w:themeTint="99"/>
        <w:left w:val="single" w:sz="4" w:space="0" w:color="BAD1ED" w:themeColor="accent4" w:themeTint="99"/>
        <w:bottom w:val="single" w:sz="4" w:space="0" w:color="BAD1ED" w:themeColor="accent4" w:themeTint="99"/>
        <w:right w:val="single" w:sz="4" w:space="0" w:color="BAD1ED" w:themeColor="accent4" w:themeTint="99"/>
        <w:insideH w:val="single" w:sz="4" w:space="0" w:color="BAD1ED" w:themeColor="accent4" w:themeTint="99"/>
        <w:insideV w:val="single" w:sz="4" w:space="0" w:color="BAD1ED" w:themeColor="accent4" w:themeTint="99"/>
      </w:tblBorders>
    </w:tblPr>
    <w:tblStylePr w:type="firstRow">
      <w:rPr>
        <w:b/>
        <w:bCs/>
      </w:rPr>
      <w:tblPr/>
      <w:tcPr>
        <w:tcBorders>
          <w:bottom w:val="single" w:sz="12" w:space="0" w:color="BAD1ED" w:themeColor="accent4" w:themeTint="99"/>
        </w:tcBorders>
      </w:tcPr>
    </w:tblStylePr>
    <w:tblStylePr w:type="lastRow">
      <w:rPr>
        <w:b/>
        <w:bCs/>
      </w:rPr>
      <w:tblPr/>
      <w:tcPr>
        <w:tcBorders>
          <w:top w:val="double" w:sz="4" w:space="0" w:color="BAD1ED" w:themeColor="accent4" w:themeTint="99"/>
        </w:tcBorders>
      </w:tcPr>
    </w:tblStylePr>
    <w:tblStylePr w:type="firstCol">
      <w:rPr>
        <w:b/>
        <w:bCs/>
      </w:rPr>
    </w:tblStylePr>
    <w:tblStylePr w:type="lastCol">
      <w:rPr>
        <w:b/>
        <w:bCs/>
      </w:rPr>
    </w:tblStylePr>
    <w:tblStylePr w:type="band1Vert">
      <w:tblPr/>
      <w:tcPr>
        <w:shd w:val="clear" w:color="auto" w:fill="E8EFF9" w:themeFill="accent4" w:themeFillTint="33"/>
      </w:tcPr>
    </w:tblStylePr>
    <w:tblStylePr w:type="band1Horz">
      <w:tblPr/>
      <w:tcPr>
        <w:shd w:val="clear" w:color="auto" w:fill="E8EFF9" w:themeFill="accent4" w:themeFillTint="33"/>
      </w:tcPr>
    </w:tblStylePr>
  </w:style>
  <w:style w:type="table" w:styleId="GridTable6Colorful-Accent5">
    <w:name w:val="Grid Table 6 Colorful Accent 5"/>
    <w:basedOn w:val="TableNormal"/>
    <w:uiPriority w:val="51"/>
    <w:rsid w:val="0051234A"/>
    <w:rPr>
      <w:color w:val="C4BC96" w:themeColor="accent5" w:themeShade="BF"/>
    </w:rPr>
    <w:tblPr>
      <w:tblStyleRowBandSize w:val="1"/>
      <w:tblStyleColBandSize w:val="1"/>
      <w:tblBorders>
        <w:top w:val="single" w:sz="4" w:space="0" w:color="F4F3EC" w:themeColor="accent5" w:themeTint="99"/>
        <w:left w:val="single" w:sz="4" w:space="0" w:color="F4F3EC" w:themeColor="accent5" w:themeTint="99"/>
        <w:bottom w:val="single" w:sz="4" w:space="0" w:color="F4F3EC" w:themeColor="accent5" w:themeTint="99"/>
        <w:right w:val="single" w:sz="4" w:space="0" w:color="F4F3EC" w:themeColor="accent5" w:themeTint="99"/>
        <w:insideH w:val="single" w:sz="4" w:space="0" w:color="F4F3EC" w:themeColor="accent5" w:themeTint="99"/>
        <w:insideV w:val="single" w:sz="4" w:space="0" w:color="F4F3EC" w:themeColor="accent5" w:themeTint="99"/>
      </w:tblBorders>
    </w:tblPr>
    <w:tblStylePr w:type="firstRow">
      <w:rPr>
        <w:b/>
        <w:bCs/>
      </w:rPr>
      <w:tblPr/>
      <w:tcPr>
        <w:tcBorders>
          <w:bottom w:val="single" w:sz="12" w:space="0" w:color="F4F3EC" w:themeColor="accent5" w:themeTint="99"/>
        </w:tcBorders>
      </w:tcPr>
    </w:tblStylePr>
    <w:tblStylePr w:type="lastRow">
      <w:rPr>
        <w:b/>
        <w:bCs/>
      </w:rPr>
      <w:tblPr/>
      <w:tcPr>
        <w:tcBorders>
          <w:top w:val="double" w:sz="4" w:space="0" w:color="F4F3EC" w:themeColor="accent5" w:themeTint="99"/>
        </w:tcBorders>
      </w:tcPr>
    </w:tblStylePr>
    <w:tblStylePr w:type="firstCol">
      <w:rPr>
        <w:b/>
        <w:bCs/>
      </w:rPr>
    </w:tblStylePr>
    <w:tblStylePr w:type="lastCol">
      <w:rPr>
        <w:b/>
        <w:bCs/>
      </w:rPr>
    </w:tblStylePr>
    <w:tblStylePr w:type="band1Vert">
      <w:tblPr/>
      <w:tcPr>
        <w:shd w:val="clear" w:color="auto" w:fill="FBFBF8" w:themeFill="accent5" w:themeFillTint="33"/>
      </w:tcPr>
    </w:tblStylePr>
    <w:tblStylePr w:type="band1Horz">
      <w:tblPr/>
      <w:tcPr>
        <w:shd w:val="clear" w:color="auto" w:fill="FBFBF8" w:themeFill="accent5" w:themeFillTint="33"/>
      </w:tcPr>
    </w:tblStylePr>
  </w:style>
  <w:style w:type="table" w:styleId="GridTable6Colorful-Accent6">
    <w:name w:val="Grid Table 6 Colorful Accent 6"/>
    <w:basedOn w:val="TableNormal"/>
    <w:uiPriority w:val="51"/>
    <w:rsid w:val="0051234A"/>
    <w:rPr>
      <w:color w:val="AF5309" w:themeColor="accent6" w:themeShade="BF"/>
    </w:rPr>
    <w:tblPr>
      <w:tblStyleRowBandSize w:val="1"/>
      <w:tblStyleColBandSize w:val="1"/>
      <w:tblBorders>
        <w:top w:val="single" w:sz="4" w:space="0" w:color="F6A869" w:themeColor="accent6" w:themeTint="99"/>
        <w:left w:val="single" w:sz="4" w:space="0" w:color="F6A869" w:themeColor="accent6" w:themeTint="99"/>
        <w:bottom w:val="single" w:sz="4" w:space="0" w:color="F6A869" w:themeColor="accent6" w:themeTint="99"/>
        <w:right w:val="single" w:sz="4" w:space="0" w:color="F6A869" w:themeColor="accent6" w:themeTint="99"/>
        <w:insideH w:val="single" w:sz="4" w:space="0" w:color="F6A869" w:themeColor="accent6" w:themeTint="99"/>
        <w:insideV w:val="single" w:sz="4" w:space="0" w:color="F6A869" w:themeColor="accent6" w:themeTint="99"/>
      </w:tblBorders>
    </w:tblPr>
    <w:tblStylePr w:type="firstRow">
      <w:rPr>
        <w:b/>
        <w:bCs/>
      </w:rPr>
      <w:tblPr/>
      <w:tcPr>
        <w:tcBorders>
          <w:bottom w:val="single" w:sz="12" w:space="0" w:color="F6A869" w:themeColor="accent6" w:themeTint="99"/>
        </w:tcBorders>
      </w:tcPr>
    </w:tblStylePr>
    <w:tblStylePr w:type="lastRow">
      <w:rPr>
        <w:b/>
        <w:bCs/>
      </w:rPr>
      <w:tblPr/>
      <w:tcPr>
        <w:tcBorders>
          <w:top w:val="double" w:sz="4" w:space="0" w:color="F6A869" w:themeColor="accent6" w:themeTint="99"/>
        </w:tcBorders>
      </w:tcPr>
    </w:tblStylePr>
    <w:tblStylePr w:type="firstCol">
      <w:rPr>
        <w:b/>
        <w:bCs/>
      </w:rPr>
    </w:tblStylePr>
    <w:tblStylePr w:type="lastCol">
      <w:rPr>
        <w:b/>
        <w:bCs/>
      </w:rPr>
    </w:tblStylePr>
    <w:tblStylePr w:type="band1Vert">
      <w:tblPr/>
      <w:tcPr>
        <w:shd w:val="clear" w:color="auto" w:fill="FCE2CD" w:themeFill="accent6" w:themeFillTint="33"/>
      </w:tcPr>
    </w:tblStylePr>
    <w:tblStylePr w:type="band1Horz">
      <w:tblPr/>
      <w:tcPr>
        <w:shd w:val="clear" w:color="auto" w:fill="FCE2CD" w:themeFill="accent6" w:themeFillTint="33"/>
      </w:tcPr>
    </w:tblStylePr>
  </w:style>
  <w:style w:type="table" w:styleId="GridTable7Colorful">
    <w:name w:val="Grid Table 7 Colorful"/>
    <w:basedOn w:val="TableNormal"/>
    <w:uiPriority w:val="52"/>
    <w:rsid w:val="0051234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1234A"/>
    <w:rPr>
      <w:color w:val="650B5F" w:themeColor="accent1" w:themeShade="BF"/>
    </w:rPr>
    <w:tblPr>
      <w:tblStyleRowBandSize w:val="1"/>
      <w:tblStyleColBandSize w:val="1"/>
      <w:tblBorders>
        <w:top w:val="single" w:sz="4" w:space="0" w:color="E93CDD" w:themeColor="accent1" w:themeTint="99"/>
        <w:left w:val="single" w:sz="4" w:space="0" w:color="E93CDD" w:themeColor="accent1" w:themeTint="99"/>
        <w:bottom w:val="single" w:sz="4" w:space="0" w:color="E93CDD" w:themeColor="accent1" w:themeTint="99"/>
        <w:right w:val="single" w:sz="4" w:space="0" w:color="E93CDD" w:themeColor="accent1" w:themeTint="99"/>
        <w:insideH w:val="single" w:sz="4" w:space="0" w:color="E93CDD" w:themeColor="accent1" w:themeTint="99"/>
        <w:insideV w:val="single" w:sz="4" w:space="0" w:color="E93C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BEF3" w:themeFill="accent1" w:themeFillTint="33"/>
      </w:tcPr>
    </w:tblStylePr>
    <w:tblStylePr w:type="band1Horz">
      <w:tblPr/>
      <w:tcPr>
        <w:shd w:val="clear" w:color="auto" w:fill="F7BEF3" w:themeFill="accent1" w:themeFillTint="33"/>
      </w:tcPr>
    </w:tblStylePr>
    <w:tblStylePr w:type="neCell">
      <w:tblPr/>
      <w:tcPr>
        <w:tcBorders>
          <w:bottom w:val="single" w:sz="4" w:space="0" w:color="E93CDD" w:themeColor="accent1" w:themeTint="99"/>
        </w:tcBorders>
      </w:tcPr>
    </w:tblStylePr>
    <w:tblStylePr w:type="nwCell">
      <w:tblPr/>
      <w:tcPr>
        <w:tcBorders>
          <w:bottom w:val="single" w:sz="4" w:space="0" w:color="E93CDD" w:themeColor="accent1" w:themeTint="99"/>
        </w:tcBorders>
      </w:tcPr>
    </w:tblStylePr>
    <w:tblStylePr w:type="seCell">
      <w:tblPr/>
      <w:tcPr>
        <w:tcBorders>
          <w:top w:val="single" w:sz="4" w:space="0" w:color="E93CDD" w:themeColor="accent1" w:themeTint="99"/>
        </w:tcBorders>
      </w:tcPr>
    </w:tblStylePr>
    <w:tblStylePr w:type="swCell">
      <w:tblPr/>
      <w:tcPr>
        <w:tcBorders>
          <w:top w:val="single" w:sz="4" w:space="0" w:color="E93CDD" w:themeColor="accent1" w:themeTint="99"/>
        </w:tcBorders>
      </w:tcPr>
    </w:tblStylePr>
  </w:style>
  <w:style w:type="table" w:styleId="GridTable7Colorful-Accent2">
    <w:name w:val="Grid Table 7 Colorful Accent 2"/>
    <w:basedOn w:val="TableNormal"/>
    <w:uiPriority w:val="52"/>
    <w:rsid w:val="0051234A"/>
    <w:rPr>
      <w:color w:val="31849B" w:themeColor="accent2" w:themeShade="BF"/>
    </w:rPr>
    <w:tblPr>
      <w:tblStyleRowBandSize w:val="1"/>
      <w:tblStyleColBandSize w:val="1"/>
      <w:tblBorders>
        <w:top w:val="single" w:sz="4" w:space="0" w:color="92CDDC" w:themeColor="accent2" w:themeTint="99"/>
        <w:left w:val="single" w:sz="4" w:space="0" w:color="92CDDC" w:themeColor="accent2" w:themeTint="99"/>
        <w:bottom w:val="single" w:sz="4" w:space="0" w:color="92CDDC" w:themeColor="accent2" w:themeTint="99"/>
        <w:right w:val="single" w:sz="4" w:space="0" w:color="92CDDC" w:themeColor="accent2" w:themeTint="99"/>
        <w:insideH w:val="single" w:sz="4" w:space="0" w:color="92CDDC" w:themeColor="accent2" w:themeTint="99"/>
        <w:insideV w:val="single" w:sz="4" w:space="0" w:color="92CDD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2" w:themeFillTint="33"/>
      </w:tcPr>
    </w:tblStylePr>
    <w:tblStylePr w:type="band1Horz">
      <w:tblPr/>
      <w:tcPr>
        <w:shd w:val="clear" w:color="auto" w:fill="DAEEF3" w:themeFill="accent2" w:themeFillTint="33"/>
      </w:tcPr>
    </w:tblStylePr>
    <w:tblStylePr w:type="neCell">
      <w:tblPr/>
      <w:tcPr>
        <w:tcBorders>
          <w:bottom w:val="single" w:sz="4" w:space="0" w:color="92CDDC" w:themeColor="accent2" w:themeTint="99"/>
        </w:tcBorders>
      </w:tcPr>
    </w:tblStylePr>
    <w:tblStylePr w:type="nwCell">
      <w:tblPr/>
      <w:tcPr>
        <w:tcBorders>
          <w:bottom w:val="single" w:sz="4" w:space="0" w:color="92CDDC" w:themeColor="accent2" w:themeTint="99"/>
        </w:tcBorders>
      </w:tcPr>
    </w:tblStylePr>
    <w:tblStylePr w:type="seCell">
      <w:tblPr/>
      <w:tcPr>
        <w:tcBorders>
          <w:top w:val="single" w:sz="4" w:space="0" w:color="92CDDC" w:themeColor="accent2" w:themeTint="99"/>
        </w:tcBorders>
      </w:tcPr>
    </w:tblStylePr>
    <w:tblStylePr w:type="swCell">
      <w:tblPr/>
      <w:tcPr>
        <w:tcBorders>
          <w:top w:val="single" w:sz="4" w:space="0" w:color="92CDDC" w:themeColor="accent2" w:themeTint="99"/>
        </w:tcBorders>
      </w:tcPr>
    </w:tblStylePr>
  </w:style>
  <w:style w:type="table" w:styleId="GridTable7Colorful-Accent3">
    <w:name w:val="Grid Table 7 Colorful Accent 3"/>
    <w:basedOn w:val="TableNormal"/>
    <w:uiPriority w:val="52"/>
    <w:rsid w:val="0051234A"/>
    <w:rPr>
      <w:color w:val="A1A1A1" w:themeColor="accent3" w:themeShade="BF"/>
    </w:r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3" w:themeFillTint="33"/>
      </w:tcPr>
    </w:tblStylePr>
    <w:tblStylePr w:type="band1Horz">
      <w:tblPr/>
      <w:tcPr>
        <w:shd w:val="clear" w:color="auto" w:fill="F7F7F7" w:themeFill="accent3" w:themeFillTint="33"/>
      </w:tcPr>
    </w:tblStylePr>
    <w:tblStylePr w:type="neCell">
      <w:tblPr/>
      <w:tcPr>
        <w:tcBorders>
          <w:bottom w:val="single" w:sz="4" w:space="0" w:color="E7E7E7" w:themeColor="accent3" w:themeTint="99"/>
        </w:tcBorders>
      </w:tcPr>
    </w:tblStylePr>
    <w:tblStylePr w:type="nwCell">
      <w:tblPr/>
      <w:tcPr>
        <w:tcBorders>
          <w:bottom w:val="single" w:sz="4" w:space="0" w:color="E7E7E7" w:themeColor="accent3" w:themeTint="99"/>
        </w:tcBorders>
      </w:tcPr>
    </w:tblStylePr>
    <w:tblStylePr w:type="seCell">
      <w:tblPr/>
      <w:tcPr>
        <w:tcBorders>
          <w:top w:val="single" w:sz="4" w:space="0" w:color="E7E7E7" w:themeColor="accent3" w:themeTint="99"/>
        </w:tcBorders>
      </w:tcPr>
    </w:tblStylePr>
    <w:tblStylePr w:type="swCell">
      <w:tblPr/>
      <w:tcPr>
        <w:tcBorders>
          <w:top w:val="single" w:sz="4" w:space="0" w:color="E7E7E7" w:themeColor="accent3" w:themeTint="99"/>
        </w:tcBorders>
      </w:tcPr>
    </w:tblStylePr>
  </w:style>
  <w:style w:type="table" w:styleId="GridTable7Colorful-Accent4">
    <w:name w:val="Grid Table 7 Colorful Accent 4"/>
    <w:basedOn w:val="TableNormal"/>
    <w:uiPriority w:val="52"/>
    <w:rsid w:val="0051234A"/>
    <w:rPr>
      <w:color w:val="4381CF" w:themeColor="accent4" w:themeShade="BF"/>
    </w:rPr>
    <w:tblPr>
      <w:tblStyleRowBandSize w:val="1"/>
      <w:tblStyleColBandSize w:val="1"/>
      <w:tblBorders>
        <w:top w:val="single" w:sz="4" w:space="0" w:color="BAD1ED" w:themeColor="accent4" w:themeTint="99"/>
        <w:left w:val="single" w:sz="4" w:space="0" w:color="BAD1ED" w:themeColor="accent4" w:themeTint="99"/>
        <w:bottom w:val="single" w:sz="4" w:space="0" w:color="BAD1ED" w:themeColor="accent4" w:themeTint="99"/>
        <w:right w:val="single" w:sz="4" w:space="0" w:color="BAD1ED" w:themeColor="accent4" w:themeTint="99"/>
        <w:insideH w:val="single" w:sz="4" w:space="0" w:color="BAD1ED" w:themeColor="accent4" w:themeTint="99"/>
        <w:insideV w:val="single" w:sz="4" w:space="0" w:color="BAD1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9" w:themeFill="accent4" w:themeFillTint="33"/>
      </w:tcPr>
    </w:tblStylePr>
    <w:tblStylePr w:type="band1Horz">
      <w:tblPr/>
      <w:tcPr>
        <w:shd w:val="clear" w:color="auto" w:fill="E8EFF9" w:themeFill="accent4" w:themeFillTint="33"/>
      </w:tcPr>
    </w:tblStylePr>
    <w:tblStylePr w:type="neCell">
      <w:tblPr/>
      <w:tcPr>
        <w:tcBorders>
          <w:bottom w:val="single" w:sz="4" w:space="0" w:color="BAD1ED" w:themeColor="accent4" w:themeTint="99"/>
        </w:tcBorders>
      </w:tcPr>
    </w:tblStylePr>
    <w:tblStylePr w:type="nwCell">
      <w:tblPr/>
      <w:tcPr>
        <w:tcBorders>
          <w:bottom w:val="single" w:sz="4" w:space="0" w:color="BAD1ED" w:themeColor="accent4" w:themeTint="99"/>
        </w:tcBorders>
      </w:tcPr>
    </w:tblStylePr>
    <w:tblStylePr w:type="seCell">
      <w:tblPr/>
      <w:tcPr>
        <w:tcBorders>
          <w:top w:val="single" w:sz="4" w:space="0" w:color="BAD1ED" w:themeColor="accent4" w:themeTint="99"/>
        </w:tcBorders>
      </w:tcPr>
    </w:tblStylePr>
    <w:tblStylePr w:type="swCell">
      <w:tblPr/>
      <w:tcPr>
        <w:tcBorders>
          <w:top w:val="single" w:sz="4" w:space="0" w:color="BAD1ED" w:themeColor="accent4" w:themeTint="99"/>
        </w:tcBorders>
      </w:tcPr>
    </w:tblStylePr>
  </w:style>
  <w:style w:type="table" w:styleId="GridTable7Colorful-Accent5">
    <w:name w:val="Grid Table 7 Colorful Accent 5"/>
    <w:basedOn w:val="TableNormal"/>
    <w:uiPriority w:val="52"/>
    <w:rsid w:val="0051234A"/>
    <w:rPr>
      <w:color w:val="C4BC96" w:themeColor="accent5" w:themeShade="BF"/>
    </w:rPr>
    <w:tblPr>
      <w:tblStyleRowBandSize w:val="1"/>
      <w:tblStyleColBandSize w:val="1"/>
      <w:tblBorders>
        <w:top w:val="single" w:sz="4" w:space="0" w:color="F4F3EC" w:themeColor="accent5" w:themeTint="99"/>
        <w:left w:val="single" w:sz="4" w:space="0" w:color="F4F3EC" w:themeColor="accent5" w:themeTint="99"/>
        <w:bottom w:val="single" w:sz="4" w:space="0" w:color="F4F3EC" w:themeColor="accent5" w:themeTint="99"/>
        <w:right w:val="single" w:sz="4" w:space="0" w:color="F4F3EC" w:themeColor="accent5" w:themeTint="99"/>
        <w:insideH w:val="single" w:sz="4" w:space="0" w:color="F4F3EC" w:themeColor="accent5" w:themeTint="99"/>
        <w:insideV w:val="single" w:sz="4" w:space="0" w:color="F4F3E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8" w:themeFill="accent5" w:themeFillTint="33"/>
      </w:tcPr>
    </w:tblStylePr>
    <w:tblStylePr w:type="band1Horz">
      <w:tblPr/>
      <w:tcPr>
        <w:shd w:val="clear" w:color="auto" w:fill="FBFBF8" w:themeFill="accent5" w:themeFillTint="33"/>
      </w:tcPr>
    </w:tblStylePr>
    <w:tblStylePr w:type="neCell">
      <w:tblPr/>
      <w:tcPr>
        <w:tcBorders>
          <w:bottom w:val="single" w:sz="4" w:space="0" w:color="F4F3EC" w:themeColor="accent5" w:themeTint="99"/>
        </w:tcBorders>
      </w:tcPr>
    </w:tblStylePr>
    <w:tblStylePr w:type="nwCell">
      <w:tblPr/>
      <w:tcPr>
        <w:tcBorders>
          <w:bottom w:val="single" w:sz="4" w:space="0" w:color="F4F3EC" w:themeColor="accent5" w:themeTint="99"/>
        </w:tcBorders>
      </w:tcPr>
    </w:tblStylePr>
    <w:tblStylePr w:type="seCell">
      <w:tblPr/>
      <w:tcPr>
        <w:tcBorders>
          <w:top w:val="single" w:sz="4" w:space="0" w:color="F4F3EC" w:themeColor="accent5" w:themeTint="99"/>
        </w:tcBorders>
      </w:tcPr>
    </w:tblStylePr>
    <w:tblStylePr w:type="swCell">
      <w:tblPr/>
      <w:tcPr>
        <w:tcBorders>
          <w:top w:val="single" w:sz="4" w:space="0" w:color="F4F3EC" w:themeColor="accent5" w:themeTint="99"/>
        </w:tcBorders>
      </w:tcPr>
    </w:tblStylePr>
  </w:style>
  <w:style w:type="table" w:styleId="GridTable7Colorful-Accent6">
    <w:name w:val="Grid Table 7 Colorful Accent 6"/>
    <w:basedOn w:val="TableNormal"/>
    <w:uiPriority w:val="52"/>
    <w:rsid w:val="0051234A"/>
    <w:rPr>
      <w:color w:val="AF5309" w:themeColor="accent6" w:themeShade="BF"/>
    </w:rPr>
    <w:tblPr>
      <w:tblStyleRowBandSize w:val="1"/>
      <w:tblStyleColBandSize w:val="1"/>
      <w:tblBorders>
        <w:top w:val="single" w:sz="4" w:space="0" w:color="F6A869" w:themeColor="accent6" w:themeTint="99"/>
        <w:left w:val="single" w:sz="4" w:space="0" w:color="F6A869" w:themeColor="accent6" w:themeTint="99"/>
        <w:bottom w:val="single" w:sz="4" w:space="0" w:color="F6A869" w:themeColor="accent6" w:themeTint="99"/>
        <w:right w:val="single" w:sz="4" w:space="0" w:color="F6A869" w:themeColor="accent6" w:themeTint="99"/>
        <w:insideH w:val="single" w:sz="4" w:space="0" w:color="F6A869" w:themeColor="accent6" w:themeTint="99"/>
        <w:insideV w:val="single" w:sz="4" w:space="0" w:color="F6A86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2CD" w:themeFill="accent6" w:themeFillTint="33"/>
      </w:tcPr>
    </w:tblStylePr>
    <w:tblStylePr w:type="band1Horz">
      <w:tblPr/>
      <w:tcPr>
        <w:shd w:val="clear" w:color="auto" w:fill="FCE2CD" w:themeFill="accent6" w:themeFillTint="33"/>
      </w:tcPr>
    </w:tblStylePr>
    <w:tblStylePr w:type="neCell">
      <w:tblPr/>
      <w:tcPr>
        <w:tcBorders>
          <w:bottom w:val="single" w:sz="4" w:space="0" w:color="F6A869" w:themeColor="accent6" w:themeTint="99"/>
        </w:tcBorders>
      </w:tcPr>
    </w:tblStylePr>
    <w:tblStylePr w:type="nwCell">
      <w:tblPr/>
      <w:tcPr>
        <w:tcBorders>
          <w:bottom w:val="single" w:sz="4" w:space="0" w:color="F6A869" w:themeColor="accent6" w:themeTint="99"/>
        </w:tcBorders>
      </w:tcPr>
    </w:tblStylePr>
    <w:tblStylePr w:type="seCell">
      <w:tblPr/>
      <w:tcPr>
        <w:tcBorders>
          <w:top w:val="single" w:sz="4" w:space="0" w:color="F6A869" w:themeColor="accent6" w:themeTint="99"/>
        </w:tcBorders>
      </w:tcPr>
    </w:tblStylePr>
    <w:tblStylePr w:type="swCell">
      <w:tblPr/>
      <w:tcPr>
        <w:tcBorders>
          <w:top w:val="single" w:sz="4" w:space="0" w:color="F6A869" w:themeColor="accent6" w:themeTint="99"/>
        </w:tcBorders>
      </w:tcPr>
    </w:tblStylePr>
  </w:style>
  <w:style w:type="character" w:styleId="Hashtag">
    <w:name w:val="Hashtag"/>
    <w:basedOn w:val="DefaultParagraphFont"/>
    <w:uiPriority w:val="99"/>
    <w:semiHidden/>
    <w:unhideWhenUsed/>
    <w:rsid w:val="0051234A"/>
    <w:rPr>
      <w:color w:val="2B579A"/>
      <w:shd w:val="clear" w:color="auto" w:fill="E6E6E6"/>
    </w:rPr>
  </w:style>
  <w:style w:type="paragraph" w:styleId="Header">
    <w:name w:val="header"/>
    <w:basedOn w:val="Normal"/>
    <w:link w:val="HeaderChar"/>
    <w:uiPriority w:val="99"/>
    <w:unhideWhenUsed/>
    <w:rsid w:val="3B0D9F72"/>
  </w:style>
  <w:style w:type="character" w:customStyle="1" w:styleId="HeaderChar">
    <w:name w:val="Header Char"/>
    <w:basedOn w:val="DefaultParagraphFont"/>
    <w:link w:val="Header"/>
    <w:uiPriority w:val="99"/>
    <w:rsid w:val="00415E6E"/>
  </w:style>
  <w:style w:type="character" w:customStyle="1" w:styleId="Heading3Char">
    <w:name w:val="Heading 3 Char"/>
    <w:basedOn w:val="DefaultParagraphFont"/>
    <w:link w:val="Heading3"/>
    <w:uiPriority w:val="9"/>
    <w:rsid w:val="009803A7"/>
    <w:rPr>
      <w:rFonts w:asciiTheme="majorHAnsi" w:eastAsiaTheme="majorEastAsia" w:hAnsiTheme="majorHAnsi" w:cstheme="majorBidi"/>
      <w:b/>
      <w:bCs/>
      <w:color w:val="650B5F" w:themeColor="accent1" w:themeShade="BF"/>
    </w:rPr>
  </w:style>
  <w:style w:type="character" w:customStyle="1" w:styleId="Heading4Char">
    <w:name w:val="Heading 4 Char"/>
    <w:basedOn w:val="DefaultParagraphFont"/>
    <w:link w:val="Heading4"/>
    <w:uiPriority w:val="9"/>
    <w:rsid w:val="00B7796B"/>
    <w:rPr>
      <w:rFonts w:asciiTheme="majorHAnsi" w:eastAsiaTheme="majorEastAsia" w:hAnsiTheme="majorHAnsi" w:cstheme="majorBidi"/>
      <w:b/>
      <w:bCs/>
      <w:i/>
      <w:iCs/>
      <w:color w:val="870F7F" w:themeColor="accent1"/>
    </w:rPr>
  </w:style>
  <w:style w:type="character" w:customStyle="1" w:styleId="Heading5Char">
    <w:name w:val="Heading 5 Char"/>
    <w:basedOn w:val="DefaultParagraphFont"/>
    <w:link w:val="Heading5"/>
    <w:uiPriority w:val="9"/>
    <w:semiHidden/>
    <w:rsid w:val="00B7796B"/>
    <w:rPr>
      <w:rFonts w:asciiTheme="majorHAnsi" w:eastAsiaTheme="majorEastAsia" w:hAnsiTheme="majorHAnsi" w:cstheme="majorBidi"/>
      <w:color w:val="43073F" w:themeColor="accent1" w:themeShade="7F"/>
    </w:rPr>
  </w:style>
  <w:style w:type="character" w:customStyle="1" w:styleId="Heading6Char">
    <w:name w:val="Heading 6 Char"/>
    <w:basedOn w:val="DefaultParagraphFont"/>
    <w:link w:val="Heading6"/>
    <w:uiPriority w:val="9"/>
    <w:semiHidden/>
    <w:rsid w:val="00B7796B"/>
    <w:rPr>
      <w:rFonts w:asciiTheme="majorHAnsi" w:eastAsiaTheme="majorEastAsia" w:hAnsiTheme="majorHAnsi" w:cstheme="majorBidi"/>
      <w:i/>
      <w:iCs/>
      <w:color w:val="43073F" w:themeColor="accent1" w:themeShade="7F"/>
    </w:rPr>
  </w:style>
  <w:style w:type="character" w:customStyle="1" w:styleId="Heading7Char">
    <w:name w:val="Heading 7 Char"/>
    <w:basedOn w:val="DefaultParagraphFont"/>
    <w:link w:val="Heading7"/>
    <w:uiPriority w:val="9"/>
    <w:semiHidden/>
    <w:rsid w:val="00B779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7796B"/>
    <w:rPr>
      <w:rFonts w:asciiTheme="majorHAnsi" w:eastAsiaTheme="majorEastAsia" w:hAnsiTheme="majorHAnsi" w:cstheme="majorBidi"/>
      <w:color w:val="870F7F" w:themeColor="accent1"/>
      <w:sz w:val="20"/>
      <w:szCs w:val="20"/>
    </w:rPr>
  </w:style>
  <w:style w:type="character" w:customStyle="1" w:styleId="Heading9Char">
    <w:name w:val="Heading 9 Char"/>
    <w:basedOn w:val="DefaultParagraphFont"/>
    <w:link w:val="Heading9"/>
    <w:uiPriority w:val="9"/>
    <w:semiHidden/>
    <w:rsid w:val="00B7796B"/>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rsid w:val="0051234A"/>
  </w:style>
  <w:style w:type="paragraph" w:styleId="HTMLAddress">
    <w:name w:val="HTML Address"/>
    <w:basedOn w:val="Normal"/>
    <w:link w:val="HTMLAddressChar"/>
    <w:uiPriority w:val="99"/>
    <w:semiHidden/>
    <w:unhideWhenUsed/>
    <w:rsid w:val="3B0D9F72"/>
    <w:rPr>
      <w:i/>
      <w:iCs/>
    </w:rPr>
  </w:style>
  <w:style w:type="character" w:customStyle="1" w:styleId="HTMLAddressChar">
    <w:name w:val="HTML Address Char"/>
    <w:basedOn w:val="DefaultParagraphFont"/>
    <w:link w:val="HTMLAddress"/>
    <w:uiPriority w:val="99"/>
    <w:semiHidden/>
    <w:rsid w:val="0051234A"/>
    <w:rPr>
      <w:i/>
      <w:iCs/>
    </w:rPr>
  </w:style>
  <w:style w:type="character" w:styleId="HTMLCite">
    <w:name w:val="HTML Cite"/>
    <w:basedOn w:val="DefaultParagraphFont"/>
    <w:uiPriority w:val="99"/>
    <w:semiHidden/>
    <w:unhideWhenUsed/>
    <w:rsid w:val="0051234A"/>
    <w:rPr>
      <w:i/>
      <w:iCs/>
    </w:rPr>
  </w:style>
  <w:style w:type="character" w:styleId="HTMLCode">
    <w:name w:val="HTML Code"/>
    <w:basedOn w:val="DefaultParagraphFont"/>
    <w:uiPriority w:val="99"/>
    <w:semiHidden/>
    <w:unhideWhenUsed/>
    <w:rsid w:val="0051234A"/>
    <w:rPr>
      <w:rFonts w:ascii="Consolas" w:hAnsi="Consolas"/>
      <w:sz w:val="22"/>
      <w:szCs w:val="20"/>
    </w:rPr>
  </w:style>
  <w:style w:type="character" w:styleId="HTMLDefinition">
    <w:name w:val="HTML Definition"/>
    <w:basedOn w:val="DefaultParagraphFont"/>
    <w:uiPriority w:val="99"/>
    <w:semiHidden/>
    <w:unhideWhenUsed/>
    <w:rsid w:val="0051234A"/>
    <w:rPr>
      <w:i/>
      <w:iCs/>
    </w:rPr>
  </w:style>
  <w:style w:type="character" w:styleId="HTMLKeyboard">
    <w:name w:val="HTML Keyboard"/>
    <w:basedOn w:val="DefaultParagraphFont"/>
    <w:uiPriority w:val="99"/>
    <w:semiHidden/>
    <w:unhideWhenUsed/>
    <w:rsid w:val="0051234A"/>
    <w:rPr>
      <w:rFonts w:ascii="Consolas" w:hAnsi="Consolas"/>
      <w:sz w:val="22"/>
      <w:szCs w:val="20"/>
    </w:rPr>
  </w:style>
  <w:style w:type="paragraph" w:styleId="HTMLPreformatted">
    <w:name w:val="HTML Preformatted"/>
    <w:basedOn w:val="Normal"/>
    <w:link w:val="HTMLPreformattedChar"/>
    <w:uiPriority w:val="99"/>
    <w:semiHidden/>
    <w:unhideWhenUsed/>
    <w:rsid w:val="3B0D9F72"/>
    <w:rPr>
      <w:rFonts w:ascii="Consolas" w:hAnsi="Consolas"/>
    </w:rPr>
  </w:style>
  <w:style w:type="character" w:customStyle="1" w:styleId="HTMLPreformattedChar">
    <w:name w:val="HTML Preformatted Char"/>
    <w:basedOn w:val="DefaultParagraphFont"/>
    <w:link w:val="HTMLPreformatted"/>
    <w:uiPriority w:val="99"/>
    <w:semiHidden/>
    <w:rsid w:val="0051234A"/>
    <w:rPr>
      <w:rFonts w:ascii="Consolas" w:hAnsi="Consolas"/>
      <w:szCs w:val="20"/>
    </w:rPr>
  </w:style>
  <w:style w:type="character" w:styleId="HTMLSample">
    <w:name w:val="HTML Sample"/>
    <w:basedOn w:val="DefaultParagraphFont"/>
    <w:uiPriority w:val="99"/>
    <w:semiHidden/>
    <w:unhideWhenUsed/>
    <w:rsid w:val="0051234A"/>
    <w:rPr>
      <w:rFonts w:ascii="Consolas" w:hAnsi="Consolas"/>
      <w:sz w:val="24"/>
      <w:szCs w:val="24"/>
    </w:rPr>
  </w:style>
  <w:style w:type="character" w:styleId="HTMLTypewriter">
    <w:name w:val="HTML Typewriter"/>
    <w:basedOn w:val="DefaultParagraphFont"/>
    <w:uiPriority w:val="99"/>
    <w:semiHidden/>
    <w:unhideWhenUsed/>
    <w:rsid w:val="0051234A"/>
    <w:rPr>
      <w:rFonts w:ascii="Consolas" w:hAnsi="Consolas"/>
      <w:sz w:val="22"/>
      <w:szCs w:val="20"/>
    </w:rPr>
  </w:style>
  <w:style w:type="character" w:styleId="HTMLVariable">
    <w:name w:val="HTML Variable"/>
    <w:basedOn w:val="DefaultParagraphFont"/>
    <w:uiPriority w:val="99"/>
    <w:semiHidden/>
    <w:unhideWhenUsed/>
    <w:rsid w:val="0051234A"/>
    <w:rPr>
      <w:i/>
      <w:iCs/>
    </w:rPr>
  </w:style>
  <w:style w:type="character" w:styleId="Hyperlink">
    <w:name w:val="Hyperlink"/>
    <w:basedOn w:val="DefaultParagraphFont"/>
    <w:uiPriority w:val="99"/>
    <w:unhideWhenUsed/>
    <w:rsid w:val="00CB5A85"/>
    <w:rPr>
      <w:color w:val="0000FF" w:themeColor="hyperlink"/>
      <w:u w:val="single"/>
    </w:rPr>
  </w:style>
  <w:style w:type="paragraph" w:styleId="Index1">
    <w:name w:val="index 1"/>
    <w:basedOn w:val="Normal"/>
    <w:next w:val="Normal"/>
    <w:uiPriority w:val="99"/>
    <w:semiHidden/>
    <w:unhideWhenUsed/>
    <w:rsid w:val="3B0D9F72"/>
    <w:pPr>
      <w:ind w:left="220" w:hanging="220"/>
    </w:pPr>
  </w:style>
  <w:style w:type="paragraph" w:styleId="Index2">
    <w:name w:val="index 2"/>
    <w:basedOn w:val="Normal"/>
    <w:next w:val="Normal"/>
    <w:uiPriority w:val="99"/>
    <w:semiHidden/>
    <w:unhideWhenUsed/>
    <w:rsid w:val="3B0D9F72"/>
    <w:pPr>
      <w:ind w:left="440" w:hanging="220"/>
    </w:pPr>
  </w:style>
  <w:style w:type="paragraph" w:styleId="Index3">
    <w:name w:val="index 3"/>
    <w:basedOn w:val="Normal"/>
    <w:next w:val="Normal"/>
    <w:uiPriority w:val="99"/>
    <w:semiHidden/>
    <w:unhideWhenUsed/>
    <w:rsid w:val="3B0D9F72"/>
    <w:pPr>
      <w:ind w:left="660" w:hanging="220"/>
    </w:pPr>
  </w:style>
  <w:style w:type="paragraph" w:styleId="Index4">
    <w:name w:val="index 4"/>
    <w:basedOn w:val="Normal"/>
    <w:next w:val="Normal"/>
    <w:uiPriority w:val="99"/>
    <w:semiHidden/>
    <w:unhideWhenUsed/>
    <w:rsid w:val="3B0D9F72"/>
    <w:pPr>
      <w:ind w:left="880" w:hanging="220"/>
    </w:pPr>
  </w:style>
  <w:style w:type="paragraph" w:styleId="Index5">
    <w:name w:val="index 5"/>
    <w:basedOn w:val="Normal"/>
    <w:next w:val="Normal"/>
    <w:uiPriority w:val="99"/>
    <w:semiHidden/>
    <w:unhideWhenUsed/>
    <w:rsid w:val="3B0D9F72"/>
    <w:pPr>
      <w:ind w:left="1100" w:hanging="220"/>
    </w:pPr>
  </w:style>
  <w:style w:type="paragraph" w:styleId="Index6">
    <w:name w:val="index 6"/>
    <w:basedOn w:val="Normal"/>
    <w:next w:val="Normal"/>
    <w:uiPriority w:val="99"/>
    <w:semiHidden/>
    <w:unhideWhenUsed/>
    <w:rsid w:val="3B0D9F72"/>
    <w:pPr>
      <w:ind w:left="1320" w:hanging="220"/>
    </w:pPr>
  </w:style>
  <w:style w:type="paragraph" w:styleId="Index7">
    <w:name w:val="index 7"/>
    <w:basedOn w:val="Normal"/>
    <w:next w:val="Normal"/>
    <w:uiPriority w:val="99"/>
    <w:semiHidden/>
    <w:unhideWhenUsed/>
    <w:rsid w:val="3B0D9F72"/>
    <w:pPr>
      <w:ind w:left="1540" w:hanging="220"/>
    </w:pPr>
  </w:style>
  <w:style w:type="paragraph" w:styleId="Index8">
    <w:name w:val="index 8"/>
    <w:basedOn w:val="Normal"/>
    <w:next w:val="Normal"/>
    <w:uiPriority w:val="99"/>
    <w:semiHidden/>
    <w:unhideWhenUsed/>
    <w:rsid w:val="3B0D9F72"/>
    <w:pPr>
      <w:ind w:left="1760" w:hanging="220"/>
    </w:pPr>
  </w:style>
  <w:style w:type="paragraph" w:styleId="Index9">
    <w:name w:val="index 9"/>
    <w:basedOn w:val="Normal"/>
    <w:next w:val="Normal"/>
    <w:uiPriority w:val="99"/>
    <w:semiHidden/>
    <w:unhideWhenUsed/>
    <w:rsid w:val="3B0D9F72"/>
    <w:pPr>
      <w:ind w:left="1980" w:hanging="220"/>
    </w:pPr>
  </w:style>
  <w:style w:type="paragraph" w:styleId="IndexHeading">
    <w:name w:val="index heading"/>
    <w:basedOn w:val="Normal"/>
    <w:next w:val="Index1"/>
    <w:uiPriority w:val="99"/>
    <w:semiHidden/>
    <w:unhideWhenUsed/>
    <w:rsid w:val="3B0D9F72"/>
    <w:rPr>
      <w:rFonts w:asciiTheme="majorHAnsi" w:eastAsiaTheme="majorEastAsia" w:hAnsiTheme="majorHAnsi" w:cstheme="majorBidi"/>
      <w:b/>
      <w:bCs/>
    </w:rPr>
  </w:style>
  <w:style w:type="table" w:styleId="LightGrid">
    <w:name w:val="Light Grid"/>
    <w:basedOn w:val="TableNormal"/>
    <w:uiPriority w:val="99"/>
    <w:semiHidden/>
    <w:unhideWhenUsed/>
    <w:rsid w:val="0051234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51234A"/>
    <w:tblPr>
      <w:tblStyleRowBandSize w:val="1"/>
      <w:tblStyleColBandSize w:val="1"/>
      <w:tblBorders>
        <w:top w:val="single" w:sz="8" w:space="0" w:color="870F7F" w:themeColor="accent1"/>
        <w:left w:val="single" w:sz="8" w:space="0" w:color="870F7F" w:themeColor="accent1"/>
        <w:bottom w:val="single" w:sz="8" w:space="0" w:color="870F7F" w:themeColor="accent1"/>
        <w:right w:val="single" w:sz="8" w:space="0" w:color="870F7F" w:themeColor="accent1"/>
        <w:insideH w:val="single" w:sz="8" w:space="0" w:color="870F7F" w:themeColor="accent1"/>
        <w:insideV w:val="single" w:sz="8" w:space="0" w:color="870F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0F7F" w:themeColor="accent1"/>
          <w:left w:val="single" w:sz="8" w:space="0" w:color="870F7F" w:themeColor="accent1"/>
          <w:bottom w:val="single" w:sz="18" w:space="0" w:color="870F7F" w:themeColor="accent1"/>
          <w:right w:val="single" w:sz="8" w:space="0" w:color="870F7F" w:themeColor="accent1"/>
          <w:insideH w:val="nil"/>
          <w:insideV w:val="single" w:sz="8" w:space="0" w:color="870F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0F7F" w:themeColor="accent1"/>
          <w:left w:val="single" w:sz="8" w:space="0" w:color="870F7F" w:themeColor="accent1"/>
          <w:bottom w:val="single" w:sz="8" w:space="0" w:color="870F7F" w:themeColor="accent1"/>
          <w:right w:val="single" w:sz="8" w:space="0" w:color="870F7F" w:themeColor="accent1"/>
          <w:insideH w:val="nil"/>
          <w:insideV w:val="single" w:sz="8" w:space="0" w:color="870F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0F7F" w:themeColor="accent1"/>
          <w:left w:val="single" w:sz="8" w:space="0" w:color="870F7F" w:themeColor="accent1"/>
          <w:bottom w:val="single" w:sz="8" w:space="0" w:color="870F7F" w:themeColor="accent1"/>
          <w:right w:val="single" w:sz="8" w:space="0" w:color="870F7F" w:themeColor="accent1"/>
        </w:tcBorders>
      </w:tcPr>
    </w:tblStylePr>
    <w:tblStylePr w:type="band1Vert">
      <w:tblPr/>
      <w:tcPr>
        <w:tcBorders>
          <w:top w:val="single" w:sz="8" w:space="0" w:color="870F7F" w:themeColor="accent1"/>
          <w:left w:val="single" w:sz="8" w:space="0" w:color="870F7F" w:themeColor="accent1"/>
          <w:bottom w:val="single" w:sz="8" w:space="0" w:color="870F7F" w:themeColor="accent1"/>
          <w:right w:val="single" w:sz="8" w:space="0" w:color="870F7F" w:themeColor="accent1"/>
        </w:tcBorders>
        <w:shd w:val="clear" w:color="auto" w:fill="F6AEF1" w:themeFill="accent1" w:themeFillTint="3F"/>
      </w:tcPr>
    </w:tblStylePr>
    <w:tblStylePr w:type="band1Horz">
      <w:tblPr/>
      <w:tcPr>
        <w:tcBorders>
          <w:top w:val="single" w:sz="8" w:space="0" w:color="870F7F" w:themeColor="accent1"/>
          <w:left w:val="single" w:sz="8" w:space="0" w:color="870F7F" w:themeColor="accent1"/>
          <w:bottom w:val="single" w:sz="8" w:space="0" w:color="870F7F" w:themeColor="accent1"/>
          <w:right w:val="single" w:sz="8" w:space="0" w:color="870F7F" w:themeColor="accent1"/>
          <w:insideV w:val="single" w:sz="8" w:space="0" w:color="870F7F" w:themeColor="accent1"/>
        </w:tcBorders>
        <w:shd w:val="clear" w:color="auto" w:fill="F6AEF1" w:themeFill="accent1" w:themeFillTint="3F"/>
      </w:tcPr>
    </w:tblStylePr>
    <w:tblStylePr w:type="band2Horz">
      <w:tblPr/>
      <w:tcPr>
        <w:tcBorders>
          <w:top w:val="single" w:sz="8" w:space="0" w:color="870F7F" w:themeColor="accent1"/>
          <w:left w:val="single" w:sz="8" w:space="0" w:color="870F7F" w:themeColor="accent1"/>
          <w:bottom w:val="single" w:sz="8" w:space="0" w:color="870F7F" w:themeColor="accent1"/>
          <w:right w:val="single" w:sz="8" w:space="0" w:color="870F7F" w:themeColor="accent1"/>
          <w:insideV w:val="single" w:sz="8" w:space="0" w:color="870F7F" w:themeColor="accent1"/>
        </w:tcBorders>
      </w:tcPr>
    </w:tblStylePr>
  </w:style>
  <w:style w:type="table" w:styleId="LightGrid-Accent2">
    <w:name w:val="Light Grid Accent 2"/>
    <w:basedOn w:val="TableNormal"/>
    <w:uiPriority w:val="62"/>
    <w:semiHidden/>
    <w:unhideWhenUsed/>
    <w:rsid w:val="0051234A"/>
    <w:tblPr>
      <w:tblStyleRowBandSize w:val="1"/>
      <w:tblStyleColBandSize w:val="1"/>
      <w:tblBorders>
        <w:top w:val="single" w:sz="8" w:space="0" w:color="4BACC6" w:themeColor="accent2"/>
        <w:left w:val="single" w:sz="8" w:space="0" w:color="4BACC6" w:themeColor="accent2"/>
        <w:bottom w:val="single" w:sz="8" w:space="0" w:color="4BACC6" w:themeColor="accent2"/>
        <w:right w:val="single" w:sz="8" w:space="0" w:color="4BACC6" w:themeColor="accent2"/>
        <w:insideH w:val="single" w:sz="8" w:space="0" w:color="4BACC6" w:themeColor="accent2"/>
        <w:insideV w:val="single" w:sz="8" w:space="0" w:color="4BAC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2"/>
          <w:left w:val="single" w:sz="8" w:space="0" w:color="4BACC6" w:themeColor="accent2"/>
          <w:bottom w:val="single" w:sz="18" w:space="0" w:color="4BACC6" w:themeColor="accent2"/>
          <w:right w:val="single" w:sz="8" w:space="0" w:color="4BACC6" w:themeColor="accent2"/>
          <w:insideH w:val="nil"/>
          <w:insideV w:val="single" w:sz="8" w:space="0" w:color="4BAC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2"/>
          <w:left w:val="single" w:sz="8" w:space="0" w:color="4BACC6" w:themeColor="accent2"/>
          <w:bottom w:val="single" w:sz="8" w:space="0" w:color="4BACC6" w:themeColor="accent2"/>
          <w:right w:val="single" w:sz="8" w:space="0" w:color="4BACC6" w:themeColor="accent2"/>
          <w:insideH w:val="nil"/>
          <w:insideV w:val="single" w:sz="8" w:space="0" w:color="4BAC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2"/>
          <w:left w:val="single" w:sz="8" w:space="0" w:color="4BACC6" w:themeColor="accent2"/>
          <w:bottom w:val="single" w:sz="8" w:space="0" w:color="4BACC6" w:themeColor="accent2"/>
          <w:right w:val="single" w:sz="8" w:space="0" w:color="4BACC6" w:themeColor="accent2"/>
        </w:tcBorders>
      </w:tcPr>
    </w:tblStylePr>
    <w:tblStylePr w:type="band1Vert">
      <w:tblPr/>
      <w:tcPr>
        <w:tcBorders>
          <w:top w:val="single" w:sz="8" w:space="0" w:color="4BACC6" w:themeColor="accent2"/>
          <w:left w:val="single" w:sz="8" w:space="0" w:color="4BACC6" w:themeColor="accent2"/>
          <w:bottom w:val="single" w:sz="8" w:space="0" w:color="4BACC6" w:themeColor="accent2"/>
          <w:right w:val="single" w:sz="8" w:space="0" w:color="4BACC6" w:themeColor="accent2"/>
        </w:tcBorders>
        <w:shd w:val="clear" w:color="auto" w:fill="D2EAF1" w:themeFill="accent2" w:themeFillTint="3F"/>
      </w:tcPr>
    </w:tblStylePr>
    <w:tblStylePr w:type="band1Horz">
      <w:tblPr/>
      <w:tcPr>
        <w:tcBorders>
          <w:top w:val="single" w:sz="8" w:space="0" w:color="4BACC6" w:themeColor="accent2"/>
          <w:left w:val="single" w:sz="8" w:space="0" w:color="4BACC6" w:themeColor="accent2"/>
          <w:bottom w:val="single" w:sz="8" w:space="0" w:color="4BACC6" w:themeColor="accent2"/>
          <w:right w:val="single" w:sz="8" w:space="0" w:color="4BACC6" w:themeColor="accent2"/>
          <w:insideV w:val="single" w:sz="8" w:space="0" w:color="4BACC6" w:themeColor="accent2"/>
        </w:tcBorders>
        <w:shd w:val="clear" w:color="auto" w:fill="D2EAF1" w:themeFill="accent2" w:themeFillTint="3F"/>
      </w:tcPr>
    </w:tblStylePr>
    <w:tblStylePr w:type="band2Horz">
      <w:tblPr/>
      <w:tcPr>
        <w:tcBorders>
          <w:top w:val="single" w:sz="8" w:space="0" w:color="4BACC6" w:themeColor="accent2"/>
          <w:left w:val="single" w:sz="8" w:space="0" w:color="4BACC6" w:themeColor="accent2"/>
          <w:bottom w:val="single" w:sz="8" w:space="0" w:color="4BACC6" w:themeColor="accent2"/>
          <w:right w:val="single" w:sz="8" w:space="0" w:color="4BACC6" w:themeColor="accent2"/>
          <w:insideV w:val="single" w:sz="8" w:space="0" w:color="4BACC6" w:themeColor="accent2"/>
        </w:tcBorders>
      </w:tcPr>
    </w:tblStylePr>
  </w:style>
  <w:style w:type="table" w:styleId="LightGrid-Accent3">
    <w:name w:val="Light Grid Accent 3"/>
    <w:basedOn w:val="TableNormal"/>
    <w:uiPriority w:val="62"/>
    <w:semiHidden/>
    <w:unhideWhenUsed/>
    <w:rsid w:val="0051234A"/>
    <w:tblPr>
      <w:tblStyleRowBandSize w:val="1"/>
      <w:tblStyleColBandSize w:val="1"/>
      <w:tblBorders>
        <w:top w:val="single" w:sz="8" w:space="0" w:color="D8D8D8" w:themeColor="accent3"/>
        <w:left w:val="single" w:sz="8" w:space="0" w:color="D8D8D8" w:themeColor="accent3"/>
        <w:bottom w:val="single" w:sz="8" w:space="0" w:color="D8D8D8" w:themeColor="accent3"/>
        <w:right w:val="single" w:sz="8" w:space="0" w:color="D8D8D8" w:themeColor="accent3"/>
        <w:insideH w:val="single" w:sz="8" w:space="0" w:color="D8D8D8" w:themeColor="accent3"/>
        <w:insideV w:val="single" w:sz="8" w:space="0" w:color="D8D8D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8D8" w:themeColor="accent3"/>
          <w:left w:val="single" w:sz="8" w:space="0" w:color="D8D8D8" w:themeColor="accent3"/>
          <w:bottom w:val="single" w:sz="18" w:space="0" w:color="D8D8D8" w:themeColor="accent3"/>
          <w:right w:val="single" w:sz="8" w:space="0" w:color="D8D8D8" w:themeColor="accent3"/>
          <w:insideH w:val="nil"/>
          <w:insideV w:val="single" w:sz="8" w:space="0" w:color="D8D8D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8D8" w:themeColor="accent3"/>
          <w:left w:val="single" w:sz="8" w:space="0" w:color="D8D8D8" w:themeColor="accent3"/>
          <w:bottom w:val="single" w:sz="8" w:space="0" w:color="D8D8D8" w:themeColor="accent3"/>
          <w:right w:val="single" w:sz="8" w:space="0" w:color="D8D8D8" w:themeColor="accent3"/>
          <w:insideH w:val="nil"/>
          <w:insideV w:val="single" w:sz="8" w:space="0" w:color="D8D8D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8D8" w:themeColor="accent3"/>
          <w:left w:val="single" w:sz="8" w:space="0" w:color="D8D8D8" w:themeColor="accent3"/>
          <w:bottom w:val="single" w:sz="8" w:space="0" w:color="D8D8D8" w:themeColor="accent3"/>
          <w:right w:val="single" w:sz="8" w:space="0" w:color="D8D8D8" w:themeColor="accent3"/>
        </w:tcBorders>
      </w:tcPr>
    </w:tblStylePr>
    <w:tblStylePr w:type="band1Vert">
      <w:tblPr/>
      <w:tcPr>
        <w:tcBorders>
          <w:top w:val="single" w:sz="8" w:space="0" w:color="D8D8D8" w:themeColor="accent3"/>
          <w:left w:val="single" w:sz="8" w:space="0" w:color="D8D8D8" w:themeColor="accent3"/>
          <w:bottom w:val="single" w:sz="8" w:space="0" w:color="D8D8D8" w:themeColor="accent3"/>
          <w:right w:val="single" w:sz="8" w:space="0" w:color="D8D8D8" w:themeColor="accent3"/>
        </w:tcBorders>
        <w:shd w:val="clear" w:color="auto" w:fill="F5F5F5" w:themeFill="accent3" w:themeFillTint="3F"/>
      </w:tcPr>
    </w:tblStylePr>
    <w:tblStylePr w:type="band1Horz">
      <w:tblPr/>
      <w:tcPr>
        <w:tcBorders>
          <w:top w:val="single" w:sz="8" w:space="0" w:color="D8D8D8" w:themeColor="accent3"/>
          <w:left w:val="single" w:sz="8" w:space="0" w:color="D8D8D8" w:themeColor="accent3"/>
          <w:bottom w:val="single" w:sz="8" w:space="0" w:color="D8D8D8" w:themeColor="accent3"/>
          <w:right w:val="single" w:sz="8" w:space="0" w:color="D8D8D8" w:themeColor="accent3"/>
          <w:insideV w:val="single" w:sz="8" w:space="0" w:color="D8D8D8" w:themeColor="accent3"/>
        </w:tcBorders>
        <w:shd w:val="clear" w:color="auto" w:fill="F5F5F5" w:themeFill="accent3" w:themeFillTint="3F"/>
      </w:tcPr>
    </w:tblStylePr>
    <w:tblStylePr w:type="band2Horz">
      <w:tblPr/>
      <w:tcPr>
        <w:tcBorders>
          <w:top w:val="single" w:sz="8" w:space="0" w:color="D8D8D8" w:themeColor="accent3"/>
          <w:left w:val="single" w:sz="8" w:space="0" w:color="D8D8D8" w:themeColor="accent3"/>
          <w:bottom w:val="single" w:sz="8" w:space="0" w:color="D8D8D8" w:themeColor="accent3"/>
          <w:right w:val="single" w:sz="8" w:space="0" w:color="D8D8D8" w:themeColor="accent3"/>
          <w:insideV w:val="single" w:sz="8" w:space="0" w:color="D8D8D8" w:themeColor="accent3"/>
        </w:tcBorders>
      </w:tcPr>
    </w:tblStylePr>
  </w:style>
  <w:style w:type="table" w:styleId="LightGrid-Accent4">
    <w:name w:val="Light Grid Accent 4"/>
    <w:basedOn w:val="TableNormal"/>
    <w:uiPriority w:val="62"/>
    <w:semiHidden/>
    <w:unhideWhenUsed/>
    <w:rsid w:val="0051234A"/>
    <w:tblPr>
      <w:tblStyleRowBandSize w:val="1"/>
      <w:tblStyleColBandSize w:val="1"/>
      <w:tblBorders>
        <w:top w:val="single" w:sz="8" w:space="0" w:color="8DB3E2" w:themeColor="accent4"/>
        <w:left w:val="single" w:sz="8" w:space="0" w:color="8DB3E2" w:themeColor="accent4"/>
        <w:bottom w:val="single" w:sz="8" w:space="0" w:color="8DB3E2" w:themeColor="accent4"/>
        <w:right w:val="single" w:sz="8" w:space="0" w:color="8DB3E2" w:themeColor="accent4"/>
        <w:insideH w:val="single" w:sz="8" w:space="0" w:color="8DB3E2" w:themeColor="accent4"/>
        <w:insideV w:val="single" w:sz="8" w:space="0" w:color="8DB3E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B3E2" w:themeColor="accent4"/>
          <w:left w:val="single" w:sz="8" w:space="0" w:color="8DB3E2" w:themeColor="accent4"/>
          <w:bottom w:val="single" w:sz="18" w:space="0" w:color="8DB3E2" w:themeColor="accent4"/>
          <w:right w:val="single" w:sz="8" w:space="0" w:color="8DB3E2" w:themeColor="accent4"/>
          <w:insideH w:val="nil"/>
          <w:insideV w:val="single" w:sz="8" w:space="0" w:color="8DB3E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B3E2" w:themeColor="accent4"/>
          <w:left w:val="single" w:sz="8" w:space="0" w:color="8DB3E2" w:themeColor="accent4"/>
          <w:bottom w:val="single" w:sz="8" w:space="0" w:color="8DB3E2" w:themeColor="accent4"/>
          <w:right w:val="single" w:sz="8" w:space="0" w:color="8DB3E2" w:themeColor="accent4"/>
          <w:insideH w:val="nil"/>
          <w:insideV w:val="single" w:sz="8" w:space="0" w:color="8DB3E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B3E2" w:themeColor="accent4"/>
          <w:left w:val="single" w:sz="8" w:space="0" w:color="8DB3E2" w:themeColor="accent4"/>
          <w:bottom w:val="single" w:sz="8" w:space="0" w:color="8DB3E2" w:themeColor="accent4"/>
          <w:right w:val="single" w:sz="8" w:space="0" w:color="8DB3E2" w:themeColor="accent4"/>
        </w:tcBorders>
      </w:tcPr>
    </w:tblStylePr>
    <w:tblStylePr w:type="band1Vert">
      <w:tblPr/>
      <w:tcPr>
        <w:tcBorders>
          <w:top w:val="single" w:sz="8" w:space="0" w:color="8DB3E2" w:themeColor="accent4"/>
          <w:left w:val="single" w:sz="8" w:space="0" w:color="8DB3E2" w:themeColor="accent4"/>
          <w:bottom w:val="single" w:sz="8" w:space="0" w:color="8DB3E2" w:themeColor="accent4"/>
          <w:right w:val="single" w:sz="8" w:space="0" w:color="8DB3E2" w:themeColor="accent4"/>
        </w:tcBorders>
        <w:shd w:val="clear" w:color="auto" w:fill="E2ECF7" w:themeFill="accent4" w:themeFillTint="3F"/>
      </w:tcPr>
    </w:tblStylePr>
    <w:tblStylePr w:type="band1Horz">
      <w:tblPr/>
      <w:tcPr>
        <w:tcBorders>
          <w:top w:val="single" w:sz="8" w:space="0" w:color="8DB3E2" w:themeColor="accent4"/>
          <w:left w:val="single" w:sz="8" w:space="0" w:color="8DB3E2" w:themeColor="accent4"/>
          <w:bottom w:val="single" w:sz="8" w:space="0" w:color="8DB3E2" w:themeColor="accent4"/>
          <w:right w:val="single" w:sz="8" w:space="0" w:color="8DB3E2" w:themeColor="accent4"/>
          <w:insideV w:val="single" w:sz="8" w:space="0" w:color="8DB3E2" w:themeColor="accent4"/>
        </w:tcBorders>
        <w:shd w:val="clear" w:color="auto" w:fill="E2ECF7" w:themeFill="accent4" w:themeFillTint="3F"/>
      </w:tcPr>
    </w:tblStylePr>
    <w:tblStylePr w:type="band2Horz">
      <w:tblPr/>
      <w:tcPr>
        <w:tcBorders>
          <w:top w:val="single" w:sz="8" w:space="0" w:color="8DB3E2" w:themeColor="accent4"/>
          <w:left w:val="single" w:sz="8" w:space="0" w:color="8DB3E2" w:themeColor="accent4"/>
          <w:bottom w:val="single" w:sz="8" w:space="0" w:color="8DB3E2" w:themeColor="accent4"/>
          <w:right w:val="single" w:sz="8" w:space="0" w:color="8DB3E2" w:themeColor="accent4"/>
          <w:insideV w:val="single" w:sz="8" w:space="0" w:color="8DB3E2" w:themeColor="accent4"/>
        </w:tcBorders>
      </w:tcPr>
    </w:tblStylePr>
  </w:style>
  <w:style w:type="table" w:styleId="LightGrid-Accent5">
    <w:name w:val="Light Grid Accent 5"/>
    <w:basedOn w:val="TableNormal"/>
    <w:uiPriority w:val="62"/>
    <w:semiHidden/>
    <w:unhideWhenUsed/>
    <w:rsid w:val="0051234A"/>
    <w:tblPr>
      <w:tblStyleRowBandSize w:val="1"/>
      <w:tblStyleColBandSize w:val="1"/>
      <w:tblBorders>
        <w:top w:val="single" w:sz="8" w:space="0" w:color="EEECE1" w:themeColor="accent5"/>
        <w:left w:val="single" w:sz="8" w:space="0" w:color="EEECE1" w:themeColor="accent5"/>
        <w:bottom w:val="single" w:sz="8" w:space="0" w:color="EEECE1" w:themeColor="accent5"/>
        <w:right w:val="single" w:sz="8" w:space="0" w:color="EEECE1" w:themeColor="accent5"/>
        <w:insideH w:val="single" w:sz="8" w:space="0" w:color="EEECE1" w:themeColor="accent5"/>
        <w:insideV w:val="single" w:sz="8" w:space="0" w:color="EEEC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ECE1" w:themeColor="accent5"/>
          <w:left w:val="single" w:sz="8" w:space="0" w:color="EEECE1" w:themeColor="accent5"/>
          <w:bottom w:val="single" w:sz="18" w:space="0" w:color="EEECE1" w:themeColor="accent5"/>
          <w:right w:val="single" w:sz="8" w:space="0" w:color="EEECE1" w:themeColor="accent5"/>
          <w:insideH w:val="nil"/>
          <w:insideV w:val="single" w:sz="8" w:space="0" w:color="EEEC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ECE1" w:themeColor="accent5"/>
          <w:left w:val="single" w:sz="8" w:space="0" w:color="EEECE1" w:themeColor="accent5"/>
          <w:bottom w:val="single" w:sz="8" w:space="0" w:color="EEECE1" w:themeColor="accent5"/>
          <w:right w:val="single" w:sz="8" w:space="0" w:color="EEECE1" w:themeColor="accent5"/>
          <w:insideH w:val="nil"/>
          <w:insideV w:val="single" w:sz="8" w:space="0" w:color="EEEC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ECE1" w:themeColor="accent5"/>
          <w:left w:val="single" w:sz="8" w:space="0" w:color="EEECE1" w:themeColor="accent5"/>
          <w:bottom w:val="single" w:sz="8" w:space="0" w:color="EEECE1" w:themeColor="accent5"/>
          <w:right w:val="single" w:sz="8" w:space="0" w:color="EEECE1" w:themeColor="accent5"/>
        </w:tcBorders>
      </w:tcPr>
    </w:tblStylePr>
    <w:tblStylePr w:type="band1Vert">
      <w:tblPr/>
      <w:tcPr>
        <w:tcBorders>
          <w:top w:val="single" w:sz="8" w:space="0" w:color="EEECE1" w:themeColor="accent5"/>
          <w:left w:val="single" w:sz="8" w:space="0" w:color="EEECE1" w:themeColor="accent5"/>
          <w:bottom w:val="single" w:sz="8" w:space="0" w:color="EEECE1" w:themeColor="accent5"/>
          <w:right w:val="single" w:sz="8" w:space="0" w:color="EEECE1" w:themeColor="accent5"/>
        </w:tcBorders>
        <w:shd w:val="clear" w:color="auto" w:fill="FAFAF7" w:themeFill="accent5" w:themeFillTint="3F"/>
      </w:tcPr>
    </w:tblStylePr>
    <w:tblStylePr w:type="band1Horz">
      <w:tblPr/>
      <w:tcPr>
        <w:tcBorders>
          <w:top w:val="single" w:sz="8" w:space="0" w:color="EEECE1" w:themeColor="accent5"/>
          <w:left w:val="single" w:sz="8" w:space="0" w:color="EEECE1" w:themeColor="accent5"/>
          <w:bottom w:val="single" w:sz="8" w:space="0" w:color="EEECE1" w:themeColor="accent5"/>
          <w:right w:val="single" w:sz="8" w:space="0" w:color="EEECE1" w:themeColor="accent5"/>
          <w:insideV w:val="single" w:sz="8" w:space="0" w:color="EEECE1" w:themeColor="accent5"/>
        </w:tcBorders>
        <w:shd w:val="clear" w:color="auto" w:fill="FAFAF7" w:themeFill="accent5" w:themeFillTint="3F"/>
      </w:tcPr>
    </w:tblStylePr>
    <w:tblStylePr w:type="band2Horz">
      <w:tblPr/>
      <w:tcPr>
        <w:tcBorders>
          <w:top w:val="single" w:sz="8" w:space="0" w:color="EEECE1" w:themeColor="accent5"/>
          <w:left w:val="single" w:sz="8" w:space="0" w:color="EEECE1" w:themeColor="accent5"/>
          <w:bottom w:val="single" w:sz="8" w:space="0" w:color="EEECE1" w:themeColor="accent5"/>
          <w:right w:val="single" w:sz="8" w:space="0" w:color="EEECE1" w:themeColor="accent5"/>
          <w:insideV w:val="single" w:sz="8" w:space="0" w:color="EEECE1" w:themeColor="accent5"/>
        </w:tcBorders>
      </w:tcPr>
    </w:tblStylePr>
  </w:style>
  <w:style w:type="table" w:styleId="LightGrid-Accent6">
    <w:name w:val="Light Grid Accent 6"/>
    <w:basedOn w:val="TableNormal"/>
    <w:uiPriority w:val="62"/>
    <w:semiHidden/>
    <w:unhideWhenUsed/>
    <w:rsid w:val="0051234A"/>
    <w:tblPr>
      <w:tblStyleRowBandSize w:val="1"/>
      <w:tblStyleColBandSize w:val="1"/>
      <w:tblBorders>
        <w:top w:val="single" w:sz="8" w:space="0" w:color="EA700D" w:themeColor="accent6"/>
        <w:left w:val="single" w:sz="8" w:space="0" w:color="EA700D" w:themeColor="accent6"/>
        <w:bottom w:val="single" w:sz="8" w:space="0" w:color="EA700D" w:themeColor="accent6"/>
        <w:right w:val="single" w:sz="8" w:space="0" w:color="EA700D" w:themeColor="accent6"/>
        <w:insideH w:val="single" w:sz="8" w:space="0" w:color="EA700D" w:themeColor="accent6"/>
        <w:insideV w:val="single" w:sz="8" w:space="0" w:color="EA700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00D" w:themeColor="accent6"/>
          <w:left w:val="single" w:sz="8" w:space="0" w:color="EA700D" w:themeColor="accent6"/>
          <w:bottom w:val="single" w:sz="18" w:space="0" w:color="EA700D" w:themeColor="accent6"/>
          <w:right w:val="single" w:sz="8" w:space="0" w:color="EA700D" w:themeColor="accent6"/>
          <w:insideH w:val="nil"/>
          <w:insideV w:val="single" w:sz="8" w:space="0" w:color="EA700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00D" w:themeColor="accent6"/>
          <w:left w:val="single" w:sz="8" w:space="0" w:color="EA700D" w:themeColor="accent6"/>
          <w:bottom w:val="single" w:sz="8" w:space="0" w:color="EA700D" w:themeColor="accent6"/>
          <w:right w:val="single" w:sz="8" w:space="0" w:color="EA700D" w:themeColor="accent6"/>
          <w:insideH w:val="nil"/>
          <w:insideV w:val="single" w:sz="8" w:space="0" w:color="EA700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00D" w:themeColor="accent6"/>
          <w:left w:val="single" w:sz="8" w:space="0" w:color="EA700D" w:themeColor="accent6"/>
          <w:bottom w:val="single" w:sz="8" w:space="0" w:color="EA700D" w:themeColor="accent6"/>
          <w:right w:val="single" w:sz="8" w:space="0" w:color="EA700D" w:themeColor="accent6"/>
        </w:tcBorders>
      </w:tcPr>
    </w:tblStylePr>
    <w:tblStylePr w:type="band1Vert">
      <w:tblPr/>
      <w:tcPr>
        <w:tcBorders>
          <w:top w:val="single" w:sz="8" w:space="0" w:color="EA700D" w:themeColor="accent6"/>
          <w:left w:val="single" w:sz="8" w:space="0" w:color="EA700D" w:themeColor="accent6"/>
          <w:bottom w:val="single" w:sz="8" w:space="0" w:color="EA700D" w:themeColor="accent6"/>
          <w:right w:val="single" w:sz="8" w:space="0" w:color="EA700D" w:themeColor="accent6"/>
        </w:tcBorders>
        <w:shd w:val="clear" w:color="auto" w:fill="FBDBC1" w:themeFill="accent6" w:themeFillTint="3F"/>
      </w:tcPr>
    </w:tblStylePr>
    <w:tblStylePr w:type="band1Horz">
      <w:tblPr/>
      <w:tcPr>
        <w:tcBorders>
          <w:top w:val="single" w:sz="8" w:space="0" w:color="EA700D" w:themeColor="accent6"/>
          <w:left w:val="single" w:sz="8" w:space="0" w:color="EA700D" w:themeColor="accent6"/>
          <w:bottom w:val="single" w:sz="8" w:space="0" w:color="EA700D" w:themeColor="accent6"/>
          <w:right w:val="single" w:sz="8" w:space="0" w:color="EA700D" w:themeColor="accent6"/>
          <w:insideV w:val="single" w:sz="8" w:space="0" w:color="EA700D" w:themeColor="accent6"/>
        </w:tcBorders>
        <w:shd w:val="clear" w:color="auto" w:fill="FBDBC1" w:themeFill="accent6" w:themeFillTint="3F"/>
      </w:tcPr>
    </w:tblStylePr>
    <w:tblStylePr w:type="band2Horz">
      <w:tblPr/>
      <w:tcPr>
        <w:tcBorders>
          <w:top w:val="single" w:sz="8" w:space="0" w:color="EA700D" w:themeColor="accent6"/>
          <w:left w:val="single" w:sz="8" w:space="0" w:color="EA700D" w:themeColor="accent6"/>
          <w:bottom w:val="single" w:sz="8" w:space="0" w:color="EA700D" w:themeColor="accent6"/>
          <w:right w:val="single" w:sz="8" w:space="0" w:color="EA700D" w:themeColor="accent6"/>
          <w:insideV w:val="single" w:sz="8" w:space="0" w:color="EA700D" w:themeColor="accent6"/>
        </w:tcBorders>
      </w:tcPr>
    </w:tblStylePr>
  </w:style>
  <w:style w:type="table" w:styleId="LightList">
    <w:name w:val="Light List"/>
    <w:basedOn w:val="TableNormal"/>
    <w:uiPriority w:val="99"/>
    <w:semiHidden/>
    <w:unhideWhenUsed/>
    <w:rsid w:val="0051234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51234A"/>
    <w:tblPr>
      <w:tblStyleRowBandSize w:val="1"/>
      <w:tblStyleColBandSize w:val="1"/>
      <w:tblBorders>
        <w:top w:val="single" w:sz="8" w:space="0" w:color="870F7F" w:themeColor="accent1"/>
        <w:left w:val="single" w:sz="8" w:space="0" w:color="870F7F" w:themeColor="accent1"/>
        <w:bottom w:val="single" w:sz="8" w:space="0" w:color="870F7F" w:themeColor="accent1"/>
        <w:right w:val="single" w:sz="8" w:space="0" w:color="870F7F" w:themeColor="accent1"/>
      </w:tblBorders>
    </w:tblPr>
    <w:tblStylePr w:type="firstRow">
      <w:pPr>
        <w:spacing w:before="0" w:after="0" w:line="240" w:lineRule="auto"/>
      </w:pPr>
      <w:rPr>
        <w:b/>
        <w:bCs/>
        <w:color w:val="FFFFFF" w:themeColor="background1"/>
      </w:rPr>
      <w:tblPr/>
      <w:tcPr>
        <w:shd w:val="clear" w:color="auto" w:fill="870F7F" w:themeFill="accent1"/>
      </w:tcPr>
    </w:tblStylePr>
    <w:tblStylePr w:type="lastRow">
      <w:pPr>
        <w:spacing w:before="0" w:after="0" w:line="240" w:lineRule="auto"/>
      </w:pPr>
      <w:rPr>
        <w:b/>
        <w:bCs/>
      </w:rPr>
      <w:tblPr/>
      <w:tcPr>
        <w:tcBorders>
          <w:top w:val="double" w:sz="6" w:space="0" w:color="870F7F" w:themeColor="accent1"/>
          <w:left w:val="single" w:sz="8" w:space="0" w:color="870F7F" w:themeColor="accent1"/>
          <w:bottom w:val="single" w:sz="8" w:space="0" w:color="870F7F" w:themeColor="accent1"/>
          <w:right w:val="single" w:sz="8" w:space="0" w:color="870F7F" w:themeColor="accent1"/>
        </w:tcBorders>
      </w:tcPr>
    </w:tblStylePr>
    <w:tblStylePr w:type="firstCol">
      <w:rPr>
        <w:b/>
        <w:bCs/>
      </w:rPr>
    </w:tblStylePr>
    <w:tblStylePr w:type="lastCol">
      <w:rPr>
        <w:b/>
        <w:bCs/>
      </w:rPr>
    </w:tblStylePr>
    <w:tblStylePr w:type="band1Vert">
      <w:tblPr/>
      <w:tcPr>
        <w:tcBorders>
          <w:top w:val="single" w:sz="8" w:space="0" w:color="870F7F" w:themeColor="accent1"/>
          <w:left w:val="single" w:sz="8" w:space="0" w:color="870F7F" w:themeColor="accent1"/>
          <w:bottom w:val="single" w:sz="8" w:space="0" w:color="870F7F" w:themeColor="accent1"/>
          <w:right w:val="single" w:sz="8" w:space="0" w:color="870F7F" w:themeColor="accent1"/>
        </w:tcBorders>
      </w:tcPr>
    </w:tblStylePr>
    <w:tblStylePr w:type="band1Horz">
      <w:tblPr/>
      <w:tcPr>
        <w:tcBorders>
          <w:top w:val="single" w:sz="8" w:space="0" w:color="870F7F" w:themeColor="accent1"/>
          <w:left w:val="single" w:sz="8" w:space="0" w:color="870F7F" w:themeColor="accent1"/>
          <w:bottom w:val="single" w:sz="8" w:space="0" w:color="870F7F" w:themeColor="accent1"/>
          <w:right w:val="single" w:sz="8" w:space="0" w:color="870F7F" w:themeColor="accent1"/>
        </w:tcBorders>
      </w:tcPr>
    </w:tblStylePr>
  </w:style>
  <w:style w:type="table" w:styleId="LightList-Accent2">
    <w:name w:val="Light List Accent 2"/>
    <w:basedOn w:val="TableNormal"/>
    <w:uiPriority w:val="61"/>
    <w:semiHidden/>
    <w:unhideWhenUsed/>
    <w:rsid w:val="0051234A"/>
    <w:tblPr>
      <w:tblStyleRowBandSize w:val="1"/>
      <w:tblStyleColBandSize w:val="1"/>
      <w:tblBorders>
        <w:top w:val="single" w:sz="8" w:space="0" w:color="4BACC6" w:themeColor="accent2"/>
        <w:left w:val="single" w:sz="8" w:space="0" w:color="4BACC6" w:themeColor="accent2"/>
        <w:bottom w:val="single" w:sz="8" w:space="0" w:color="4BACC6" w:themeColor="accent2"/>
        <w:right w:val="single" w:sz="8" w:space="0" w:color="4BACC6" w:themeColor="accent2"/>
      </w:tblBorders>
    </w:tblPr>
    <w:tblStylePr w:type="firstRow">
      <w:pPr>
        <w:spacing w:before="0" w:after="0" w:line="240" w:lineRule="auto"/>
      </w:pPr>
      <w:rPr>
        <w:b/>
        <w:bCs/>
        <w:color w:val="FFFFFF" w:themeColor="background1"/>
      </w:rPr>
      <w:tblPr/>
      <w:tcPr>
        <w:shd w:val="clear" w:color="auto" w:fill="4BACC6" w:themeFill="accent2"/>
      </w:tcPr>
    </w:tblStylePr>
    <w:tblStylePr w:type="lastRow">
      <w:pPr>
        <w:spacing w:before="0" w:after="0" w:line="240" w:lineRule="auto"/>
      </w:pPr>
      <w:rPr>
        <w:b/>
        <w:bCs/>
      </w:rPr>
      <w:tblPr/>
      <w:tcPr>
        <w:tcBorders>
          <w:top w:val="double" w:sz="6" w:space="0" w:color="4BACC6" w:themeColor="accent2"/>
          <w:left w:val="single" w:sz="8" w:space="0" w:color="4BACC6" w:themeColor="accent2"/>
          <w:bottom w:val="single" w:sz="8" w:space="0" w:color="4BACC6" w:themeColor="accent2"/>
          <w:right w:val="single" w:sz="8" w:space="0" w:color="4BACC6" w:themeColor="accent2"/>
        </w:tcBorders>
      </w:tcPr>
    </w:tblStylePr>
    <w:tblStylePr w:type="firstCol">
      <w:rPr>
        <w:b/>
        <w:bCs/>
      </w:rPr>
    </w:tblStylePr>
    <w:tblStylePr w:type="lastCol">
      <w:rPr>
        <w:b/>
        <w:bCs/>
      </w:rPr>
    </w:tblStylePr>
    <w:tblStylePr w:type="band1Vert">
      <w:tblPr/>
      <w:tcPr>
        <w:tcBorders>
          <w:top w:val="single" w:sz="8" w:space="0" w:color="4BACC6" w:themeColor="accent2"/>
          <w:left w:val="single" w:sz="8" w:space="0" w:color="4BACC6" w:themeColor="accent2"/>
          <w:bottom w:val="single" w:sz="8" w:space="0" w:color="4BACC6" w:themeColor="accent2"/>
          <w:right w:val="single" w:sz="8" w:space="0" w:color="4BACC6" w:themeColor="accent2"/>
        </w:tcBorders>
      </w:tcPr>
    </w:tblStylePr>
    <w:tblStylePr w:type="band1Horz">
      <w:tblPr/>
      <w:tcPr>
        <w:tcBorders>
          <w:top w:val="single" w:sz="8" w:space="0" w:color="4BACC6" w:themeColor="accent2"/>
          <w:left w:val="single" w:sz="8" w:space="0" w:color="4BACC6" w:themeColor="accent2"/>
          <w:bottom w:val="single" w:sz="8" w:space="0" w:color="4BACC6" w:themeColor="accent2"/>
          <w:right w:val="single" w:sz="8" w:space="0" w:color="4BACC6" w:themeColor="accent2"/>
        </w:tcBorders>
      </w:tcPr>
    </w:tblStylePr>
  </w:style>
  <w:style w:type="table" w:styleId="LightList-Accent3">
    <w:name w:val="Light List Accent 3"/>
    <w:basedOn w:val="TableNormal"/>
    <w:uiPriority w:val="61"/>
    <w:semiHidden/>
    <w:unhideWhenUsed/>
    <w:rsid w:val="0051234A"/>
    <w:tblPr>
      <w:tblStyleRowBandSize w:val="1"/>
      <w:tblStyleColBandSize w:val="1"/>
      <w:tblBorders>
        <w:top w:val="single" w:sz="8" w:space="0" w:color="D8D8D8" w:themeColor="accent3"/>
        <w:left w:val="single" w:sz="8" w:space="0" w:color="D8D8D8" w:themeColor="accent3"/>
        <w:bottom w:val="single" w:sz="8" w:space="0" w:color="D8D8D8" w:themeColor="accent3"/>
        <w:right w:val="single" w:sz="8" w:space="0" w:color="D8D8D8" w:themeColor="accent3"/>
      </w:tblBorders>
    </w:tblPr>
    <w:tblStylePr w:type="firstRow">
      <w:pPr>
        <w:spacing w:before="0" w:after="0" w:line="240" w:lineRule="auto"/>
      </w:pPr>
      <w:rPr>
        <w:b/>
        <w:bCs/>
        <w:color w:val="FFFFFF" w:themeColor="background1"/>
      </w:rPr>
      <w:tblPr/>
      <w:tcPr>
        <w:shd w:val="clear" w:color="auto" w:fill="D8D8D8" w:themeFill="accent3"/>
      </w:tcPr>
    </w:tblStylePr>
    <w:tblStylePr w:type="lastRow">
      <w:pPr>
        <w:spacing w:before="0" w:after="0" w:line="240" w:lineRule="auto"/>
      </w:pPr>
      <w:rPr>
        <w:b/>
        <w:bCs/>
      </w:rPr>
      <w:tblPr/>
      <w:tcPr>
        <w:tcBorders>
          <w:top w:val="double" w:sz="6" w:space="0" w:color="D8D8D8" w:themeColor="accent3"/>
          <w:left w:val="single" w:sz="8" w:space="0" w:color="D8D8D8" w:themeColor="accent3"/>
          <w:bottom w:val="single" w:sz="8" w:space="0" w:color="D8D8D8" w:themeColor="accent3"/>
          <w:right w:val="single" w:sz="8" w:space="0" w:color="D8D8D8" w:themeColor="accent3"/>
        </w:tcBorders>
      </w:tcPr>
    </w:tblStylePr>
    <w:tblStylePr w:type="firstCol">
      <w:rPr>
        <w:b/>
        <w:bCs/>
      </w:rPr>
    </w:tblStylePr>
    <w:tblStylePr w:type="lastCol">
      <w:rPr>
        <w:b/>
        <w:bCs/>
      </w:rPr>
    </w:tblStylePr>
    <w:tblStylePr w:type="band1Vert">
      <w:tblPr/>
      <w:tcPr>
        <w:tcBorders>
          <w:top w:val="single" w:sz="8" w:space="0" w:color="D8D8D8" w:themeColor="accent3"/>
          <w:left w:val="single" w:sz="8" w:space="0" w:color="D8D8D8" w:themeColor="accent3"/>
          <w:bottom w:val="single" w:sz="8" w:space="0" w:color="D8D8D8" w:themeColor="accent3"/>
          <w:right w:val="single" w:sz="8" w:space="0" w:color="D8D8D8" w:themeColor="accent3"/>
        </w:tcBorders>
      </w:tcPr>
    </w:tblStylePr>
    <w:tblStylePr w:type="band1Horz">
      <w:tblPr/>
      <w:tcPr>
        <w:tcBorders>
          <w:top w:val="single" w:sz="8" w:space="0" w:color="D8D8D8" w:themeColor="accent3"/>
          <w:left w:val="single" w:sz="8" w:space="0" w:color="D8D8D8" w:themeColor="accent3"/>
          <w:bottom w:val="single" w:sz="8" w:space="0" w:color="D8D8D8" w:themeColor="accent3"/>
          <w:right w:val="single" w:sz="8" w:space="0" w:color="D8D8D8" w:themeColor="accent3"/>
        </w:tcBorders>
      </w:tcPr>
    </w:tblStylePr>
  </w:style>
  <w:style w:type="table" w:styleId="LightList-Accent4">
    <w:name w:val="Light List Accent 4"/>
    <w:basedOn w:val="TableNormal"/>
    <w:uiPriority w:val="61"/>
    <w:semiHidden/>
    <w:unhideWhenUsed/>
    <w:rsid w:val="0051234A"/>
    <w:tblPr>
      <w:tblStyleRowBandSize w:val="1"/>
      <w:tblStyleColBandSize w:val="1"/>
      <w:tblBorders>
        <w:top w:val="single" w:sz="8" w:space="0" w:color="8DB3E2" w:themeColor="accent4"/>
        <w:left w:val="single" w:sz="8" w:space="0" w:color="8DB3E2" w:themeColor="accent4"/>
        <w:bottom w:val="single" w:sz="8" w:space="0" w:color="8DB3E2" w:themeColor="accent4"/>
        <w:right w:val="single" w:sz="8" w:space="0" w:color="8DB3E2" w:themeColor="accent4"/>
      </w:tblBorders>
    </w:tblPr>
    <w:tblStylePr w:type="firstRow">
      <w:pPr>
        <w:spacing w:before="0" w:after="0" w:line="240" w:lineRule="auto"/>
      </w:pPr>
      <w:rPr>
        <w:b/>
        <w:bCs/>
        <w:color w:val="FFFFFF" w:themeColor="background1"/>
      </w:rPr>
      <w:tblPr/>
      <w:tcPr>
        <w:shd w:val="clear" w:color="auto" w:fill="8DB3E2" w:themeFill="accent4"/>
      </w:tcPr>
    </w:tblStylePr>
    <w:tblStylePr w:type="lastRow">
      <w:pPr>
        <w:spacing w:before="0" w:after="0" w:line="240" w:lineRule="auto"/>
      </w:pPr>
      <w:rPr>
        <w:b/>
        <w:bCs/>
      </w:rPr>
      <w:tblPr/>
      <w:tcPr>
        <w:tcBorders>
          <w:top w:val="double" w:sz="6" w:space="0" w:color="8DB3E2" w:themeColor="accent4"/>
          <w:left w:val="single" w:sz="8" w:space="0" w:color="8DB3E2" w:themeColor="accent4"/>
          <w:bottom w:val="single" w:sz="8" w:space="0" w:color="8DB3E2" w:themeColor="accent4"/>
          <w:right w:val="single" w:sz="8" w:space="0" w:color="8DB3E2" w:themeColor="accent4"/>
        </w:tcBorders>
      </w:tcPr>
    </w:tblStylePr>
    <w:tblStylePr w:type="firstCol">
      <w:rPr>
        <w:b/>
        <w:bCs/>
      </w:rPr>
    </w:tblStylePr>
    <w:tblStylePr w:type="lastCol">
      <w:rPr>
        <w:b/>
        <w:bCs/>
      </w:rPr>
    </w:tblStylePr>
    <w:tblStylePr w:type="band1Vert">
      <w:tblPr/>
      <w:tcPr>
        <w:tcBorders>
          <w:top w:val="single" w:sz="8" w:space="0" w:color="8DB3E2" w:themeColor="accent4"/>
          <w:left w:val="single" w:sz="8" w:space="0" w:color="8DB3E2" w:themeColor="accent4"/>
          <w:bottom w:val="single" w:sz="8" w:space="0" w:color="8DB3E2" w:themeColor="accent4"/>
          <w:right w:val="single" w:sz="8" w:space="0" w:color="8DB3E2" w:themeColor="accent4"/>
        </w:tcBorders>
      </w:tcPr>
    </w:tblStylePr>
    <w:tblStylePr w:type="band1Horz">
      <w:tblPr/>
      <w:tcPr>
        <w:tcBorders>
          <w:top w:val="single" w:sz="8" w:space="0" w:color="8DB3E2" w:themeColor="accent4"/>
          <w:left w:val="single" w:sz="8" w:space="0" w:color="8DB3E2" w:themeColor="accent4"/>
          <w:bottom w:val="single" w:sz="8" w:space="0" w:color="8DB3E2" w:themeColor="accent4"/>
          <w:right w:val="single" w:sz="8" w:space="0" w:color="8DB3E2" w:themeColor="accent4"/>
        </w:tcBorders>
      </w:tcPr>
    </w:tblStylePr>
  </w:style>
  <w:style w:type="table" w:styleId="LightList-Accent5">
    <w:name w:val="Light List Accent 5"/>
    <w:basedOn w:val="TableNormal"/>
    <w:uiPriority w:val="61"/>
    <w:semiHidden/>
    <w:unhideWhenUsed/>
    <w:rsid w:val="0051234A"/>
    <w:tblPr>
      <w:tblStyleRowBandSize w:val="1"/>
      <w:tblStyleColBandSize w:val="1"/>
      <w:tblBorders>
        <w:top w:val="single" w:sz="8" w:space="0" w:color="EEECE1" w:themeColor="accent5"/>
        <w:left w:val="single" w:sz="8" w:space="0" w:color="EEECE1" w:themeColor="accent5"/>
        <w:bottom w:val="single" w:sz="8" w:space="0" w:color="EEECE1" w:themeColor="accent5"/>
        <w:right w:val="single" w:sz="8" w:space="0" w:color="EEECE1" w:themeColor="accent5"/>
      </w:tblBorders>
    </w:tblPr>
    <w:tblStylePr w:type="firstRow">
      <w:pPr>
        <w:spacing w:before="0" w:after="0" w:line="240" w:lineRule="auto"/>
      </w:pPr>
      <w:rPr>
        <w:b/>
        <w:bCs/>
        <w:color w:val="FFFFFF" w:themeColor="background1"/>
      </w:rPr>
      <w:tblPr/>
      <w:tcPr>
        <w:shd w:val="clear" w:color="auto" w:fill="EEECE1" w:themeFill="accent5"/>
      </w:tcPr>
    </w:tblStylePr>
    <w:tblStylePr w:type="lastRow">
      <w:pPr>
        <w:spacing w:before="0" w:after="0" w:line="240" w:lineRule="auto"/>
      </w:pPr>
      <w:rPr>
        <w:b/>
        <w:bCs/>
      </w:rPr>
      <w:tblPr/>
      <w:tcPr>
        <w:tcBorders>
          <w:top w:val="double" w:sz="6" w:space="0" w:color="EEECE1" w:themeColor="accent5"/>
          <w:left w:val="single" w:sz="8" w:space="0" w:color="EEECE1" w:themeColor="accent5"/>
          <w:bottom w:val="single" w:sz="8" w:space="0" w:color="EEECE1" w:themeColor="accent5"/>
          <w:right w:val="single" w:sz="8" w:space="0" w:color="EEECE1" w:themeColor="accent5"/>
        </w:tcBorders>
      </w:tcPr>
    </w:tblStylePr>
    <w:tblStylePr w:type="firstCol">
      <w:rPr>
        <w:b/>
        <w:bCs/>
      </w:rPr>
    </w:tblStylePr>
    <w:tblStylePr w:type="lastCol">
      <w:rPr>
        <w:b/>
        <w:bCs/>
      </w:rPr>
    </w:tblStylePr>
    <w:tblStylePr w:type="band1Vert">
      <w:tblPr/>
      <w:tcPr>
        <w:tcBorders>
          <w:top w:val="single" w:sz="8" w:space="0" w:color="EEECE1" w:themeColor="accent5"/>
          <w:left w:val="single" w:sz="8" w:space="0" w:color="EEECE1" w:themeColor="accent5"/>
          <w:bottom w:val="single" w:sz="8" w:space="0" w:color="EEECE1" w:themeColor="accent5"/>
          <w:right w:val="single" w:sz="8" w:space="0" w:color="EEECE1" w:themeColor="accent5"/>
        </w:tcBorders>
      </w:tcPr>
    </w:tblStylePr>
    <w:tblStylePr w:type="band1Horz">
      <w:tblPr/>
      <w:tcPr>
        <w:tcBorders>
          <w:top w:val="single" w:sz="8" w:space="0" w:color="EEECE1" w:themeColor="accent5"/>
          <w:left w:val="single" w:sz="8" w:space="0" w:color="EEECE1" w:themeColor="accent5"/>
          <w:bottom w:val="single" w:sz="8" w:space="0" w:color="EEECE1" w:themeColor="accent5"/>
          <w:right w:val="single" w:sz="8" w:space="0" w:color="EEECE1" w:themeColor="accent5"/>
        </w:tcBorders>
      </w:tcPr>
    </w:tblStylePr>
  </w:style>
  <w:style w:type="table" w:styleId="LightList-Accent6">
    <w:name w:val="Light List Accent 6"/>
    <w:basedOn w:val="TableNormal"/>
    <w:uiPriority w:val="61"/>
    <w:semiHidden/>
    <w:unhideWhenUsed/>
    <w:rsid w:val="0051234A"/>
    <w:tblPr>
      <w:tblStyleRowBandSize w:val="1"/>
      <w:tblStyleColBandSize w:val="1"/>
      <w:tblBorders>
        <w:top w:val="single" w:sz="8" w:space="0" w:color="EA700D" w:themeColor="accent6"/>
        <w:left w:val="single" w:sz="8" w:space="0" w:color="EA700D" w:themeColor="accent6"/>
        <w:bottom w:val="single" w:sz="8" w:space="0" w:color="EA700D" w:themeColor="accent6"/>
        <w:right w:val="single" w:sz="8" w:space="0" w:color="EA700D" w:themeColor="accent6"/>
      </w:tblBorders>
    </w:tblPr>
    <w:tblStylePr w:type="firstRow">
      <w:pPr>
        <w:spacing w:before="0" w:after="0" w:line="240" w:lineRule="auto"/>
      </w:pPr>
      <w:rPr>
        <w:b/>
        <w:bCs/>
        <w:color w:val="FFFFFF" w:themeColor="background1"/>
      </w:rPr>
      <w:tblPr/>
      <w:tcPr>
        <w:shd w:val="clear" w:color="auto" w:fill="EA700D" w:themeFill="accent6"/>
      </w:tcPr>
    </w:tblStylePr>
    <w:tblStylePr w:type="lastRow">
      <w:pPr>
        <w:spacing w:before="0" w:after="0" w:line="240" w:lineRule="auto"/>
      </w:pPr>
      <w:rPr>
        <w:b/>
        <w:bCs/>
      </w:rPr>
      <w:tblPr/>
      <w:tcPr>
        <w:tcBorders>
          <w:top w:val="double" w:sz="6" w:space="0" w:color="EA700D" w:themeColor="accent6"/>
          <w:left w:val="single" w:sz="8" w:space="0" w:color="EA700D" w:themeColor="accent6"/>
          <w:bottom w:val="single" w:sz="8" w:space="0" w:color="EA700D" w:themeColor="accent6"/>
          <w:right w:val="single" w:sz="8" w:space="0" w:color="EA700D" w:themeColor="accent6"/>
        </w:tcBorders>
      </w:tcPr>
    </w:tblStylePr>
    <w:tblStylePr w:type="firstCol">
      <w:rPr>
        <w:b/>
        <w:bCs/>
      </w:rPr>
    </w:tblStylePr>
    <w:tblStylePr w:type="lastCol">
      <w:rPr>
        <w:b/>
        <w:bCs/>
      </w:rPr>
    </w:tblStylePr>
    <w:tblStylePr w:type="band1Vert">
      <w:tblPr/>
      <w:tcPr>
        <w:tcBorders>
          <w:top w:val="single" w:sz="8" w:space="0" w:color="EA700D" w:themeColor="accent6"/>
          <w:left w:val="single" w:sz="8" w:space="0" w:color="EA700D" w:themeColor="accent6"/>
          <w:bottom w:val="single" w:sz="8" w:space="0" w:color="EA700D" w:themeColor="accent6"/>
          <w:right w:val="single" w:sz="8" w:space="0" w:color="EA700D" w:themeColor="accent6"/>
        </w:tcBorders>
      </w:tcPr>
    </w:tblStylePr>
    <w:tblStylePr w:type="band1Horz">
      <w:tblPr/>
      <w:tcPr>
        <w:tcBorders>
          <w:top w:val="single" w:sz="8" w:space="0" w:color="EA700D" w:themeColor="accent6"/>
          <w:left w:val="single" w:sz="8" w:space="0" w:color="EA700D" w:themeColor="accent6"/>
          <w:bottom w:val="single" w:sz="8" w:space="0" w:color="EA700D" w:themeColor="accent6"/>
          <w:right w:val="single" w:sz="8" w:space="0" w:color="EA700D" w:themeColor="accent6"/>
        </w:tcBorders>
      </w:tcPr>
    </w:tblStylePr>
  </w:style>
  <w:style w:type="table" w:styleId="LightShading">
    <w:name w:val="Light Shading"/>
    <w:basedOn w:val="TableNormal"/>
    <w:uiPriority w:val="99"/>
    <w:semiHidden/>
    <w:unhideWhenUsed/>
    <w:rsid w:val="0051234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51234A"/>
    <w:rPr>
      <w:color w:val="650B5F" w:themeColor="accent1" w:themeShade="BF"/>
    </w:rPr>
    <w:tblPr>
      <w:tblStyleRowBandSize w:val="1"/>
      <w:tblStyleColBandSize w:val="1"/>
      <w:tblBorders>
        <w:top w:val="single" w:sz="8" w:space="0" w:color="870F7F" w:themeColor="accent1"/>
        <w:bottom w:val="single" w:sz="8" w:space="0" w:color="870F7F" w:themeColor="accent1"/>
      </w:tblBorders>
    </w:tblPr>
    <w:tblStylePr w:type="firstRow">
      <w:pPr>
        <w:spacing w:before="0" w:after="0" w:line="240" w:lineRule="auto"/>
      </w:pPr>
      <w:rPr>
        <w:b/>
        <w:bCs/>
      </w:rPr>
      <w:tblPr/>
      <w:tcPr>
        <w:tcBorders>
          <w:top w:val="single" w:sz="8" w:space="0" w:color="870F7F" w:themeColor="accent1"/>
          <w:left w:val="nil"/>
          <w:bottom w:val="single" w:sz="8" w:space="0" w:color="870F7F" w:themeColor="accent1"/>
          <w:right w:val="nil"/>
          <w:insideH w:val="nil"/>
          <w:insideV w:val="nil"/>
        </w:tcBorders>
      </w:tcPr>
    </w:tblStylePr>
    <w:tblStylePr w:type="lastRow">
      <w:pPr>
        <w:spacing w:before="0" w:after="0" w:line="240" w:lineRule="auto"/>
      </w:pPr>
      <w:rPr>
        <w:b/>
        <w:bCs/>
      </w:rPr>
      <w:tblPr/>
      <w:tcPr>
        <w:tcBorders>
          <w:top w:val="single" w:sz="8" w:space="0" w:color="870F7F" w:themeColor="accent1"/>
          <w:left w:val="nil"/>
          <w:bottom w:val="single" w:sz="8" w:space="0" w:color="870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AEF1" w:themeFill="accent1" w:themeFillTint="3F"/>
      </w:tcPr>
    </w:tblStylePr>
    <w:tblStylePr w:type="band1Horz">
      <w:tblPr/>
      <w:tcPr>
        <w:tcBorders>
          <w:left w:val="nil"/>
          <w:right w:val="nil"/>
          <w:insideH w:val="nil"/>
          <w:insideV w:val="nil"/>
        </w:tcBorders>
        <w:shd w:val="clear" w:color="auto" w:fill="F6AEF1" w:themeFill="accent1" w:themeFillTint="3F"/>
      </w:tcPr>
    </w:tblStylePr>
  </w:style>
  <w:style w:type="table" w:styleId="LightShading-Accent2">
    <w:name w:val="Light Shading Accent 2"/>
    <w:basedOn w:val="TableNormal"/>
    <w:uiPriority w:val="60"/>
    <w:semiHidden/>
    <w:unhideWhenUsed/>
    <w:rsid w:val="0051234A"/>
    <w:rPr>
      <w:color w:val="31849B" w:themeColor="accent2" w:themeShade="BF"/>
    </w:rPr>
    <w:tblPr>
      <w:tblStyleRowBandSize w:val="1"/>
      <w:tblStyleColBandSize w:val="1"/>
      <w:tblBorders>
        <w:top w:val="single" w:sz="8" w:space="0" w:color="4BACC6" w:themeColor="accent2"/>
        <w:bottom w:val="single" w:sz="8" w:space="0" w:color="4BACC6" w:themeColor="accent2"/>
      </w:tblBorders>
    </w:tblPr>
    <w:tblStylePr w:type="firstRow">
      <w:pPr>
        <w:spacing w:before="0" w:after="0" w:line="240" w:lineRule="auto"/>
      </w:pPr>
      <w:rPr>
        <w:b/>
        <w:bCs/>
      </w:rPr>
      <w:tblPr/>
      <w:tcPr>
        <w:tcBorders>
          <w:top w:val="single" w:sz="8" w:space="0" w:color="4BACC6" w:themeColor="accent2"/>
          <w:left w:val="nil"/>
          <w:bottom w:val="single" w:sz="8" w:space="0" w:color="4BACC6" w:themeColor="accent2"/>
          <w:right w:val="nil"/>
          <w:insideH w:val="nil"/>
          <w:insideV w:val="nil"/>
        </w:tcBorders>
      </w:tcPr>
    </w:tblStylePr>
    <w:tblStylePr w:type="lastRow">
      <w:pPr>
        <w:spacing w:before="0" w:after="0" w:line="240" w:lineRule="auto"/>
      </w:pPr>
      <w:rPr>
        <w:b/>
        <w:bCs/>
      </w:rPr>
      <w:tblPr/>
      <w:tcPr>
        <w:tcBorders>
          <w:top w:val="single" w:sz="8" w:space="0" w:color="4BACC6" w:themeColor="accent2"/>
          <w:left w:val="nil"/>
          <w:bottom w:val="single" w:sz="8" w:space="0" w:color="4BAC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2" w:themeFillTint="3F"/>
      </w:tcPr>
    </w:tblStylePr>
    <w:tblStylePr w:type="band1Horz">
      <w:tblPr/>
      <w:tcPr>
        <w:tcBorders>
          <w:left w:val="nil"/>
          <w:right w:val="nil"/>
          <w:insideH w:val="nil"/>
          <w:insideV w:val="nil"/>
        </w:tcBorders>
        <w:shd w:val="clear" w:color="auto" w:fill="D2EAF1" w:themeFill="accent2" w:themeFillTint="3F"/>
      </w:tcPr>
    </w:tblStylePr>
  </w:style>
  <w:style w:type="table" w:styleId="LightShading-Accent3">
    <w:name w:val="Light Shading Accent 3"/>
    <w:basedOn w:val="TableNormal"/>
    <w:uiPriority w:val="60"/>
    <w:semiHidden/>
    <w:unhideWhenUsed/>
    <w:rsid w:val="0051234A"/>
    <w:rPr>
      <w:color w:val="A1A1A1" w:themeColor="accent3" w:themeShade="BF"/>
    </w:rPr>
    <w:tblPr>
      <w:tblStyleRowBandSize w:val="1"/>
      <w:tblStyleColBandSize w:val="1"/>
      <w:tblBorders>
        <w:top w:val="single" w:sz="8" w:space="0" w:color="D8D8D8" w:themeColor="accent3"/>
        <w:bottom w:val="single" w:sz="8" w:space="0" w:color="D8D8D8" w:themeColor="accent3"/>
      </w:tblBorders>
    </w:tblPr>
    <w:tblStylePr w:type="firstRow">
      <w:pPr>
        <w:spacing w:before="0" w:after="0" w:line="240" w:lineRule="auto"/>
      </w:pPr>
      <w:rPr>
        <w:b/>
        <w:bCs/>
      </w:rPr>
      <w:tblPr/>
      <w:tcPr>
        <w:tcBorders>
          <w:top w:val="single" w:sz="8" w:space="0" w:color="D8D8D8" w:themeColor="accent3"/>
          <w:left w:val="nil"/>
          <w:bottom w:val="single" w:sz="8" w:space="0" w:color="D8D8D8" w:themeColor="accent3"/>
          <w:right w:val="nil"/>
          <w:insideH w:val="nil"/>
          <w:insideV w:val="nil"/>
        </w:tcBorders>
      </w:tcPr>
    </w:tblStylePr>
    <w:tblStylePr w:type="lastRow">
      <w:pPr>
        <w:spacing w:before="0" w:after="0" w:line="240" w:lineRule="auto"/>
      </w:pPr>
      <w:rPr>
        <w:b/>
        <w:bCs/>
      </w:rPr>
      <w:tblPr/>
      <w:tcPr>
        <w:tcBorders>
          <w:top w:val="single" w:sz="8" w:space="0" w:color="D8D8D8" w:themeColor="accent3"/>
          <w:left w:val="nil"/>
          <w:bottom w:val="single" w:sz="8" w:space="0" w:color="D8D8D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3" w:themeFillTint="3F"/>
      </w:tcPr>
    </w:tblStylePr>
    <w:tblStylePr w:type="band1Horz">
      <w:tblPr/>
      <w:tcPr>
        <w:tcBorders>
          <w:left w:val="nil"/>
          <w:right w:val="nil"/>
          <w:insideH w:val="nil"/>
          <w:insideV w:val="nil"/>
        </w:tcBorders>
        <w:shd w:val="clear" w:color="auto" w:fill="F5F5F5" w:themeFill="accent3" w:themeFillTint="3F"/>
      </w:tcPr>
    </w:tblStylePr>
  </w:style>
  <w:style w:type="table" w:styleId="LightShading-Accent4">
    <w:name w:val="Light Shading Accent 4"/>
    <w:basedOn w:val="TableNormal"/>
    <w:uiPriority w:val="60"/>
    <w:semiHidden/>
    <w:unhideWhenUsed/>
    <w:rsid w:val="0051234A"/>
    <w:rPr>
      <w:color w:val="4381CF" w:themeColor="accent4" w:themeShade="BF"/>
    </w:rPr>
    <w:tblPr>
      <w:tblStyleRowBandSize w:val="1"/>
      <w:tblStyleColBandSize w:val="1"/>
      <w:tblBorders>
        <w:top w:val="single" w:sz="8" w:space="0" w:color="8DB3E2" w:themeColor="accent4"/>
        <w:bottom w:val="single" w:sz="8" w:space="0" w:color="8DB3E2" w:themeColor="accent4"/>
      </w:tblBorders>
    </w:tblPr>
    <w:tblStylePr w:type="firstRow">
      <w:pPr>
        <w:spacing w:before="0" w:after="0" w:line="240" w:lineRule="auto"/>
      </w:pPr>
      <w:rPr>
        <w:b/>
        <w:bCs/>
      </w:rPr>
      <w:tblPr/>
      <w:tcPr>
        <w:tcBorders>
          <w:top w:val="single" w:sz="8" w:space="0" w:color="8DB3E2" w:themeColor="accent4"/>
          <w:left w:val="nil"/>
          <w:bottom w:val="single" w:sz="8" w:space="0" w:color="8DB3E2" w:themeColor="accent4"/>
          <w:right w:val="nil"/>
          <w:insideH w:val="nil"/>
          <w:insideV w:val="nil"/>
        </w:tcBorders>
      </w:tcPr>
    </w:tblStylePr>
    <w:tblStylePr w:type="lastRow">
      <w:pPr>
        <w:spacing w:before="0" w:after="0" w:line="240" w:lineRule="auto"/>
      </w:pPr>
      <w:rPr>
        <w:b/>
        <w:bCs/>
      </w:rPr>
      <w:tblPr/>
      <w:tcPr>
        <w:tcBorders>
          <w:top w:val="single" w:sz="8" w:space="0" w:color="8DB3E2" w:themeColor="accent4"/>
          <w:left w:val="nil"/>
          <w:bottom w:val="single" w:sz="8" w:space="0" w:color="8DB3E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CF7" w:themeFill="accent4" w:themeFillTint="3F"/>
      </w:tcPr>
    </w:tblStylePr>
    <w:tblStylePr w:type="band1Horz">
      <w:tblPr/>
      <w:tcPr>
        <w:tcBorders>
          <w:left w:val="nil"/>
          <w:right w:val="nil"/>
          <w:insideH w:val="nil"/>
          <w:insideV w:val="nil"/>
        </w:tcBorders>
        <w:shd w:val="clear" w:color="auto" w:fill="E2ECF7" w:themeFill="accent4" w:themeFillTint="3F"/>
      </w:tcPr>
    </w:tblStylePr>
  </w:style>
  <w:style w:type="table" w:styleId="LightShading-Accent5">
    <w:name w:val="Light Shading Accent 5"/>
    <w:basedOn w:val="TableNormal"/>
    <w:uiPriority w:val="60"/>
    <w:semiHidden/>
    <w:unhideWhenUsed/>
    <w:rsid w:val="0051234A"/>
    <w:rPr>
      <w:color w:val="C4BC96" w:themeColor="accent5" w:themeShade="BF"/>
    </w:rPr>
    <w:tblPr>
      <w:tblStyleRowBandSize w:val="1"/>
      <w:tblStyleColBandSize w:val="1"/>
      <w:tblBorders>
        <w:top w:val="single" w:sz="8" w:space="0" w:color="EEECE1" w:themeColor="accent5"/>
        <w:bottom w:val="single" w:sz="8" w:space="0" w:color="EEECE1" w:themeColor="accent5"/>
      </w:tblBorders>
    </w:tblPr>
    <w:tblStylePr w:type="firstRow">
      <w:pPr>
        <w:spacing w:before="0" w:after="0" w:line="240" w:lineRule="auto"/>
      </w:pPr>
      <w:rPr>
        <w:b/>
        <w:bCs/>
      </w:rPr>
      <w:tblPr/>
      <w:tcPr>
        <w:tcBorders>
          <w:top w:val="single" w:sz="8" w:space="0" w:color="EEECE1" w:themeColor="accent5"/>
          <w:left w:val="nil"/>
          <w:bottom w:val="single" w:sz="8" w:space="0" w:color="EEECE1" w:themeColor="accent5"/>
          <w:right w:val="nil"/>
          <w:insideH w:val="nil"/>
          <w:insideV w:val="nil"/>
        </w:tcBorders>
      </w:tcPr>
    </w:tblStylePr>
    <w:tblStylePr w:type="lastRow">
      <w:pPr>
        <w:spacing w:before="0" w:after="0" w:line="240" w:lineRule="auto"/>
      </w:pPr>
      <w:rPr>
        <w:b/>
        <w:bCs/>
      </w:rPr>
      <w:tblPr/>
      <w:tcPr>
        <w:tcBorders>
          <w:top w:val="single" w:sz="8" w:space="0" w:color="EEECE1" w:themeColor="accent5"/>
          <w:left w:val="nil"/>
          <w:bottom w:val="single" w:sz="8" w:space="0" w:color="EEEC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AF7" w:themeFill="accent5" w:themeFillTint="3F"/>
      </w:tcPr>
    </w:tblStylePr>
    <w:tblStylePr w:type="band1Horz">
      <w:tblPr/>
      <w:tcPr>
        <w:tcBorders>
          <w:left w:val="nil"/>
          <w:right w:val="nil"/>
          <w:insideH w:val="nil"/>
          <w:insideV w:val="nil"/>
        </w:tcBorders>
        <w:shd w:val="clear" w:color="auto" w:fill="FAFAF7" w:themeFill="accent5" w:themeFillTint="3F"/>
      </w:tcPr>
    </w:tblStylePr>
  </w:style>
  <w:style w:type="table" w:styleId="LightShading-Accent6">
    <w:name w:val="Light Shading Accent 6"/>
    <w:basedOn w:val="TableNormal"/>
    <w:uiPriority w:val="60"/>
    <w:semiHidden/>
    <w:unhideWhenUsed/>
    <w:rsid w:val="0051234A"/>
    <w:rPr>
      <w:color w:val="AF5309" w:themeColor="accent6" w:themeShade="BF"/>
    </w:rPr>
    <w:tblPr>
      <w:tblStyleRowBandSize w:val="1"/>
      <w:tblStyleColBandSize w:val="1"/>
      <w:tblBorders>
        <w:top w:val="single" w:sz="8" w:space="0" w:color="EA700D" w:themeColor="accent6"/>
        <w:bottom w:val="single" w:sz="8" w:space="0" w:color="EA700D" w:themeColor="accent6"/>
      </w:tblBorders>
    </w:tblPr>
    <w:tblStylePr w:type="firstRow">
      <w:pPr>
        <w:spacing w:before="0" w:after="0" w:line="240" w:lineRule="auto"/>
      </w:pPr>
      <w:rPr>
        <w:b/>
        <w:bCs/>
      </w:rPr>
      <w:tblPr/>
      <w:tcPr>
        <w:tcBorders>
          <w:top w:val="single" w:sz="8" w:space="0" w:color="EA700D" w:themeColor="accent6"/>
          <w:left w:val="nil"/>
          <w:bottom w:val="single" w:sz="8" w:space="0" w:color="EA700D" w:themeColor="accent6"/>
          <w:right w:val="nil"/>
          <w:insideH w:val="nil"/>
          <w:insideV w:val="nil"/>
        </w:tcBorders>
      </w:tcPr>
    </w:tblStylePr>
    <w:tblStylePr w:type="lastRow">
      <w:pPr>
        <w:spacing w:before="0" w:after="0" w:line="240" w:lineRule="auto"/>
      </w:pPr>
      <w:rPr>
        <w:b/>
        <w:bCs/>
      </w:rPr>
      <w:tblPr/>
      <w:tcPr>
        <w:tcBorders>
          <w:top w:val="single" w:sz="8" w:space="0" w:color="EA700D" w:themeColor="accent6"/>
          <w:left w:val="nil"/>
          <w:bottom w:val="single" w:sz="8" w:space="0" w:color="EA70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BC1" w:themeFill="accent6" w:themeFillTint="3F"/>
      </w:tcPr>
    </w:tblStylePr>
    <w:tblStylePr w:type="band1Horz">
      <w:tblPr/>
      <w:tcPr>
        <w:tcBorders>
          <w:left w:val="nil"/>
          <w:right w:val="nil"/>
          <w:insideH w:val="nil"/>
          <w:insideV w:val="nil"/>
        </w:tcBorders>
        <w:shd w:val="clear" w:color="auto" w:fill="FBDBC1" w:themeFill="accent6" w:themeFillTint="3F"/>
      </w:tcPr>
    </w:tblStylePr>
  </w:style>
  <w:style w:type="character" w:styleId="LineNumber">
    <w:name w:val="line number"/>
    <w:basedOn w:val="DefaultParagraphFont"/>
    <w:uiPriority w:val="99"/>
    <w:semiHidden/>
    <w:unhideWhenUsed/>
    <w:rsid w:val="0051234A"/>
  </w:style>
  <w:style w:type="paragraph" w:styleId="List">
    <w:name w:val="List"/>
    <w:basedOn w:val="Normal"/>
    <w:uiPriority w:val="99"/>
    <w:semiHidden/>
    <w:unhideWhenUsed/>
    <w:rsid w:val="3B0D9F72"/>
    <w:pPr>
      <w:ind w:left="360" w:hanging="360"/>
      <w:contextualSpacing/>
    </w:pPr>
  </w:style>
  <w:style w:type="paragraph" w:styleId="List2">
    <w:name w:val="List 2"/>
    <w:basedOn w:val="Normal"/>
    <w:uiPriority w:val="99"/>
    <w:semiHidden/>
    <w:unhideWhenUsed/>
    <w:rsid w:val="3B0D9F72"/>
    <w:pPr>
      <w:ind w:left="720" w:hanging="360"/>
      <w:contextualSpacing/>
    </w:pPr>
  </w:style>
  <w:style w:type="paragraph" w:styleId="List3">
    <w:name w:val="List 3"/>
    <w:basedOn w:val="Normal"/>
    <w:uiPriority w:val="99"/>
    <w:semiHidden/>
    <w:unhideWhenUsed/>
    <w:rsid w:val="3B0D9F72"/>
    <w:pPr>
      <w:ind w:left="1080" w:hanging="360"/>
      <w:contextualSpacing/>
    </w:pPr>
  </w:style>
  <w:style w:type="paragraph" w:styleId="List4">
    <w:name w:val="List 4"/>
    <w:basedOn w:val="Normal"/>
    <w:uiPriority w:val="99"/>
    <w:semiHidden/>
    <w:unhideWhenUsed/>
    <w:rsid w:val="3B0D9F72"/>
    <w:pPr>
      <w:ind w:left="1440" w:hanging="360"/>
      <w:contextualSpacing/>
    </w:pPr>
  </w:style>
  <w:style w:type="paragraph" w:styleId="List5">
    <w:name w:val="List 5"/>
    <w:basedOn w:val="Normal"/>
    <w:uiPriority w:val="99"/>
    <w:semiHidden/>
    <w:unhideWhenUsed/>
    <w:rsid w:val="3B0D9F72"/>
    <w:pPr>
      <w:ind w:left="1800" w:hanging="360"/>
      <w:contextualSpacing/>
    </w:pPr>
  </w:style>
  <w:style w:type="paragraph" w:styleId="ListBullet">
    <w:name w:val="List Bullet"/>
    <w:basedOn w:val="Normal"/>
    <w:uiPriority w:val="3"/>
    <w:rsid w:val="3B0D9F72"/>
    <w:pPr>
      <w:numPr>
        <w:numId w:val="62"/>
      </w:numPr>
      <w:spacing w:after="160"/>
      <w:contextualSpacing/>
    </w:pPr>
  </w:style>
  <w:style w:type="paragraph" w:styleId="ListBullet3">
    <w:name w:val="List Bullet 3"/>
    <w:basedOn w:val="Normal"/>
    <w:uiPriority w:val="99"/>
    <w:semiHidden/>
    <w:unhideWhenUsed/>
    <w:rsid w:val="3B0D9F72"/>
    <w:pPr>
      <w:numPr>
        <w:numId w:val="54"/>
      </w:numPr>
      <w:contextualSpacing/>
    </w:pPr>
  </w:style>
  <w:style w:type="paragraph" w:styleId="ListBullet4">
    <w:name w:val="List Bullet 4"/>
    <w:basedOn w:val="Normal"/>
    <w:uiPriority w:val="99"/>
    <w:semiHidden/>
    <w:unhideWhenUsed/>
    <w:rsid w:val="3B0D9F72"/>
    <w:pPr>
      <w:numPr>
        <w:numId w:val="55"/>
      </w:numPr>
      <w:contextualSpacing/>
    </w:pPr>
  </w:style>
  <w:style w:type="paragraph" w:styleId="ListBullet5">
    <w:name w:val="List Bullet 5"/>
    <w:basedOn w:val="Normal"/>
    <w:uiPriority w:val="99"/>
    <w:semiHidden/>
    <w:unhideWhenUsed/>
    <w:rsid w:val="3B0D9F72"/>
    <w:pPr>
      <w:numPr>
        <w:numId w:val="56"/>
      </w:numPr>
      <w:contextualSpacing/>
    </w:pPr>
  </w:style>
  <w:style w:type="paragraph" w:styleId="ListContinue3">
    <w:name w:val="List Continue 3"/>
    <w:basedOn w:val="Normal"/>
    <w:uiPriority w:val="99"/>
    <w:semiHidden/>
    <w:unhideWhenUsed/>
    <w:rsid w:val="3B0D9F72"/>
    <w:pPr>
      <w:ind w:left="1080"/>
      <w:contextualSpacing/>
    </w:pPr>
  </w:style>
  <w:style w:type="paragraph" w:styleId="ListContinue4">
    <w:name w:val="List Continue 4"/>
    <w:basedOn w:val="Normal"/>
    <w:uiPriority w:val="99"/>
    <w:semiHidden/>
    <w:unhideWhenUsed/>
    <w:rsid w:val="3B0D9F72"/>
    <w:pPr>
      <w:ind w:left="1440"/>
      <w:contextualSpacing/>
    </w:pPr>
  </w:style>
  <w:style w:type="paragraph" w:styleId="ListContinue5">
    <w:name w:val="List Continue 5"/>
    <w:basedOn w:val="Normal"/>
    <w:uiPriority w:val="99"/>
    <w:semiHidden/>
    <w:unhideWhenUsed/>
    <w:rsid w:val="3B0D9F72"/>
    <w:pPr>
      <w:ind w:left="1800"/>
      <w:contextualSpacing/>
    </w:pPr>
  </w:style>
  <w:style w:type="paragraph" w:styleId="ListNumber3">
    <w:name w:val="List Number 3"/>
    <w:basedOn w:val="Normal"/>
    <w:uiPriority w:val="99"/>
    <w:semiHidden/>
    <w:unhideWhenUsed/>
    <w:rsid w:val="3B0D9F72"/>
    <w:pPr>
      <w:numPr>
        <w:numId w:val="57"/>
      </w:numPr>
      <w:contextualSpacing/>
    </w:pPr>
  </w:style>
  <w:style w:type="paragraph" w:styleId="ListNumber4">
    <w:name w:val="List Number 4"/>
    <w:basedOn w:val="Normal"/>
    <w:uiPriority w:val="99"/>
    <w:semiHidden/>
    <w:unhideWhenUsed/>
    <w:rsid w:val="3B0D9F72"/>
    <w:pPr>
      <w:numPr>
        <w:numId w:val="58"/>
      </w:numPr>
      <w:contextualSpacing/>
    </w:pPr>
  </w:style>
  <w:style w:type="paragraph" w:styleId="ListNumber5">
    <w:name w:val="List Number 5"/>
    <w:basedOn w:val="Normal"/>
    <w:uiPriority w:val="99"/>
    <w:semiHidden/>
    <w:unhideWhenUsed/>
    <w:rsid w:val="3B0D9F72"/>
    <w:pPr>
      <w:numPr>
        <w:numId w:val="59"/>
      </w:numPr>
      <w:contextualSpacing/>
    </w:pPr>
  </w:style>
  <w:style w:type="table" w:styleId="ListTable1Light">
    <w:name w:val="List Table 1 Light"/>
    <w:basedOn w:val="TableNormal"/>
    <w:uiPriority w:val="46"/>
    <w:rsid w:val="0051234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1234A"/>
    <w:tblPr>
      <w:tblStyleRowBandSize w:val="1"/>
      <w:tblStyleColBandSize w:val="1"/>
    </w:tblPr>
    <w:tblStylePr w:type="firstRow">
      <w:rPr>
        <w:b/>
        <w:bCs/>
      </w:rPr>
      <w:tblPr/>
      <w:tcPr>
        <w:tcBorders>
          <w:bottom w:val="single" w:sz="4" w:space="0" w:color="E93CDD" w:themeColor="accent1" w:themeTint="99"/>
        </w:tcBorders>
      </w:tcPr>
    </w:tblStylePr>
    <w:tblStylePr w:type="lastRow">
      <w:rPr>
        <w:b/>
        <w:bCs/>
      </w:rPr>
      <w:tblPr/>
      <w:tcPr>
        <w:tcBorders>
          <w:top w:val="single" w:sz="4" w:space="0" w:color="E93CDD" w:themeColor="accent1" w:themeTint="99"/>
        </w:tcBorders>
      </w:tcPr>
    </w:tblStylePr>
    <w:tblStylePr w:type="firstCol">
      <w:rPr>
        <w:b/>
        <w:bCs/>
      </w:rPr>
    </w:tblStylePr>
    <w:tblStylePr w:type="lastCol">
      <w:rPr>
        <w:b/>
        <w:bCs/>
      </w:rPr>
    </w:tblStylePr>
    <w:tblStylePr w:type="band1Vert">
      <w:tblPr/>
      <w:tcPr>
        <w:shd w:val="clear" w:color="auto" w:fill="F7BEF3" w:themeFill="accent1" w:themeFillTint="33"/>
      </w:tcPr>
    </w:tblStylePr>
    <w:tblStylePr w:type="band1Horz">
      <w:tblPr/>
      <w:tcPr>
        <w:shd w:val="clear" w:color="auto" w:fill="F7BEF3" w:themeFill="accent1" w:themeFillTint="33"/>
      </w:tcPr>
    </w:tblStylePr>
  </w:style>
  <w:style w:type="table" w:styleId="ListTable1Light-Accent2">
    <w:name w:val="List Table 1 Light Accent 2"/>
    <w:basedOn w:val="TableNormal"/>
    <w:uiPriority w:val="46"/>
    <w:rsid w:val="0051234A"/>
    <w:tblPr>
      <w:tblStyleRowBandSize w:val="1"/>
      <w:tblStyleColBandSize w:val="1"/>
    </w:tblPr>
    <w:tblStylePr w:type="firstRow">
      <w:rPr>
        <w:b/>
        <w:bCs/>
      </w:rPr>
      <w:tblPr/>
      <w:tcPr>
        <w:tcBorders>
          <w:bottom w:val="single" w:sz="4" w:space="0" w:color="92CDDC" w:themeColor="accent2" w:themeTint="99"/>
        </w:tcBorders>
      </w:tcPr>
    </w:tblStylePr>
    <w:tblStylePr w:type="lastRow">
      <w:rPr>
        <w:b/>
        <w:bCs/>
      </w:rPr>
      <w:tblPr/>
      <w:tcPr>
        <w:tcBorders>
          <w:top w:val="single" w:sz="4" w:space="0" w:color="92CDDC" w:themeColor="accent2" w:themeTint="99"/>
        </w:tcBorders>
      </w:tcPr>
    </w:tblStylePr>
    <w:tblStylePr w:type="firstCol">
      <w:rPr>
        <w:b/>
        <w:bCs/>
      </w:rPr>
    </w:tblStylePr>
    <w:tblStylePr w:type="lastCol">
      <w:rPr>
        <w:b/>
        <w:bCs/>
      </w:rPr>
    </w:tblStylePr>
    <w:tblStylePr w:type="band1Vert">
      <w:tblPr/>
      <w:tcPr>
        <w:shd w:val="clear" w:color="auto" w:fill="DAEEF3" w:themeFill="accent2" w:themeFillTint="33"/>
      </w:tcPr>
    </w:tblStylePr>
    <w:tblStylePr w:type="band1Horz">
      <w:tblPr/>
      <w:tcPr>
        <w:shd w:val="clear" w:color="auto" w:fill="DAEEF3" w:themeFill="accent2" w:themeFillTint="33"/>
      </w:tcPr>
    </w:tblStylePr>
  </w:style>
  <w:style w:type="table" w:styleId="ListTable1Light-Accent3">
    <w:name w:val="List Table 1 Light Accent 3"/>
    <w:basedOn w:val="TableNormal"/>
    <w:uiPriority w:val="46"/>
    <w:rsid w:val="0051234A"/>
    <w:tblPr>
      <w:tblStyleRowBandSize w:val="1"/>
      <w:tblStyleColBandSize w:val="1"/>
    </w:tblPr>
    <w:tblStylePr w:type="firstRow">
      <w:rPr>
        <w:b/>
        <w:bCs/>
      </w:rPr>
      <w:tblPr/>
      <w:tcPr>
        <w:tcBorders>
          <w:bottom w:val="single" w:sz="4" w:space="0" w:color="E7E7E7" w:themeColor="accent3" w:themeTint="99"/>
        </w:tcBorders>
      </w:tcPr>
    </w:tblStylePr>
    <w:tblStylePr w:type="lastRow">
      <w:rPr>
        <w:b/>
        <w:bCs/>
      </w:rPr>
      <w:tblPr/>
      <w:tcPr>
        <w:tcBorders>
          <w:top w:val="single" w:sz="4" w:space="0" w:color="E7E7E7" w:themeColor="accent3" w:themeTint="99"/>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table" w:styleId="ListTable1Light-Accent4">
    <w:name w:val="List Table 1 Light Accent 4"/>
    <w:basedOn w:val="TableNormal"/>
    <w:uiPriority w:val="46"/>
    <w:rsid w:val="0051234A"/>
    <w:tblPr>
      <w:tblStyleRowBandSize w:val="1"/>
      <w:tblStyleColBandSize w:val="1"/>
    </w:tblPr>
    <w:tblStylePr w:type="firstRow">
      <w:rPr>
        <w:b/>
        <w:bCs/>
      </w:rPr>
      <w:tblPr/>
      <w:tcPr>
        <w:tcBorders>
          <w:bottom w:val="single" w:sz="4" w:space="0" w:color="BAD1ED" w:themeColor="accent4" w:themeTint="99"/>
        </w:tcBorders>
      </w:tcPr>
    </w:tblStylePr>
    <w:tblStylePr w:type="lastRow">
      <w:rPr>
        <w:b/>
        <w:bCs/>
      </w:rPr>
      <w:tblPr/>
      <w:tcPr>
        <w:tcBorders>
          <w:top w:val="single" w:sz="4" w:space="0" w:color="BAD1ED" w:themeColor="accent4" w:themeTint="99"/>
        </w:tcBorders>
      </w:tcPr>
    </w:tblStylePr>
    <w:tblStylePr w:type="firstCol">
      <w:rPr>
        <w:b/>
        <w:bCs/>
      </w:rPr>
    </w:tblStylePr>
    <w:tblStylePr w:type="lastCol">
      <w:rPr>
        <w:b/>
        <w:bCs/>
      </w:rPr>
    </w:tblStylePr>
    <w:tblStylePr w:type="band1Vert">
      <w:tblPr/>
      <w:tcPr>
        <w:shd w:val="clear" w:color="auto" w:fill="E8EFF9" w:themeFill="accent4" w:themeFillTint="33"/>
      </w:tcPr>
    </w:tblStylePr>
    <w:tblStylePr w:type="band1Horz">
      <w:tblPr/>
      <w:tcPr>
        <w:shd w:val="clear" w:color="auto" w:fill="E8EFF9" w:themeFill="accent4" w:themeFillTint="33"/>
      </w:tcPr>
    </w:tblStylePr>
  </w:style>
  <w:style w:type="table" w:styleId="ListTable1Light-Accent5">
    <w:name w:val="List Table 1 Light Accent 5"/>
    <w:basedOn w:val="TableNormal"/>
    <w:uiPriority w:val="46"/>
    <w:rsid w:val="0051234A"/>
    <w:tblPr>
      <w:tblStyleRowBandSize w:val="1"/>
      <w:tblStyleColBandSize w:val="1"/>
    </w:tblPr>
    <w:tblStylePr w:type="firstRow">
      <w:rPr>
        <w:b/>
        <w:bCs/>
      </w:rPr>
      <w:tblPr/>
      <w:tcPr>
        <w:tcBorders>
          <w:bottom w:val="single" w:sz="4" w:space="0" w:color="F4F3EC" w:themeColor="accent5" w:themeTint="99"/>
        </w:tcBorders>
      </w:tcPr>
    </w:tblStylePr>
    <w:tblStylePr w:type="lastRow">
      <w:rPr>
        <w:b/>
        <w:bCs/>
      </w:rPr>
      <w:tblPr/>
      <w:tcPr>
        <w:tcBorders>
          <w:top w:val="single" w:sz="4" w:space="0" w:color="F4F3EC" w:themeColor="accent5" w:themeTint="99"/>
        </w:tcBorders>
      </w:tcPr>
    </w:tblStylePr>
    <w:tblStylePr w:type="firstCol">
      <w:rPr>
        <w:b/>
        <w:bCs/>
      </w:rPr>
    </w:tblStylePr>
    <w:tblStylePr w:type="lastCol">
      <w:rPr>
        <w:b/>
        <w:bCs/>
      </w:rPr>
    </w:tblStylePr>
    <w:tblStylePr w:type="band1Vert">
      <w:tblPr/>
      <w:tcPr>
        <w:shd w:val="clear" w:color="auto" w:fill="FBFBF8" w:themeFill="accent5" w:themeFillTint="33"/>
      </w:tcPr>
    </w:tblStylePr>
    <w:tblStylePr w:type="band1Horz">
      <w:tblPr/>
      <w:tcPr>
        <w:shd w:val="clear" w:color="auto" w:fill="FBFBF8" w:themeFill="accent5" w:themeFillTint="33"/>
      </w:tcPr>
    </w:tblStylePr>
  </w:style>
  <w:style w:type="table" w:styleId="ListTable1Light-Accent6">
    <w:name w:val="List Table 1 Light Accent 6"/>
    <w:basedOn w:val="TableNormal"/>
    <w:uiPriority w:val="46"/>
    <w:rsid w:val="0051234A"/>
    <w:tblPr>
      <w:tblStyleRowBandSize w:val="1"/>
      <w:tblStyleColBandSize w:val="1"/>
    </w:tblPr>
    <w:tblStylePr w:type="firstRow">
      <w:rPr>
        <w:b/>
        <w:bCs/>
      </w:rPr>
      <w:tblPr/>
      <w:tcPr>
        <w:tcBorders>
          <w:bottom w:val="single" w:sz="4" w:space="0" w:color="F6A869" w:themeColor="accent6" w:themeTint="99"/>
        </w:tcBorders>
      </w:tcPr>
    </w:tblStylePr>
    <w:tblStylePr w:type="lastRow">
      <w:rPr>
        <w:b/>
        <w:bCs/>
      </w:rPr>
      <w:tblPr/>
      <w:tcPr>
        <w:tcBorders>
          <w:top w:val="single" w:sz="4" w:space="0" w:color="F6A869" w:themeColor="accent6" w:themeTint="99"/>
        </w:tcBorders>
      </w:tcPr>
    </w:tblStylePr>
    <w:tblStylePr w:type="firstCol">
      <w:rPr>
        <w:b/>
        <w:bCs/>
      </w:rPr>
    </w:tblStylePr>
    <w:tblStylePr w:type="lastCol">
      <w:rPr>
        <w:b/>
        <w:bCs/>
      </w:rPr>
    </w:tblStylePr>
    <w:tblStylePr w:type="band1Vert">
      <w:tblPr/>
      <w:tcPr>
        <w:shd w:val="clear" w:color="auto" w:fill="FCE2CD" w:themeFill="accent6" w:themeFillTint="33"/>
      </w:tcPr>
    </w:tblStylePr>
    <w:tblStylePr w:type="band1Horz">
      <w:tblPr/>
      <w:tcPr>
        <w:shd w:val="clear" w:color="auto" w:fill="FCE2CD" w:themeFill="accent6" w:themeFillTint="33"/>
      </w:tcPr>
    </w:tblStylePr>
  </w:style>
  <w:style w:type="table" w:styleId="ListTable2">
    <w:name w:val="List Table 2"/>
    <w:basedOn w:val="TableNormal"/>
    <w:uiPriority w:val="47"/>
    <w:rsid w:val="0051234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1234A"/>
    <w:tblPr>
      <w:tblStyleRowBandSize w:val="1"/>
      <w:tblStyleColBandSize w:val="1"/>
      <w:tblBorders>
        <w:top w:val="single" w:sz="4" w:space="0" w:color="E93CDD" w:themeColor="accent1" w:themeTint="99"/>
        <w:bottom w:val="single" w:sz="4" w:space="0" w:color="E93CDD" w:themeColor="accent1" w:themeTint="99"/>
        <w:insideH w:val="single" w:sz="4" w:space="0" w:color="E93C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BEF3" w:themeFill="accent1" w:themeFillTint="33"/>
      </w:tcPr>
    </w:tblStylePr>
    <w:tblStylePr w:type="band1Horz">
      <w:tblPr/>
      <w:tcPr>
        <w:shd w:val="clear" w:color="auto" w:fill="F7BEF3" w:themeFill="accent1" w:themeFillTint="33"/>
      </w:tcPr>
    </w:tblStylePr>
  </w:style>
  <w:style w:type="table" w:styleId="ListTable2-Accent2">
    <w:name w:val="List Table 2 Accent 2"/>
    <w:basedOn w:val="TableNormal"/>
    <w:uiPriority w:val="47"/>
    <w:rsid w:val="0051234A"/>
    <w:tblPr>
      <w:tblStyleRowBandSize w:val="1"/>
      <w:tblStyleColBandSize w:val="1"/>
      <w:tblBorders>
        <w:top w:val="single" w:sz="4" w:space="0" w:color="92CDDC" w:themeColor="accent2" w:themeTint="99"/>
        <w:bottom w:val="single" w:sz="4" w:space="0" w:color="92CDDC" w:themeColor="accent2" w:themeTint="99"/>
        <w:insideH w:val="single" w:sz="4" w:space="0" w:color="92CDD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2" w:themeFillTint="33"/>
      </w:tcPr>
    </w:tblStylePr>
    <w:tblStylePr w:type="band1Horz">
      <w:tblPr/>
      <w:tcPr>
        <w:shd w:val="clear" w:color="auto" w:fill="DAEEF3" w:themeFill="accent2" w:themeFillTint="33"/>
      </w:tcPr>
    </w:tblStylePr>
  </w:style>
  <w:style w:type="table" w:styleId="ListTable2-Accent3">
    <w:name w:val="List Table 2 Accent 3"/>
    <w:basedOn w:val="TableNormal"/>
    <w:uiPriority w:val="47"/>
    <w:rsid w:val="0051234A"/>
    <w:tblPr>
      <w:tblStyleRowBandSize w:val="1"/>
      <w:tblStyleColBandSize w:val="1"/>
      <w:tblBorders>
        <w:top w:val="single" w:sz="4" w:space="0" w:color="E7E7E7" w:themeColor="accent3" w:themeTint="99"/>
        <w:bottom w:val="single" w:sz="4" w:space="0" w:color="E7E7E7" w:themeColor="accent3" w:themeTint="99"/>
        <w:insideH w:val="single" w:sz="4" w:space="0" w:color="E7E7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table" w:styleId="ListTable2-Accent4">
    <w:name w:val="List Table 2 Accent 4"/>
    <w:basedOn w:val="TableNormal"/>
    <w:uiPriority w:val="47"/>
    <w:rsid w:val="0051234A"/>
    <w:tblPr>
      <w:tblStyleRowBandSize w:val="1"/>
      <w:tblStyleColBandSize w:val="1"/>
      <w:tblBorders>
        <w:top w:val="single" w:sz="4" w:space="0" w:color="BAD1ED" w:themeColor="accent4" w:themeTint="99"/>
        <w:bottom w:val="single" w:sz="4" w:space="0" w:color="BAD1ED" w:themeColor="accent4" w:themeTint="99"/>
        <w:insideH w:val="single" w:sz="4" w:space="0" w:color="BAD1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FF9" w:themeFill="accent4" w:themeFillTint="33"/>
      </w:tcPr>
    </w:tblStylePr>
    <w:tblStylePr w:type="band1Horz">
      <w:tblPr/>
      <w:tcPr>
        <w:shd w:val="clear" w:color="auto" w:fill="E8EFF9" w:themeFill="accent4" w:themeFillTint="33"/>
      </w:tcPr>
    </w:tblStylePr>
  </w:style>
  <w:style w:type="table" w:styleId="ListTable2-Accent5">
    <w:name w:val="List Table 2 Accent 5"/>
    <w:basedOn w:val="TableNormal"/>
    <w:uiPriority w:val="47"/>
    <w:rsid w:val="0051234A"/>
    <w:tblPr>
      <w:tblStyleRowBandSize w:val="1"/>
      <w:tblStyleColBandSize w:val="1"/>
      <w:tblBorders>
        <w:top w:val="single" w:sz="4" w:space="0" w:color="F4F3EC" w:themeColor="accent5" w:themeTint="99"/>
        <w:bottom w:val="single" w:sz="4" w:space="0" w:color="F4F3EC" w:themeColor="accent5" w:themeTint="99"/>
        <w:insideH w:val="single" w:sz="4" w:space="0" w:color="F4F3E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BF8" w:themeFill="accent5" w:themeFillTint="33"/>
      </w:tcPr>
    </w:tblStylePr>
    <w:tblStylePr w:type="band1Horz">
      <w:tblPr/>
      <w:tcPr>
        <w:shd w:val="clear" w:color="auto" w:fill="FBFBF8" w:themeFill="accent5" w:themeFillTint="33"/>
      </w:tcPr>
    </w:tblStylePr>
  </w:style>
  <w:style w:type="table" w:styleId="ListTable2-Accent6">
    <w:name w:val="List Table 2 Accent 6"/>
    <w:basedOn w:val="TableNormal"/>
    <w:uiPriority w:val="47"/>
    <w:rsid w:val="0051234A"/>
    <w:tblPr>
      <w:tblStyleRowBandSize w:val="1"/>
      <w:tblStyleColBandSize w:val="1"/>
      <w:tblBorders>
        <w:top w:val="single" w:sz="4" w:space="0" w:color="F6A869" w:themeColor="accent6" w:themeTint="99"/>
        <w:bottom w:val="single" w:sz="4" w:space="0" w:color="F6A869" w:themeColor="accent6" w:themeTint="99"/>
        <w:insideH w:val="single" w:sz="4" w:space="0" w:color="F6A86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2CD" w:themeFill="accent6" w:themeFillTint="33"/>
      </w:tcPr>
    </w:tblStylePr>
    <w:tblStylePr w:type="band1Horz">
      <w:tblPr/>
      <w:tcPr>
        <w:shd w:val="clear" w:color="auto" w:fill="FCE2CD" w:themeFill="accent6" w:themeFillTint="33"/>
      </w:tcPr>
    </w:tblStylePr>
  </w:style>
  <w:style w:type="table" w:styleId="ListTable3">
    <w:name w:val="List Table 3"/>
    <w:basedOn w:val="TableNormal"/>
    <w:uiPriority w:val="48"/>
    <w:rsid w:val="0051234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1234A"/>
    <w:tblPr>
      <w:tblStyleRowBandSize w:val="1"/>
      <w:tblStyleColBandSize w:val="1"/>
      <w:tblBorders>
        <w:top w:val="single" w:sz="4" w:space="0" w:color="870F7F" w:themeColor="accent1"/>
        <w:left w:val="single" w:sz="4" w:space="0" w:color="870F7F" w:themeColor="accent1"/>
        <w:bottom w:val="single" w:sz="4" w:space="0" w:color="870F7F" w:themeColor="accent1"/>
        <w:right w:val="single" w:sz="4" w:space="0" w:color="870F7F" w:themeColor="accent1"/>
      </w:tblBorders>
    </w:tblPr>
    <w:tblStylePr w:type="firstRow">
      <w:rPr>
        <w:b/>
        <w:bCs/>
        <w:color w:val="FFFFFF" w:themeColor="background1"/>
      </w:rPr>
      <w:tblPr/>
      <w:tcPr>
        <w:shd w:val="clear" w:color="auto" w:fill="870F7F" w:themeFill="accent1"/>
      </w:tcPr>
    </w:tblStylePr>
    <w:tblStylePr w:type="lastRow">
      <w:rPr>
        <w:b/>
        <w:bCs/>
      </w:rPr>
      <w:tblPr/>
      <w:tcPr>
        <w:tcBorders>
          <w:top w:val="double" w:sz="4" w:space="0" w:color="870F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0F7F" w:themeColor="accent1"/>
          <w:right w:val="single" w:sz="4" w:space="0" w:color="870F7F" w:themeColor="accent1"/>
        </w:tcBorders>
      </w:tcPr>
    </w:tblStylePr>
    <w:tblStylePr w:type="band1Horz">
      <w:tblPr/>
      <w:tcPr>
        <w:tcBorders>
          <w:top w:val="single" w:sz="4" w:space="0" w:color="870F7F" w:themeColor="accent1"/>
          <w:bottom w:val="single" w:sz="4" w:space="0" w:color="870F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0F7F" w:themeColor="accent1"/>
          <w:left w:val="nil"/>
        </w:tcBorders>
      </w:tcPr>
    </w:tblStylePr>
    <w:tblStylePr w:type="swCell">
      <w:tblPr/>
      <w:tcPr>
        <w:tcBorders>
          <w:top w:val="double" w:sz="4" w:space="0" w:color="870F7F" w:themeColor="accent1"/>
          <w:right w:val="nil"/>
        </w:tcBorders>
      </w:tcPr>
    </w:tblStylePr>
  </w:style>
  <w:style w:type="table" w:styleId="ListTable3-Accent2">
    <w:name w:val="List Table 3 Accent 2"/>
    <w:basedOn w:val="TableNormal"/>
    <w:uiPriority w:val="48"/>
    <w:rsid w:val="0051234A"/>
    <w:tblPr>
      <w:tblStyleRowBandSize w:val="1"/>
      <w:tblStyleColBandSize w:val="1"/>
      <w:tblBorders>
        <w:top w:val="single" w:sz="4" w:space="0" w:color="4BACC6" w:themeColor="accent2"/>
        <w:left w:val="single" w:sz="4" w:space="0" w:color="4BACC6" w:themeColor="accent2"/>
        <w:bottom w:val="single" w:sz="4" w:space="0" w:color="4BACC6" w:themeColor="accent2"/>
        <w:right w:val="single" w:sz="4" w:space="0" w:color="4BACC6" w:themeColor="accent2"/>
      </w:tblBorders>
    </w:tblPr>
    <w:tblStylePr w:type="firstRow">
      <w:rPr>
        <w:b/>
        <w:bCs/>
        <w:color w:val="FFFFFF" w:themeColor="background1"/>
      </w:rPr>
      <w:tblPr/>
      <w:tcPr>
        <w:shd w:val="clear" w:color="auto" w:fill="4BACC6" w:themeFill="accent2"/>
      </w:tcPr>
    </w:tblStylePr>
    <w:tblStylePr w:type="lastRow">
      <w:rPr>
        <w:b/>
        <w:bCs/>
      </w:rPr>
      <w:tblPr/>
      <w:tcPr>
        <w:tcBorders>
          <w:top w:val="double" w:sz="4" w:space="0" w:color="4BAC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2"/>
          <w:right w:val="single" w:sz="4" w:space="0" w:color="4BACC6" w:themeColor="accent2"/>
        </w:tcBorders>
      </w:tcPr>
    </w:tblStylePr>
    <w:tblStylePr w:type="band1Horz">
      <w:tblPr/>
      <w:tcPr>
        <w:tcBorders>
          <w:top w:val="single" w:sz="4" w:space="0" w:color="4BACC6" w:themeColor="accent2"/>
          <w:bottom w:val="single" w:sz="4" w:space="0" w:color="4BAC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2"/>
          <w:left w:val="nil"/>
        </w:tcBorders>
      </w:tcPr>
    </w:tblStylePr>
    <w:tblStylePr w:type="swCell">
      <w:tblPr/>
      <w:tcPr>
        <w:tcBorders>
          <w:top w:val="double" w:sz="4" w:space="0" w:color="4BACC6" w:themeColor="accent2"/>
          <w:right w:val="nil"/>
        </w:tcBorders>
      </w:tcPr>
    </w:tblStylePr>
  </w:style>
  <w:style w:type="table" w:styleId="ListTable3-Accent3">
    <w:name w:val="List Table 3 Accent 3"/>
    <w:basedOn w:val="TableNormal"/>
    <w:uiPriority w:val="48"/>
    <w:rsid w:val="0051234A"/>
    <w:tblPr>
      <w:tblStyleRowBandSize w:val="1"/>
      <w:tblStyleColBandSize w:val="1"/>
      <w:tblBorders>
        <w:top w:val="single" w:sz="4" w:space="0" w:color="D8D8D8" w:themeColor="accent3"/>
        <w:left w:val="single" w:sz="4" w:space="0" w:color="D8D8D8" w:themeColor="accent3"/>
        <w:bottom w:val="single" w:sz="4" w:space="0" w:color="D8D8D8" w:themeColor="accent3"/>
        <w:right w:val="single" w:sz="4" w:space="0" w:color="D8D8D8" w:themeColor="accent3"/>
      </w:tblBorders>
    </w:tblPr>
    <w:tblStylePr w:type="firstRow">
      <w:rPr>
        <w:b/>
        <w:bCs/>
        <w:color w:val="FFFFFF" w:themeColor="background1"/>
      </w:rPr>
      <w:tblPr/>
      <w:tcPr>
        <w:shd w:val="clear" w:color="auto" w:fill="D8D8D8" w:themeFill="accent3"/>
      </w:tcPr>
    </w:tblStylePr>
    <w:tblStylePr w:type="lastRow">
      <w:rPr>
        <w:b/>
        <w:bCs/>
      </w:rPr>
      <w:tblPr/>
      <w:tcPr>
        <w:tcBorders>
          <w:top w:val="double" w:sz="4" w:space="0" w:color="D8D8D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D8D8" w:themeColor="accent3"/>
          <w:right w:val="single" w:sz="4" w:space="0" w:color="D8D8D8" w:themeColor="accent3"/>
        </w:tcBorders>
      </w:tcPr>
    </w:tblStylePr>
    <w:tblStylePr w:type="band1Horz">
      <w:tblPr/>
      <w:tcPr>
        <w:tcBorders>
          <w:top w:val="single" w:sz="4" w:space="0" w:color="D8D8D8" w:themeColor="accent3"/>
          <w:bottom w:val="single" w:sz="4" w:space="0" w:color="D8D8D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D8D8" w:themeColor="accent3"/>
          <w:left w:val="nil"/>
        </w:tcBorders>
      </w:tcPr>
    </w:tblStylePr>
    <w:tblStylePr w:type="swCell">
      <w:tblPr/>
      <w:tcPr>
        <w:tcBorders>
          <w:top w:val="double" w:sz="4" w:space="0" w:color="D8D8D8" w:themeColor="accent3"/>
          <w:right w:val="nil"/>
        </w:tcBorders>
      </w:tcPr>
    </w:tblStylePr>
  </w:style>
  <w:style w:type="table" w:styleId="ListTable3-Accent4">
    <w:name w:val="List Table 3 Accent 4"/>
    <w:basedOn w:val="TableNormal"/>
    <w:uiPriority w:val="48"/>
    <w:rsid w:val="0051234A"/>
    <w:tblPr>
      <w:tblStyleRowBandSize w:val="1"/>
      <w:tblStyleColBandSize w:val="1"/>
      <w:tblBorders>
        <w:top w:val="single" w:sz="4" w:space="0" w:color="8DB3E2" w:themeColor="accent4"/>
        <w:left w:val="single" w:sz="4" w:space="0" w:color="8DB3E2" w:themeColor="accent4"/>
        <w:bottom w:val="single" w:sz="4" w:space="0" w:color="8DB3E2" w:themeColor="accent4"/>
        <w:right w:val="single" w:sz="4" w:space="0" w:color="8DB3E2" w:themeColor="accent4"/>
      </w:tblBorders>
    </w:tblPr>
    <w:tblStylePr w:type="firstRow">
      <w:rPr>
        <w:b/>
        <w:bCs/>
        <w:color w:val="FFFFFF" w:themeColor="background1"/>
      </w:rPr>
      <w:tblPr/>
      <w:tcPr>
        <w:shd w:val="clear" w:color="auto" w:fill="8DB3E2" w:themeFill="accent4"/>
      </w:tcPr>
    </w:tblStylePr>
    <w:tblStylePr w:type="lastRow">
      <w:rPr>
        <w:b/>
        <w:bCs/>
      </w:rPr>
      <w:tblPr/>
      <w:tcPr>
        <w:tcBorders>
          <w:top w:val="double" w:sz="4" w:space="0" w:color="8DB3E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B3E2" w:themeColor="accent4"/>
          <w:right w:val="single" w:sz="4" w:space="0" w:color="8DB3E2" w:themeColor="accent4"/>
        </w:tcBorders>
      </w:tcPr>
    </w:tblStylePr>
    <w:tblStylePr w:type="band1Horz">
      <w:tblPr/>
      <w:tcPr>
        <w:tcBorders>
          <w:top w:val="single" w:sz="4" w:space="0" w:color="8DB3E2" w:themeColor="accent4"/>
          <w:bottom w:val="single" w:sz="4" w:space="0" w:color="8DB3E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B3E2" w:themeColor="accent4"/>
          <w:left w:val="nil"/>
        </w:tcBorders>
      </w:tcPr>
    </w:tblStylePr>
    <w:tblStylePr w:type="swCell">
      <w:tblPr/>
      <w:tcPr>
        <w:tcBorders>
          <w:top w:val="double" w:sz="4" w:space="0" w:color="8DB3E2" w:themeColor="accent4"/>
          <w:right w:val="nil"/>
        </w:tcBorders>
      </w:tcPr>
    </w:tblStylePr>
  </w:style>
  <w:style w:type="table" w:styleId="ListTable3-Accent5">
    <w:name w:val="List Table 3 Accent 5"/>
    <w:basedOn w:val="TableNormal"/>
    <w:uiPriority w:val="48"/>
    <w:rsid w:val="0051234A"/>
    <w:tblPr>
      <w:tblStyleRowBandSize w:val="1"/>
      <w:tblStyleColBandSize w:val="1"/>
      <w:tblBorders>
        <w:top w:val="single" w:sz="4" w:space="0" w:color="EEECE1" w:themeColor="accent5"/>
        <w:left w:val="single" w:sz="4" w:space="0" w:color="EEECE1" w:themeColor="accent5"/>
        <w:bottom w:val="single" w:sz="4" w:space="0" w:color="EEECE1" w:themeColor="accent5"/>
        <w:right w:val="single" w:sz="4" w:space="0" w:color="EEECE1" w:themeColor="accent5"/>
      </w:tblBorders>
    </w:tblPr>
    <w:tblStylePr w:type="firstRow">
      <w:rPr>
        <w:b/>
        <w:bCs/>
        <w:color w:val="FFFFFF" w:themeColor="background1"/>
      </w:rPr>
      <w:tblPr/>
      <w:tcPr>
        <w:shd w:val="clear" w:color="auto" w:fill="EEECE1" w:themeFill="accent5"/>
      </w:tcPr>
    </w:tblStylePr>
    <w:tblStylePr w:type="lastRow">
      <w:rPr>
        <w:b/>
        <w:bCs/>
      </w:rPr>
      <w:tblPr/>
      <w:tcPr>
        <w:tcBorders>
          <w:top w:val="double" w:sz="4" w:space="0" w:color="EEEC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ECE1" w:themeColor="accent5"/>
          <w:right w:val="single" w:sz="4" w:space="0" w:color="EEECE1" w:themeColor="accent5"/>
        </w:tcBorders>
      </w:tcPr>
    </w:tblStylePr>
    <w:tblStylePr w:type="band1Horz">
      <w:tblPr/>
      <w:tcPr>
        <w:tcBorders>
          <w:top w:val="single" w:sz="4" w:space="0" w:color="EEECE1" w:themeColor="accent5"/>
          <w:bottom w:val="single" w:sz="4" w:space="0" w:color="EEEC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ECE1" w:themeColor="accent5"/>
          <w:left w:val="nil"/>
        </w:tcBorders>
      </w:tcPr>
    </w:tblStylePr>
    <w:tblStylePr w:type="swCell">
      <w:tblPr/>
      <w:tcPr>
        <w:tcBorders>
          <w:top w:val="double" w:sz="4" w:space="0" w:color="EEECE1" w:themeColor="accent5"/>
          <w:right w:val="nil"/>
        </w:tcBorders>
      </w:tcPr>
    </w:tblStylePr>
  </w:style>
  <w:style w:type="table" w:styleId="ListTable3-Accent6">
    <w:name w:val="List Table 3 Accent 6"/>
    <w:basedOn w:val="TableNormal"/>
    <w:uiPriority w:val="48"/>
    <w:rsid w:val="0051234A"/>
    <w:tblPr>
      <w:tblStyleRowBandSize w:val="1"/>
      <w:tblStyleColBandSize w:val="1"/>
      <w:tblBorders>
        <w:top w:val="single" w:sz="4" w:space="0" w:color="EA700D" w:themeColor="accent6"/>
        <w:left w:val="single" w:sz="4" w:space="0" w:color="EA700D" w:themeColor="accent6"/>
        <w:bottom w:val="single" w:sz="4" w:space="0" w:color="EA700D" w:themeColor="accent6"/>
        <w:right w:val="single" w:sz="4" w:space="0" w:color="EA700D" w:themeColor="accent6"/>
      </w:tblBorders>
    </w:tblPr>
    <w:tblStylePr w:type="firstRow">
      <w:rPr>
        <w:b/>
        <w:bCs/>
        <w:color w:val="FFFFFF" w:themeColor="background1"/>
      </w:rPr>
      <w:tblPr/>
      <w:tcPr>
        <w:shd w:val="clear" w:color="auto" w:fill="EA700D" w:themeFill="accent6"/>
      </w:tcPr>
    </w:tblStylePr>
    <w:tblStylePr w:type="lastRow">
      <w:rPr>
        <w:b/>
        <w:bCs/>
      </w:rPr>
      <w:tblPr/>
      <w:tcPr>
        <w:tcBorders>
          <w:top w:val="double" w:sz="4" w:space="0" w:color="EA700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00D" w:themeColor="accent6"/>
          <w:right w:val="single" w:sz="4" w:space="0" w:color="EA700D" w:themeColor="accent6"/>
        </w:tcBorders>
      </w:tcPr>
    </w:tblStylePr>
    <w:tblStylePr w:type="band1Horz">
      <w:tblPr/>
      <w:tcPr>
        <w:tcBorders>
          <w:top w:val="single" w:sz="4" w:space="0" w:color="EA700D" w:themeColor="accent6"/>
          <w:bottom w:val="single" w:sz="4" w:space="0" w:color="EA700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00D" w:themeColor="accent6"/>
          <w:left w:val="nil"/>
        </w:tcBorders>
      </w:tcPr>
    </w:tblStylePr>
    <w:tblStylePr w:type="swCell">
      <w:tblPr/>
      <w:tcPr>
        <w:tcBorders>
          <w:top w:val="double" w:sz="4" w:space="0" w:color="EA700D" w:themeColor="accent6"/>
          <w:right w:val="nil"/>
        </w:tcBorders>
      </w:tcPr>
    </w:tblStylePr>
  </w:style>
  <w:style w:type="table" w:styleId="ListTable4">
    <w:name w:val="List Table 4"/>
    <w:basedOn w:val="TableNormal"/>
    <w:uiPriority w:val="49"/>
    <w:rsid w:val="0051234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1234A"/>
    <w:tblPr>
      <w:tblStyleRowBandSize w:val="1"/>
      <w:tblStyleColBandSize w:val="1"/>
      <w:tblBorders>
        <w:top w:val="single" w:sz="4" w:space="0" w:color="E93CDD" w:themeColor="accent1" w:themeTint="99"/>
        <w:left w:val="single" w:sz="4" w:space="0" w:color="E93CDD" w:themeColor="accent1" w:themeTint="99"/>
        <w:bottom w:val="single" w:sz="4" w:space="0" w:color="E93CDD" w:themeColor="accent1" w:themeTint="99"/>
        <w:right w:val="single" w:sz="4" w:space="0" w:color="E93CDD" w:themeColor="accent1" w:themeTint="99"/>
        <w:insideH w:val="single" w:sz="4" w:space="0" w:color="E93CDD" w:themeColor="accent1" w:themeTint="99"/>
      </w:tblBorders>
    </w:tblPr>
    <w:tblStylePr w:type="firstRow">
      <w:rPr>
        <w:b/>
        <w:bCs/>
        <w:color w:val="FFFFFF" w:themeColor="background1"/>
      </w:rPr>
      <w:tblPr/>
      <w:tcPr>
        <w:tcBorders>
          <w:top w:val="single" w:sz="4" w:space="0" w:color="870F7F" w:themeColor="accent1"/>
          <w:left w:val="single" w:sz="4" w:space="0" w:color="870F7F" w:themeColor="accent1"/>
          <w:bottom w:val="single" w:sz="4" w:space="0" w:color="870F7F" w:themeColor="accent1"/>
          <w:right w:val="single" w:sz="4" w:space="0" w:color="870F7F" w:themeColor="accent1"/>
          <w:insideH w:val="nil"/>
        </w:tcBorders>
        <w:shd w:val="clear" w:color="auto" w:fill="870F7F" w:themeFill="accent1"/>
      </w:tcPr>
    </w:tblStylePr>
    <w:tblStylePr w:type="lastRow">
      <w:rPr>
        <w:b/>
        <w:bCs/>
      </w:rPr>
      <w:tblPr/>
      <w:tcPr>
        <w:tcBorders>
          <w:top w:val="double" w:sz="4" w:space="0" w:color="E93CDD" w:themeColor="accent1" w:themeTint="99"/>
        </w:tcBorders>
      </w:tcPr>
    </w:tblStylePr>
    <w:tblStylePr w:type="firstCol">
      <w:rPr>
        <w:b/>
        <w:bCs/>
      </w:rPr>
    </w:tblStylePr>
    <w:tblStylePr w:type="lastCol">
      <w:rPr>
        <w:b/>
        <w:bCs/>
      </w:rPr>
    </w:tblStylePr>
    <w:tblStylePr w:type="band1Vert">
      <w:tblPr/>
      <w:tcPr>
        <w:shd w:val="clear" w:color="auto" w:fill="F7BEF3" w:themeFill="accent1" w:themeFillTint="33"/>
      </w:tcPr>
    </w:tblStylePr>
    <w:tblStylePr w:type="band1Horz">
      <w:tblPr/>
      <w:tcPr>
        <w:shd w:val="clear" w:color="auto" w:fill="F7BEF3" w:themeFill="accent1" w:themeFillTint="33"/>
      </w:tcPr>
    </w:tblStylePr>
  </w:style>
  <w:style w:type="table" w:styleId="ListTable4-Accent2">
    <w:name w:val="List Table 4 Accent 2"/>
    <w:basedOn w:val="TableNormal"/>
    <w:uiPriority w:val="49"/>
    <w:rsid w:val="0051234A"/>
    <w:tblPr>
      <w:tblStyleRowBandSize w:val="1"/>
      <w:tblStyleColBandSize w:val="1"/>
      <w:tblBorders>
        <w:top w:val="single" w:sz="4" w:space="0" w:color="92CDDC" w:themeColor="accent2" w:themeTint="99"/>
        <w:left w:val="single" w:sz="4" w:space="0" w:color="92CDDC" w:themeColor="accent2" w:themeTint="99"/>
        <w:bottom w:val="single" w:sz="4" w:space="0" w:color="92CDDC" w:themeColor="accent2" w:themeTint="99"/>
        <w:right w:val="single" w:sz="4" w:space="0" w:color="92CDDC" w:themeColor="accent2" w:themeTint="99"/>
        <w:insideH w:val="single" w:sz="4" w:space="0" w:color="92CDDC" w:themeColor="accent2" w:themeTint="99"/>
      </w:tblBorders>
    </w:tblPr>
    <w:tblStylePr w:type="firstRow">
      <w:rPr>
        <w:b/>
        <w:bCs/>
        <w:color w:val="FFFFFF" w:themeColor="background1"/>
      </w:rPr>
      <w:tblPr/>
      <w:tcPr>
        <w:tcBorders>
          <w:top w:val="single" w:sz="4" w:space="0" w:color="4BACC6" w:themeColor="accent2"/>
          <w:left w:val="single" w:sz="4" w:space="0" w:color="4BACC6" w:themeColor="accent2"/>
          <w:bottom w:val="single" w:sz="4" w:space="0" w:color="4BACC6" w:themeColor="accent2"/>
          <w:right w:val="single" w:sz="4" w:space="0" w:color="4BACC6" w:themeColor="accent2"/>
          <w:insideH w:val="nil"/>
        </w:tcBorders>
        <w:shd w:val="clear" w:color="auto" w:fill="4BACC6" w:themeFill="accent2"/>
      </w:tcPr>
    </w:tblStylePr>
    <w:tblStylePr w:type="lastRow">
      <w:rPr>
        <w:b/>
        <w:bCs/>
      </w:rPr>
      <w:tblPr/>
      <w:tcPr>
        <w:tcBorders>
          <w:top w:val="double" w:sz="4" w:space="0" w:color="92CDDC" w:themeColor="accent2" w:themeTint="99"/>
        </w:tcBorders>
      </w:tcPr>
    </w:tblStylePr>
    <w:tblStylePr w:type="firstCol">
      <w:rPr>
        <w:b/>
        <w:bCs/>
      </w:rPr>
    </w:tblStylePr>
    <w:tblStylePr w:type="lastCol">
      <w:rPr>
        <w:b/>
        <w:bCs/>
      </w:rPr>
    </w:tblStylePr>
    <w:tblStylePr w:type="band1Vert">
      <w:tblPr/>
      <w:tcPr>
        <w:shd w:val="clear" w:color="auto" w:fill="DAEEF3" w:themeFill="accent2" w:themeFillTint="33"/>
      </w:tcPr>
    </w:tblStylePr>
    <w:tblStylePr w:type="band1Horz">
      <w:tblPr/>
      <w:tcPr>
        <w:shd w:val="clear" w:color="auto" w:fill="DAEEF3" w:themeFill="accent2" w:themeFillTint="33"/>
      </w:tcPr>
    </w:tblStylePr>
  </w:style>
  <w:style w:type="table" w:styleId="ListTable4-Accent3">
    <w:name w:val="List Table 4 Accent 3"/>
    <w:basedOn w:val="TableNormal"/>
    <w:uiPriority w:val="49"/>
    <w:rsid w:val="0051234A"/>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tcBorders>
        <w:shd w:val="clear" w:color="auto" w:fill="D8D8D8" w:themeFill="accent3"/>
      </w:tcPr>
    </w:tblStylePr>
    <w:tblStylePr w:type="lastRow">
      <w:rPr>
        <w:b/>
        <w:bCs/>
      </w:rPr>
      <w:tblPr/>
      <w:tcPr>
        <w:tcBorders>
          <w:top w:val="double" w:sz="4" w:space="0" w:color="E7E7E7" w:themeColor="accent3" w:themeTint="99"/>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table" w:styleId="ListTable4-Accent4">
    <w:name w:val="List Table 4 Accent 4"/>
    <w:basedOn w:val="TableNormal"/>
    <w:uiPriority w:val="49"/>
    <w:rsid w:val="0051234A"/>
    <w:tblPr>
      <w:tblStyleRowBandSize w:val="1"/>
      <w:tblStyleColBandSize w:val="1"/>
      <w:tblBorders>
        <w:top w:val="single" w:sz="4" w:space="0" w:color="BAD1ED" w:themeColor="accent4" w:themeTint="99"/>
        <w:left w:val="single" w:sz="4" w:space="0" w:color="BAD1ED" w:themeColor="accent4" w:themeTint="99"/>
        <w:bottom w:val="single" w:sz="4" w:space="0" w:color="BAD1ED" w:themeColor="accent4" w:themeTint="99"/>
        <w:right w:val="single" w:sz="4" w:space="0" w:color="BAD1ED" w:themeColor="accent4" w:themeTint="99"/>
        <w:insideH w:val="single" w:sz="4" w:space="0" w:color="BAD1ED" w:themeColor="accent4" w:themeTint="99"/>
      </w:tblBorders>
    </w:tblPr>
    <w:tblStylePr w:type="firstRow">
      <w:rPr>
        <w:b/>
        <w:bCs/>
        <w:color w:val="FFFFFF" w:themeColor="background1"/>
      </w:rPr>
      <w:tblPr/>
      <w:tcPr>
        <w:tcBorders>
          <w:top w:val="single" w:sz="4" w:space="0" w:color="8DB3E2" w:themeColor="accent4"/>
          <w:left w:val="single" w:sz="4" w:space="0" w:color="8DB3E2" w:themeColor="accent4"/>
          <w:bottom w:val="single" w:sz="4" w:space="0" w:color="8DB3E2" w:themeColor="accent4"/>
          <w:right w:val="single" w:sz="4" w:space="0" w:color="8DB3E2" w:themeColor="accent4"/>
          <w:insideH w:val="nil"/>
        </w:tcBorders>
        <w:shd w:val="clear" w:color="auto" w:fill="8DB3E2" w:themeFill="accent4"/>
      </w:tcPr>
    </w:tblStylePr>
    <w:tblStylePr w:type="lastRow">
      <w:rPr>
        <w:b/>
        <w:bCs/>
      </w:rPr>
      <w:tblPr/>
      <w:tcPr>
        <w:tcBorders>
          <w:top w:val="double" w:sz="4" w:space="0" w:color="BAD1ED" w:themeColor="accent4" w:themeTint="99"/>
        </w:tcBorders>
      </w:tcPr>
    </w:tblStylePr>
    <w:tblStylePr w:type="firstCol">
      <w:rPr>
        <w:b/>
        <w:bCs/>
      </w:rPr>
    </w:tblStylePr>
    <w:tblStylePr w:type="lastCol">
      <w:rPr>
        <w:b/>
        <w:bCs/>
      </w:rPr>
    </w:tblStylePr>
    <w:tblStylePr w:type="band1Vert">
      <w:tblPr/>
      <w:tcPr>
        <w:shd w:val="clear" w:color="auto" w:fill="E8EFF9" w:themeFill="accent4" w:themeFillTint="33"/>
      </w:tcPr>
    </w:tblStylePr>
    <w:tblStylePr w:type="band1Horz">
      <w:tblPr/>
      <w:tcPr>
        <w:shd w:val="clear" w:color="auto" w:fill="E8EFF9" w:themeFill="accent4" w:themeFillTint="33"/>
      </w:tcPr>
    </w:tblStylePr>
  </w:style>
  <w:style w:type="table" w:styleId="ListTable4-Accent5">
    <w:name w:val="List Table 4 Accent 5"/>
    <w:basedOn w:val="TableNormal"/>
    <w:uiPriority w:val="49"/>
    <w:rsid w:val="0051234A"/>
    <w:tblPr>
      <w:tblStyleRowBandSize w:val="1"/>
      <w:tblStyleColBandSize w:val="1"/>
      <w:tblBorders>
        <w:top w:val="single" w:sz="4" w:space="0" w:color="F4F3EC" w:themeColor="accent5" w:themeTint="99"/>
        <w:left w:val="single" w:sz="4" w:space="0" w:color="F4F3EC" w:themeColor="accent5" w:themeTint="99"/>
        <w:bottom w:val="single" w:sz="4" w:space="0" w:color="F4F3EC" w:themeColor="accent5" w:themeTint="99"/>
        <w:right w:val="single" w:sz="4" w:space="0" w:color="F4F3EC" w:themeColor="accent5" w:themeTint="99"/>
        <w:insideH w:val="single" w:sz="4" w:space="0" w:color="F4F3EC" w:themeColor="accent5" w:themeTint="99"/>
      </w:tblBorders>
    </w:tblPr>
    <w:tblStylePr w:type="firstRow">
      <w:rPr>
        <w:b/>
        <w:bCs/>
        <w:color w:val="FFFFFF" w:themeColor="background1"/>
      </w:rPr>
      <w:tblPr/>
      <w:tcPr>
        <w:tcBorders>
          <w:top w:val="single" w:sz="4" w:space="0" w:color="EEECE1" w:themeColor="accent5"/>
          <w:left w:val="single" w:sz="4" w:space="0" w:color="EEECE1" w:themeColor="accent5"/>
          <w:bottom w:val="single" w:sz="4" w:space="0" w:color="EEECE1" w:themeColor="accent5"/>
          <w:right w:val="single" w:sz="4" w:space="0" w:color="EEECE1" w:themeColor="accent5"/>
          <w:insideH w:val="nil"/>
        </w:tcBorders>
        <w:shd w:val="clear" w:color="auto" w:fill="EEECE1" w:themeFill="accent5"/>
      </w:tcPr>
    </w:tblStylePr>
    <w:tblStylePr w:type="lastRow">
      <w:rPr>
        <w:b/>
        <w:bCs/>
      </w:rPr>
      <w:tblPr/>
      <w:tcPr>
        <w:tcBorders>
          <w:top w:val="double" w:sz="4" w:space="0" w:color="F4F3EC" w:themeColor="accent5" w:themeTint="99"/>
        </w:tcBorders>
      </w:tcPr>
    </w:tblStylePr>
    <w:tblStylePr w:type="firstCol">
      <w:rPr>
        <w:b/>
        <w:bCs/>
      </w:rPr>
    </w:tblStylePr>
    <w:tblStylePr w:type="lastCol">
      <w:rPr>
        <w:b/>
        <w:bCs/>
      </w:rPr>
    </w:tblStylePr>
    <w:tblStylePr w:type="band1Vert">
      <w:tblPr/>
      <w:tcPr>
        <w:shd w:val="clear" w:color="auto" w:fill="FBFBF8" w:themeFill="accent5" w:themeFillTint="33"/>
      </w:tcPr>
    </w:tblStylePr>
    <w:tblStylePr w:type="band1Horz">
      <w:tblPr/>
      <w:tcPr>
        <w:shd w:val="clear" w:color="auto" w:fill="FBFBF8" w:themeFill="accent5" w:themeFillTint="33"/>
      </w:tcPr>
    </w:tblStylePr>
  </w:style>
  <w:style w:type="table" w:styleId="ListTable4-Accent6">
    <w:name w:val="List Table 4 Accent 6"/>
    <w:basedOn w:val="TableNormal"/>
    <w:uiPriority w:val="49"/>
    <w:rsid w:val="0051234A"/>
    <w:tblPr>
      <w:tblStyleRowBandSize w:val="1"/>
      <w:tblStyleColBandSize w:val="1"/>
      <w:tblBorders>
        <w:top w:val="single" w:sz="4" w:space="0" w:color="F6A869" w:themeColor="accent6" w:themeTint="99"/>
        <w:left w:val="single" w:sz="4" w:space="0" w:color="F6A869" w:themeColor="accent6" w:themeTint="99"/>
        <w:bottom w:val="single" w:sz="4" w:space="0" w:color="F6A869" w:themeColor="accent6" w:themeTint="99"/>
        <w:right w:val="single" w:sz="4" w:space="0" w:color="F6A869" w:themeColor="accent6" w:themeTint="99"/>
        <w:insideH w:val="single" w:sz="4" w:space="0" w:color="F6A869" w:themeColor="accent6" w:themeTint="99"/>
      </w:tblBorders>
    </w:tblPr>
    <w:tblStylePr w:type="firstRow">
      <w:rPr>
        <w:b/>
        <w:bCs/>
        <w:color w:val="FFFFFF" w:themeColor="background1"/>
      </w:rPr>
      <w:tblPr/>
      <w:tcPr>
        <w:tcBorders>
          <w:top w:val="single" w:sz="4" w:space="0" w:color="EA700D" w:themeColor="accent6"/>
          <w:left w:val="single" w:sz="4" w:space="0" w:color="EA700D" w:themeColor="accent6"/>
          <w:bottom w:val="single" w:sz="4" w:space="0" w:color="EA700D" w:themeColor="accent6"/>
          <w:right w:val="single" w:sz="4" w:space="0" w:color="EA700D" w:themeColor="accent6"/>
          <w:insideH w:val="nil"/>
        </w:tcBorders>
        <w:shd w:val="clear" w:color="auto" w:fill="EA700D" w:themeFill="accent6"/>
      </w:tcPr>
    </w:tblStylePr>
    <w:tblStylePr w:type="lastRow">
      <w:rPr>
        <w:b/>
        <w:bCs/>
      </w:rPr>
      <w:tblPr/>
      <w:tcPr>
        <w:tcBorders>
          <w:top w:val="double" w:sz="4" w:space="0" w:color="F6A869" w:themeColor="accent6" w:themeTint="99"/>
        </w:tcBorders>
      </w:tcPr>
    </w:tblStylePr>
    <w:tblStylePr w:type="firstCol">
      <w:rPr>
        <w:b/>
        <w:bCs/>
      </w:rPr>
    </w:tblStylePr>
    <w:tblStylePr w:type="lastCol">
      <w:rPr>
        <w:b/>
        <w:bCs/>
      </w:rPr>
    </w:tblStylePr>
    <w:tblStylePr w:type="band1Vert">
      <w:tblPr/>
      <w:tcPr>
        <w:shd w:val="clear" w:color="auto" w:fill="FCE2CD" w:themeFill="accent6" w:themeFillTint="33"/>
      </w:tcPr>
    </w:tblStylePr>
    <w:tblStylePr w:type="band1Horz">
      <w:tblPr/>
      <w:tcPr>
        <w:shd w:val="clear" w:color="auto" w:fill="FCE2CD" w:themeFill="accent6" w:themeFillTint="33"/>
      </w:tcPr>
    </w:tblStylePr>
  </w:style>
  <w:style w:type="table" w:styleId="ListTable5Dark">
    <w:name w:val="List Table 5 Dark"/>
    <w:basedOn w:val="TableNormal"/>
    <w:uiPriority w:val="50"/>
    <w:rsid w:val="0051234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1234A"/>
    <w:rPr>
      <w:color w:val="FFFFFF" w:themeColor="background1"/>
    </w:rPr>
    <w:tblPr>
      <w:tblStyleRowBandSize w:val="1"/>
      <w:tblStyleColBandSize w:val="1"/>
      <w:tblBorders>
        <w:top w:val="single" w:sz="24" w:space="0" w:color="870F7F" w:themeColor="accent1"/>
        <w:left w:val="single" w:sz="24" w:space="0" w:color="870F7F" w:themeColor="accent1"/>
        <w:bottom w:val="single" w:sz="24" w:space="0" w:color="870F7F" w:themeColor="accent1"/>
        <w:right w:val="single" w:sz="24" w:space="0" w:color="870F7F" w:themeColor="accent1"/>
      </w:tblBorders>
    </w:tblPr>
    <w:tcPr>
      <w:shd w:val="clear" w:color="auto" w:fill="870F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1234A"/>
    <w:rPr>
      <w:color w:val="FFFFFF" w:themeColor="background1"/>
    </w:rPr>
    <w:tblPr>
      <w:tblStyleRowBandSize w:val="1"/>
      <w:tblStyleColBandSize w:val="1"/>
      <w:tblBorders>
        <w:top w:val="single" w:sz="24" w:space="0" w:color="4BACC6" w:themeColor="accent2"/>
        <w:left w:val="single" w:sz="24" w:space="0" w:color="4BACC6" w:themeColor="accent2"/>
        <w:bottom w:val="single" w:sz="24" w:space="0" w:color="4BACC6" w:themeColor="accent2"/>
        <w:right w:val="single" w:sz="24" w:space="0" w:color="4BACC6" w:themeColor="accent2"/>
      </w:tblBorders>
    </w:tblPr>
    <w:tcPr>
      <w:shd w:val="clear" w:color="auto" w:fill="4BAC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1234A"/>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1234A"/>
    <w:rPr>
      <w:color w:val="FFFFFF" w:themeColor="background1"/>
    </w:rPr>
    <w:tblPr>
      <w:tblStyleRowBandSize w:val="1"/>
      <w:tblStyleColBandSize w:val="1"/>
      <w:tblBorders>
        <w:top w:val="single" w:sz="24" w:space="0" w:color="8DB3E2" w:themeColor="accent4"/>
        <w:left w:val="single" w:sz="24" w:space="0" w:color="8DB3E2" w:themeColor="accent4"/>
        <w:bottom w:val="single" w:sz="24" w:space="0" w:color="8DB3E2" w:themeColor="accent4"/>
        <w:right w:val="single" w:sz="24" w:space="0" w:color="8DB3E2" w:themeColor="accent4"/>
      </w:tblBorders>
    </w:tblPr>
    <w:tcPr>
      <w:shd w:val="clear" w:color="auto" w:fill="8DB3E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1234A"/>
    <w:rPr>
      <w:color w:val="FFFFFF" w:themeColor="background1"/>
    </w:rPr>
    <w:tblPr>
      <w:tblStyleRowBandSize w:val="1"/>
      <w:tblStyleColBandSize w:val="1"/>
      <w:tblBorders>
        <w:top w:val="single" w:sz="24" w:space="0" w:color="EEECE1" w:themeColor="accent5"/>
        <w:left w:val="single" w:sz="24" w:space="0" w:color="EEECE1" w:themeColor="accent5"/>
        <w:bottom w:val="single" w:sz="24" w:space="0" w:color="EEECE1" w:themeColor="accent5"/>
        <w:right w:val="single" w:sz="24" w:space="0" w:color="EEECE1" w:themeColor="accent5"/>
      </w:tblBorders>
    </w:tblPr>
    <w:tcPr>
      <w:shd w:val="clear" w:color="auto" w:fill="EEECE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1234A"/>
    <w:rPr>
      <w:color w:val="FFFFFF" w:themeColor="background1"/>
    </w:rPr>
    <w:tblPr>
      <w:tblStyleRowBandSize w:val="1"/>
      <w:tblStyleColBandSize w:val="1"/>
      <w:tblBorders>
        <w:top w:val="single" w:sz="24" w:space="0" w:color="EA700D" w:themeColor="accent6"/>
        <w:left w:val="single" w:sz="24" w:space="0" w:color="EA700D" w:themeColor="accent6"/>
        <w:bottom w:val="single" w:sz="24" w:space="0" w:color="EA700D" w:themeColor="accent6"/>
        <w:right w:val="single" w:sz="24" w:space="0" w:color="EA700D" w:themeColor="accent6"/>
      </w:tblBorders>
    </w:tblPr>
    <w:tcPr>
      <w:shd w:val="clear" w:color="auto" w:fill="EA700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1234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1234A"/>
    <w:rPr>
      <w:color w:val="650B5F" w:themeColor="accent1" w:themeShade="BF"/>
    </w:rPr>
    <w:tblPr>
      <w:tblStyleRowBandSize w:val="1"/>
      <w:tblStyleColBandSize w:val="1"/>
      <w:tblBorders>
        <w:top w:val="single" w:sz="4" w:space="0" w:color="870F7F" w:themeColor="accent1"/>
        <w:bottom w:val="single" w:sz="4" w:space="0" w:color="870F7F" w:themeColor="accent1"/>
      </w:tblBorders>
    </w:tblPr>
    <w:tblStylePr w:type="firstRow">
      <w:rPr>
        <w:b/>
        <w:bCs/>
      </w:rPr>
      <w:tblPr/>
      <w:tcPr>
        <w:tcBorders>
          <w:bottom w:val="single" w:sz="4" w:space="0" w:color="870F7F" w:themeColor="accent1"/>
        </w:tcBorders>
      </w:tcPr>
    </w:tblStylePr>
    <w:tblStylePr w:type="lastRow">
      <w:rPr>
        <w:b/>
        <w:bCs/>
      </w:rPr>
      <w:tblPr/>
      <w:tcPr>
        <w:tcBorders>
          <w:top w:val="double" w:sz="4" w:space="0" w:color="870F7F" w:themeColor="accent1"/>
        </w:tcBorders>
      </w:tcPr>
    </w:tblStylePr>
    <w:tblStylePr w:type="firstCol">
      <w:rPr>
        <w:b/>
        <w:bCs/>
      </w:rPr>
    </w:tblStylePr>
    <w:tblStylePr w:type="lastCol">
      <w:rPr>
        <w:b/>
        <w:bCs/>
      </w:rPr>
    </w:tblStylePr>
    <w:tblStylePr w:type="band1Vert">
      <w:tblPr/>
      <w:tcPr>
        <w:shd w:val="clear" w:color="auto" w:fill="F7BEF3" w:themeFill="accent1" w:themeFillTint="33"/>
      </w:tcPr>
    </w:tblStylePr>
    <w:tblStylePr w:type="band1Horz">
      <w:tblPr/>
      <w:tcPr>
        <w:shd w:val="clear" w:color="auto" w:fill="F7BEF3" w:themeFill="accent1" w:themeFillTint="33"/>
      </w:tcPr>
    </w:tblStylePr>
  </w:style>
  <w:style w:type="table" w:styleId="ListTable6Colorful-Accent2">
    <w:name w:val="List Table 6 Colorful Accent 2"/>
    <w:basedOn w:val="TableNormal"/>
    <w:uiPriority w:val="51"/>
    <w:rsid w:val="0051234A"/>
    <w:rPr>
      <w:color w:val="31849B" w:themeColor="accent2" w:themeShade="BF"/>
    </w:rPr>
    <w:tblPr>
      <w:tblStyleRowBandSize w:val="1"/>
      <w:tblStyleColBandSize w:val="1"/>
      <w:tblBorders>
        <w:top w:val="single" w:sz="4" w:space="0" w:color="4BACC6" w:themeColor="accent2"/>
        <w:bottom w:val="single" w:sz="4" w:space="0" w:color="4BACC6" w:themeColor="accent2"/>
      </w:tblBorders>
    </w:tblPr>
    <w:tblStylePr w:type="firstRow">
      <w:rPr>
        <w:b/>
        <w:bCs/>
      </w:rPr>
      <w:tblPr/>
      <w:tcPr>
        <w:tcBorders>
          <w:bottom w:val="single" w:sz="4" w:space="0" w:color="4BACC6" w:themeColor="accent2"/>
        </w:tcBorders>
      </w:tcPr>
    </w:tblStylePr>
    <w:tblStylePr w:type="lastRow">
      <w:rPr>
        <w:b/>
        <w:bCs/>
      </w:rPr>
      <w:tblPr/>
      <w:tcPr>
        <w:tcBorders>
          <w:top w:val="double" w:sz="4" w:space="0" w:color="4BACC6" w:themeColor="accent2"/>
        </w:tcBorders>
      </w:tcPr>
    </w:tblStylePr>
    <w:tblStylePr w:type="firstCol">
      <w:rPr>
        <w:b/>
        <w:bCs/>
      </w:rPr>
    </w:tblStylePr>
    <w:tblStylePr w:type="lastCol">
      <w:rPr>
        <w:b/>
        <w:bCs/>
      </w:rPr>
    </w:tblStylePr>
    <w:tblStylePr w:type="band1Vert">
      <w:tblPr/>
      <w:tcPr>
        <w:shd w:val="clear" w:color="auto" w:fill="DAEEF3" w:themeFill="accent2" w:themeFillTint="33"/>
      </w:tcPr>
    </w:tblStylePr>
    <w:tblStylePr w:type="band1Horz">
      <w:tblPr/>
      <w:tcPr>
        <w:shd w:val="clear" w:color="auto" w:fill="DAEEF3" w:themeFill="accent2" w:themeFillTint="33"/>
      </w:tcPr>
    </w:tblStylePr>
  </w:style>
  <w:style w:type="table" w:styleId="ListTable6Colorful-Accent3">
    <w:name w:val="List Table 6 Colorful Accent 3"/>
    <w:basedOn w:val="TableNormal"/>
    <w:uiPriority w:val="51"/>
    <w:rsid w:val="0051234A"/>
    <w:rPr>
      <w:color w:val="A1A1A1" w:themeColor="accent3" w:themeShade="BF"/>
    </w:rPr>
    <w:tblPr>
      <w:tblStyleRowBandSize w:val="1"/>
      <w:tblStyleColBandSize w:val="1"/>
      <w:tblBorders>
        <w:top w:val="single" w:sz="4" w:space="0" w:color="D8D8D8" w:themeColor="accent3"/>
        <w:bottom w:val="single" w:sz="4" w:space="0" w:color="D8D8D8" w:themeColor="accent3"/>
      </w:tblBorders>
    </w:tblPr>
    <w:tblStylePr w:type="firstRow">
      <w:rPr>
        <w:b/>
        <w:bCs/>
      </w:rPr>
      <w:tblPr/>
      <w:tcPr>
        <w:tcBorders>
          <w:bottom w:val="single" w:sz="4" w:space="0" w:color="D8D8D8" w:themeColor="accent3"/>
        </w:tcBorders>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table" w:styleId="ListTable6Colorful-Accent4">
    <w:name w:val="List Table 6 Colorful Accent 4"/>
    <w:basedOn w:val="TableNormal"/>
    <w:uiPriority w:val="51"/>
    <w:rsid w:val="0051234A"/>
    <w:rPr>
      <w:color w:val="4381CF" w:themeColor="accent4" w:themeShade="BF"/>
    </w:rPr>
    <w:tblPr>
      <w:tblStyleRowBandSize w:val="1"/>
      <w:tblStyleColBandSize w:val="1"/>
      <w:tblBorders>
        <w:top w:val="single" w:sz="4" w:space="0" w:color="8DB3E2" w:themeColor="accent4"/>
        <w:bottom w:val="single" w:sz="4" w:space="0" w:color="8DB3E2" w:themeColor="accent4"/>
      </w:tblBorders>
    </w:tblPr>
    <w:tblStylePr w:type="firstRow">
      <w:rPr>
        <w:b/>
        <w:bCs/>
      </w:rPr>
      <w:tblPr/>
      <w:tcPr>
        <w:tcBorders>
          <w:bottom w:val="single" w:sz="4" w:space="0" w:color="8DB3E2" w:themeColor="accent4"/>
        </w:tcBorders>
      </w:tcPr>
    </w:tblStylePr>
    <w:tblStylePr w:type="lastRow">
      <w:rPr>
        <w:b/>
        <w:bCs/>
      </w:rPr>
      <w:tblPr/>
      <w:tcPr>
        <w:tcBorders>
          <w:top w:val="double" w:sz="4" w:space="0" w:color="8DB3E2" w:themeColor="accent4"/>
        </w:tcBorders>
      </w:tcPr>
    </w:tblStylePr>
    <w:tblStylePr w:type="firstCol">
      <w:rPr>
        <w:b/>
        <w:bCs/>
      </w:rPr>
    </w:tblStylePr>
    <w:tblStylePr w:type="lastCol">
      <w:rPr>
        <w:b/>
        <w:bCs/>
      </w:rPr>
    </w:tblStylePr>
    <w:tblStylePr w:type="band1Vert">
      <w:tblPr/>
      <w:tcPr>
        <w:shd w:val="clear" w:color="auto" w:fill="E8EFF9" w:themeFill="accent4" w:themeFillTint="33"/>
      </w:tcPr>
    </w:tblStylePr>
    <w:tblStylePr w:type="band1Horz">
      <w:tblPr/>
      <w:tcPr>
        <w:shd w:val="clear" w:color="auto" w:fill="E8EFF9" w:themeFill="accent4" w:themeFillTint="33"/>
      </w:tcPr>
    </w:tblStylePr>
  </w:style>
  <w:style w:type="table" w:styleId="ListTable6Colorful-Accent5">
    <w:name w:val="List Table 6 Colorful Accent 5"/>
    <w:basedOn w:val="TableNormal"/>
    <w:uiPriority w:val="51"/>
    <w:rsid w:val="0051234A"/>
    <w:rPr>
      <w:color w:val="C4BC96" w:themeColor="accent5" w:themeShade="BF"/>
    </w:rPr>
    <w:tblPr>
      <w:tblStyleRowBandSize w:val="1"/>
      <w:tblStyleColBandSize w:val="1"/>
      <w:tblBorders>
        <w:top w:val="single" w:sz="4" w:space="0" w:color="EEECE1" w:themeColor="accent5"/>
        <w:bottom w:val="single" w:sz="4" w:space="0" w:color="EEECE1" w:themeColor="accent5"/>
      </w:tblBorders>
    </w:tblPr>
    <w:tblStylePr w:type="firstRow">
      <w:rPr>
        <w:b/>
        <w:bCs/>
      </w:rPr>
      <w:tblPr/>
      <w:tcPr>
        <w:tcBorders>
          <w:bottom w:val="single" w:sz="4" w:space="0" w:color="EEECE1" w:themeColor="accent5"/>
        </w:tcBorders>
      </w:tcPr>
    </w:tblStylePr>
    <w:tblStylePr w:type="lastRow">
      <w:rPr>
        <w:b/>
        <w:bCs/>
      </w:rPr>
      <w:tblPr/>
      <w:tcPr>
        <w:tcBorders>
          <w:top w:val="double" w:sz="4" w:space="0" w:color="EEECE1" w:themeColor="accent5"/>
        </w:tcBorders>
      </w:tcPr>
    </w:tblStylePr>
    <w:tblStylePr w:type="firstCol">
      <w:rPr>
        <w:b/>
        <w:bCs/>
      </w:rPr>
    </w:tblStylePr>
    <w:tblStylePr w:type="lastCol">
      <w:rPr>
        <w:b/>
        <w:bCs/>
      </w:rPr>
    </w:tblStylePr>
    <w:tblStylePr w:type="band1Vert">
      <w:tblPr/>
      <w:tcPr>
        <w:shd w:val="clear" w:color="auto" w:fill="FBFBF8" w:themeFill="accent5" w:themeFillTint="33"/>
      </w:tcPr>
    </w:tblStylePr>
    <w:tblStylePr w:type="band1Horz">
      <w:tblPr/>
      <w:tcPr>
        <w:shd w:val="clear" w:color="auto" w:fill="FBFBF8" w:themeFill="accent5" w:themeFillTint="33"/>
      </w:tcPr>
    </w:tblStylePr>
  </w:style>
  <w:style w:type="table" w:styleId="ListTable6Colorful-Accent6">
    <w:name w:val="List Table 6 Colorful Accent 6"/>
    <w:basedOn w:val="TableNormal"/>
    <w:uiPriority w:val="51"/>
    <w:rsid w:val="0051234A"/>
    <w:rPr>
      <w:color w:val="AF5309" w:themeColor="accent6" w:themeShade="BF"/>
    </w:rPr>
    <w:tblPr>
      <w:tblStyleRowBandSize w:val="1"/>
      <w:tblStyleColBandSize w:val="1"/>
      <w:tblBorders>
        <w:top w:val="single" w:sz="4" w:space="0" w:color="EA700D" w:themeColor="accent6"/>
        <w:bottom w:val="single" w:sz="4" w:space="0" w:color="EA700D" w:themeColor="accent6"/>
      </w:tblBorders>
    </w:tblPr>
    <w:tblStylePr w:type="firstRow">
      <w:rPr>
        <w:b/>
        <w:bCs/>
      </w:rPr>
      <w:tblPr/>
      <w:tcPr>
        <w:tcBorders>
          <w:bottom w:val="single" w:sz="4" w:space="0" w:color="EA700D" w:themeColor="accent6"/>
        </w:tcBorders>
      </w:tcPr>
    </w:tblStylePr>
    <w:tblStylePr w:type="lastRow">
      <w:rPr>
        <w:b/>
        <w:bCs/>
      </w:rPr>
      <w:tblPr/>
      <w:tcPr>
        <w:tcBorders>
          <w:top w:val="double" w:sz="4" w:space="0" w:color="EA700D" w:themeColor="accent6"/>
        </w:tcBorders>
      </w:tcPr>
    </w:tblStylePr>
    <w:tblStylePr w:type="firstCol">
      <w:rPr>
        <w:b/>
        <w:bCs/>
      </w:rPr>
    </w:tblStylePr>
    <w:tblStylePr w:type="lastCol">
      <w:rPr>
        <w:b/>
        <w:bCs/>
      </w:rPr>
    </w:tblStylePr>
    <w:tblStylePr w:type="band1Vert">
      <w:tblPr/>
      <w:tcPr>
        <w:shd w:val="clear" w:color="auto" w:fill="FCE2CD" w:themeFill="accent6" w:themeFillTint="33"/>
      </w:tcPr>
    </w:tblStylePr>
    <w:tblStylePr w:type="band1Horz">
      <w:tblPr/>
      <w:tcPr>
        <w:shd w:val="clear" w:color="auto" w:fill="FCE2CD" w:themeFill="accent6" w:themeFillTint="33"/>
      </w:tcPr>
    </w:tblStylePr>
  </w:style>
  <w:style w:type="table" w:styleId="ListTable7Colorful">
    <w:name w:val="List Table 7 Colorful"/>
    <w:basedOn w:val="TableNormal"/>
    <w:uiPriority w:val="52"/>
    <w:rsid w:val="0051234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1234A"/>
    <w:rPr>
      <w:color w:val="650B5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70F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70F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70F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70F7F" w:themeColor="accent1"/>
        </w:tcBorders>
        <w:shd w:val="clear" w:color="auto" w:fill="FFFFFF" w:themeFill="background1"/>
      </w:tcPr>
    </w:tblStylePr>
    <w:tblStylePr w:type="band1Vert">
      <w:tblPr/>
      <w:tcPr>
        <w:shd w:val="clear" w:color="auto" w:fill="F7BEF3" w:themeFill="accent1" w:themeFillTint="33"/>
      </w:tcPr>
    </w:tblStylePr>
    <w:tblStylePr w:type="band1Horz">
      <w:tblPr/>
      <w:tcPr>
        <w:shd w:val="clear" w:color="auto" w:fill="F7BE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1234A"/>
    <w:rPr>
      <w:color w:val="31849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2"/>
        </w:tcBorders>
        <w:shd w:val="clear" w:color="auto" w:fill="FFFFFF" w:themeFill="background1"/>
      </w:tcPr>
    </w:tblStylePr>
    <w:tblStylePr w:type="band1Vert">
      <w:tblPr/>
      <w:tcPr>
        <w:shd w:val="clear" w:color="auto" w:fill="DAEEF3" w:themeFill="accent2" w:themeFillTint="33"/>
      </w:tcPr>
    </w:tblStylePr>
    <w:tblStylePr w:type="band1Horz">
      <w:tblPr/>
      <w:tcPr>
        <w:shd w:val="clear" w:color="auto" w:fill="DAEE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1234A"/>
    <w:rPr>
      <w:color w:val="A1A1A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D8D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D8D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D8D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D8D8" w:themeColor="accent3"/>
        </w:tcBorders>
        <w:shd w:val="clear" w:color="auto" w:fill="FFFFFF" w:themeFill="background1"/>
      </w:tcPr>
    </w:tblStylePr>
    <w:tblStylePr w:type="band1Vert">
      <w:tblPr/>
      <w:tcPr>
        <w:shd w:val="clear" w:color="auto" w:fill="F7F7F7" w:themeFill="accent3" w:themeFillTint="33"/>
      </w:tcPr>
    </w:tblStylePr>
    <w:tblStylePr w:type="band1Horz">
      <w:tblPr/>
      <w:tcPr>
        <w:shd w:val="clear" w:color="auto" w:fill="F7F7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1234A"/>
    <w:rPr>
      <w:color w:val="4381C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B3E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B3E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B3E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B3E2" w:themeColor="accent4"/>
        </w:tcBorders>
        <w:shd w:val="clear" w:color="auto" w:fill="FFFFFF" w:themeFill="background1"/>
      </w:tcPr>
    </w:tblStylePr>
    <w:tblStylePr w:type="band1Vert">
      <w:tblPr/>
      <w:tcPr>
        <w:shd w:val="clear" w:color="auto" w:fill="E8EFF9" w:themeFill="accent4" w:themeFillTint="33"/>
      </w:tcPr>
    </w:tblStylePr>
    <w:tblStylePr w:type="band1Horz">
      <w:tblPr/>
      <w:tcPr>
        <w:shd w:val="clear" w:color="auto" w:fill="E8E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1234A"/>
    <w:rPr>
      <w:color w:val="C4BC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EC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EC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EC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ECE1" w:themeColor="accent5"/>
        </w:tcBorders>
        <w:shd w:val="clear" w:color="auto" w:fill="FFFFFF" w:themeFill="background1"/>
      </w:tcPr>
    </w:tblStylePr>
    <w:tblStylePr w:type="band1Vert">
      <w:tblPr/>
      <w:tcPr>
        <w:shd w:val="clear" w:color="auto" w:fill="FBFBF8" w:themeFill="accent5" w:themeFillTint="33"/>
      </w:tcPr>
    </w:tblStylePr>
    <w:tblStylePr w:type="band1Horz">
      <w:tblPr/>
      <w:tcPr>
        <w:shd w:val="clear" w:color="auto" w:fill="FBFB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1234A"/>
    <w:rPr>
      <w:color w:val="AF5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00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00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00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00D" w:themeColor="accent6"/>
        </w:tcBorders>
        <w:shd w:val="clear" w:color="auto" w:fill="FFFFFF" w:themeFill="background1"/>
      </w:tcPr>
    </w:tblStylePr>
    <w:tblStylePr w:type="band1Vert">
      <w:tblPr/>
      <w:tcPr>
        <w:shd w:val="clear" w:color="auto" w:fill="FCE2CD" w:themeFill="accent6" w:themeFillTint="33"/>
      </w:tcPr>
    </w:tblStylePr>
    <w:tblStylePr w:type="band1Horz">
      <w:tblPr/>
      <w:tcPr>
        <w:shd w:val="clear" w:color="auto" w:fill="FCE2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1234A"/>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51234A"/>
    <w:rPr>
      <w:rFonts w:ascii="Consolas" w:hAnsi="Consolas"/>
      <w:szCs w:val="20"/>
    </w:rPr>
  </w:style>
  <w:style w:type="table" w:styleId="MediumGrid1">
    <w:name w:val="Medium Grid 1"/>
    <w:basedOn w:val="TableNormal"/>
    <w:uiPriority w:val="99"/>
    <w:semiHidden/>
    <w:unhideWhenUsed/>
    <w:rsid w:val="0051234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1234A"/>
    <w:tblPr>
      <w:tblStyleRowBandSize w:val="1"/>
      <w:tblStyleColBandSize w:val="1"/>
      <w:tblBorders>
        <w:top w:val="single" w:sz="8" w:space="0" w:color="D818CB" w:themeColor="accent1" w:themeTint="BF"/>
        <w:left w:val="single" w:sz="8" w:space="0" w:color="D818CB" w:themeColor="accent1" w:themeTint="BF"/>
        <w:bottom w:val="single" w:sz="8" w:space="0" w:color="D818CB" w:themeColor="accent1" w:themeTint="BF"/>
        <w:right w:val="single" w:sz="8" w:space="0" w:color="D818CB" w:themeColor="accent1" w:themeTint="BF"/>
        <w:insideH w:val="single" w:sz="8" w:space="0" w:color="D818CB" w:themeColor="accent1" w:themeTint="BF"/>
        <w:insideV w:val="single" w:sz="8" w:space="0" w:color="D818CB" w:themeColor="accent1" w:themeTint="BF"/>
      </w:tblBorders>
    </w:tblPr>
    <w:tcPr>
      <w:shd w:val="clear" w:color="auto" w:fill="F6AEF1" w:themeFill="accent1" w:themeFillTint="3F"/>
    </w:tcPr>
    <w:tblStylePr w:type="firstRow">
      <w:rPr>
        <w:b/>
        <w:bCs/>
      </w:rPr>
    </w:tblStylePr>
    <w:tblStylePr w:type="lastRow">
      <w:rPr>
        <w:b/>
        <w:bCs/>
      </w:rPr>
      <w:tblPr/>
      <w:tcPr>
        <w:tcBorders>
          <w:top w:val="single" w:sz="18" w:space="0" w:color="D818CB" w:themeColor="accent1" w:themeTint="BF"/>
        </w:tcBorders>
      </w:tcPr>
    </w:tblStylePr>
    <w:tblStylePr w:type="firstCol">
      <w:rPr>
        <w:b/>
        <w:bCs/>
      </w:rPr>
    </w:tblStylePr>
    <w:tblStylePr w:type="lastCol">
      <w:rPr>
        <w:b/>
        <w:bCs/>
      </w:rPr>
    </w:tblStylePr>
    <w:tblStylePr w:type="band1Vert">
      <w:tblPr/>
      <w:tcPr>
        <w:shd w:val="clear" w:color="auto" w:fill="ED5DE3" w:themeFill="accent1" w:themeFillTint="7F"/>
      </w:tcPr>
    </w:tblStylePr>
    <w:tblStylePr w:type="band1Horz">
      <w:tblPr/>
      <w:tcPr>
        <w:shd w:val="clear" w:color="auto" w:fill="ED5DE3" w:themeFill="accent1" w:themeFillTint="7F"/>
      </w:tcPr>
    </w:tblStylePr>
  </w:style>
  <w:style w:type="table" w:styleId="MediumGrid1-Accent2">
    <w:name w:val="Medium Grid 1 Accent 2"/>
    <w:basedOn w:val="TableNormal"/>
    <w:uiPriority w:val="67"/>
    <w:semiHidden/>
    <w:unhideWhenUsed/>
    <w:rsid w:val="0051234A"/>
    <w:tblPr>
      <w:tblStyleRowBandSize w:val="1"/>
      <w:tblStyleColBandSize w:val="1"/>
      <w:tblBorders>
        <w:top w:val="single" w:sz="8" w:space="0" w:color="78C0D4" w:themeColor="accent2" w:themeTint="BF"/>
        <w:left w:val="single" w:sz="8" w:space="0" w:color="78C0D4" w:themeColor="accent2" w:themeTint="BF"/>
        <w:bottom w:val="single" w:sz="8" w:space="0" w:color="78C0D4" w:themeColor="accent2" w:themeTint="BF"/>
        <w:right w:val="single" w:sz="8" w:space="0" w:color="78C0D4" w:themeColor="accent2" w:themeTint="BF"/>
        <w:insideH w:val="single" w:sz="8" w:space="0" w:color="78C0D4" w:themeColor="accent2" w:themeTint="BF"/>
        <w:insideV w:val="single" w:sz="8" w:space="0" w:color="78C0D4" w:themeColor="accent2" w:themeTint="BF"/>
      </w:tblBorders>
    </w:tblPr>
    <w:tcPr>
      <w:shd w:val="clear" w:color="auto" w:fill="D2EAF1" w:themeFill="accent2" w:themeFillTint="3F"/>
    </w:tcPr>
    <w:tblStylePr w:type="firstRow">
      <w:rPr>
        <w:b/>
        <w:bCs/>
      </w:rPr>
    </w:tblStylePr>
    <w:tblStylePr w:type="lastRow">
      <w:rPr>
        <w:b/>
        <w:bCs/>
      </w:rPr>
      <w:tblPr/>
      <w:tcPr>
        <w:tcBorders>
          <w:top w:val="single" w:sz="18" w:space="0" w:color="78C0D4" w:themeColor="accent2" w:themeTint="BF"/>
        </w:tcBorders>
      </w:tcPr>
    </w:tblStylePr>
    <w:tblStylePr w:type="firstCol">
      <w:rPr>
        <w:b/>
        <w:bCs/>
      </w:rPr>
    </w:tblStylePr>
    <w:tblStylePr w:type="lastCol">
      <w:rPr>
        <w:b/>
        <w:bCs/>
      </w:rPr>
    </w:tblStylePr>
    <w:tblStylePr w:type="band1Vert">
      <w:tblPr/>
      <w:tcPr>
        <w:shd w:val="clear" w:color="auto" w:fill="A5D5E2" w:themeFill="accent2" w:themeFillTint="7F"/>
      </w:tcPr>
    </w:tblStylePr>
    <w:tblStylePr w:type="band1Horz">
      <w:tblPr/>
      <w:tcPr>
        <w:shd w:val="clear" w:color="auto" w:fill="A5D5E2" w:themeFill="accent2" w:themeFillTint="7F"/>
      </w:tcPr>
    </w:tblStylePr>
  </w:style>
  <w:style w:type="table" w:styleId="MediumGrid1-Accent3">
    <w:name w:val="Medium Grid 1 Accent 3"/>
    <w:basedOn w:val="TableNormal"/>
    <w:uiPriority w:val="67"/>
    <w:semiHidden/>
    <w:unhideWhenUsed/>
    <w:rsid w:val="0051234A"/>
    <w:tblPr>
      <w:tblStyleRowBandSize w:val="1"/>
      <w:tblStyleColBandSize w:val="1"/>
      <w:tblBorders>
        <w:top w:val="single" w:sz="8" w:space="0" w:color="E1E1E1" w:themeColor="accent3" w:themeTint="BF"/>
        <w:left w:val="single" w:sz="8" w:space="0" w:color="E1E1E1" w:themeColor="accent3" w:themeTint="BF"/>
        <w:bottom w:val="single" w:sz="8" w:space="0" w:color="E1E1E1" w:themeColor="accent3" w:themeTint="BF"/>
        <w:right w:val="single" w:sz="8" w:space="0" w:color="E1E1E1" w:themeColor="accent3" w:themeTint="BF"/>
        <w:insideH w:val="single" w:sz="8" w:space="0" w:color="E1E1E1" w:themeColor="accent3" w:themeTint="BF"/>
        <w:insideV w:val="single" w:sz="8" w:space="0" w:color="E1E1E1" w:themeColor="accent3" w:themeTint="BF"/>
      </w:tblBorders>
    </w:tblPr>
    <w:tcPr>
      <w:shd w:val="clear" w:color="auto" w:fill="F5F5F5" w:themeFill="accent3" w:themeFillTint="3F"/>
    </w:tcPr>
    <w:tblStylePr w:type="firstRow">
      <w:rPr>
        <w:b/>
        <w:bCs/>
      </w:rPr>
    </w:tblStylePr>
    <w:tblStylePr w:type="lastRow">
      <w:rPr>
        <w:b/>
        <w:bCs/>
      </w:rPr>
      <w:tblPr/>
      <w:tcPr>
        <w:tcBorders>
          <w:top w:val="single" w:sz="18" w:space="0" w:color="E1E1E1" w:themeColor="accent3" w:themeTint="BF"/>
        </w:tcBorders>
      </w:tcPr>
    </w:tblStylePr>
    <w:tblStylePr w:type="firstCol">
      <w:rPr>
        <w:b/>
        <w:bCs/>
      </w:rPr>
    </w:tblStylePr>
    <w:tblStylePr w:type="lastCol">
      <w:rPr>
        <w:b/>
        <w:bCs/>
      </w:rPr>
    </w:tblStylePr>
    <w:tblStylePr w:type="band1Vert">
      <w:tblPr/>
      <w:tcPr>
        <w:shd w:val="clear" w:color="auto" w:fill="EBEBEB" w:themeFill="accent3" w:themeFillTint="7F"/>
      </w:tcPr>
    </w:tblStylePr>
    <w:tblStylePr w:type="band1Horz">
      <w:tblPr/>
      <w:tcPr>
        <w:shd w:val="clear" w:color="auto" w:fill="EBEBEB" w:themeFill="accent3" w:themeFillTint="7F"/>
      </w:tcPr>
    </w:tblStylePr>
  </w:style>
  <w:style w:type="table" w:styleId="MediumGrid1-Accent4">
    <w:name w:val="Medium Grid 1 Accent 4"/>
    <w:basedOn w:val="TableNormal"/>
    <w:uiPriority w:val="67"/>
    <w:semiHidden/>
    <w:unhideWhenUsed/>
    <w:rsid w:val="0051234A"/>
    <w:tblPr>
      <w:tblStyleRowBandSize w:val="1"/>
      <w:tblStyleColBandSize w:val="1"/>
      <w:tblBorders>
        <w:top w:val="single" w:sz="8" w:space="0" w:color="A9C5E9" w:themeColor="accent4" w:themeTint="BF"/>
        <w:left w:val="single" w:sz="8" w:space="0" w:color="A9C5E9" w:themeColor="accent4" w:themeTint="BF"/>
        <w:bottom w:val="single" w:sz="8" w:space="0" w:color="A9C5E9" w:themeColor="accent4" w:themeTint="BF"/>
        <w:right w:val="single" w:sz="8" w:space="0" w:color="A9C5E9" w:themeColor="accent4" w:themeTint="BF"/>
        <w:insideH w:val="single" w:sz="8" w:space="0" w:color="A9C5E9" w:themeColor="accent4" w:themeTint="BF"/>
        <w:insideV w:val="single" w:sz="8" w:space="0" w:color="A9C5E9" w:themeColor="accent4" w:themeTint="BF"/>
      </w:tblBorders>
    </w:tblPr>
    <w:tcPr>
      <w:shd w:val="clear" w:color="auto" w:fill="E2ECF7" w:themeFill="accent4" w:themeFillTint="3F"/>
    </w:tcPr>
    <w:tblStylePr w:type="firstRow">
      <w:rPr>
        <w:b/>
        <w:bCs/>
      </w:rPr>
    </w:tblStylePr>
    <w:tblStylePr w:type="lastRow">
      <w:rPr>
        <w:b/>
        <w:bCs/>
      </w:rPr>
      <w:tblPr/>
      <w:tcPr>
        <w:tcBorders>
          <w:top w:val="single" w:sz="18" w:space="0" w:color="A9C5E9" w:themeColor="accent4" w:themeTint="BF"/>
        </w:tcBorders>
      </w:tcPr>
    </w:tblStylePr>
    <w:tblStylePr w:type="firstCol">
      <w:rPr>
        <w:b/>
        <w:bCs/>
      </w:rPr>
    </w:tblStylePr>
    <w:tblStylePr w:type="lastCol">
      <w:rPr>
        <w:b/>
        <w:bCs/>
      </w:rPr>
    </w:tblStylePr>
    <w:tblStylePr w:type="band1Vert">
      <w:tblPr/>
      <w:tcPr>
        <w:shd w:val="clear" w:color="auto" w:fill="C6D9F0" w:themeFill="accent4" w:themeFillTint="7F"/>
      </w:tcPr>
    </w:tblStylePr>
    <w:tblStylePr w:type="band1Horz">
      <w:tblPr/>
      <w:tcPr>
        <w:shd w:val="clear" w:color="auto" w:fill="C6D9F0" w:themeFill="accent4" w:themeFillTint="7F"/>
      </w:tcPr>
    </w:tblStylePr>
  </w:style>
  <w:style w:type="table" w:styleId="MediumGrid1-Accent5">
    <w:name w:val="Medium Grid 1 Accent 5"/>
    <w:basedOn w:val="TableNormal"/>
    <w:uiPriority w:val="67"/>
    <w:semiHidden/>
    <w:unhideWhenUsed/>
    <w:rsid w:val="0051234A"/>
    <w:tblPr>
      <w:tblStyleRowBandSize w:val="1"/>
      <w:tblStyleColBandSize w:val="1"/>
      <w:tblBorders>
        <w:top w:val="single" w:sz="8" w:space="0" w:color="F2F0E8" w:themeColor="accent5" w:themeTint="BF"/>
        <w:left w:val="single" w:sz="8" w:space="0" w:color="F2F0E8" w:themeColor="accent5" w:themeTint="BF"/>
        <w:bottom w:val="single" w:sz="8" w:space="0" w:color="F2F0E8" w:themeColor="accent5" w:themeTint="BF"/>
        <w:right w:val="single" w:sz="8" w:space="0" w:color="F2F0E8" w:themeColor="accent5" w:themeTint="BF"/>
        <w:insideH w:val="single" w:sz="8" w:space="0" w:color="F2F0E8" w:themeColor="accent5" w:themeTint="BF"/>
        <w:insideV w:val="single" w:sz="8" w:space="0" w:color="F2F0E8" w:themeColor="accent5" w:themeTint="BF"/>
      </w:tblBorders>
    </w:tblPr>
    <w:tcPr>
      <w:shd w:val="clear" w:color="auto" w:fill="FAFAF7" w:themeFill="accent5" w:themeFillTint="3F"/>
    </w:tcPr>
    <w:tblStylePr w:type="firstRow">
      <w:rPr>
        <w:b/>
        <w:bCs/>
      </w:rPr>
    </w:tblStylePr>
    <w:tblStylePr w:type="lastRow">
      <w:rPr>
        <w:b/>
        <w:bCs/>
      </w:rPr>
      <w:tblPr/>
      <w:tcPr>
        <w:tcBorders>
          <w:top w:val="single" w:sz="18" w:space="0" w:color="F2F0E8" w:themeColor="accent5" w:themeTint="BF"/>
        </w:tcBorders>
      </w:tcPr>
    </w:tblStylePr>
    <w:tblStylePr w:type="firstCol">
      <w:rPr>
        <w:b/>
        <w:bCs/>
      </w:rPr>
    </w:tblStylePr>
    <w:tblStylePr w:type="lastCol">
      <w:rPr>
        <w:b/>
        <w:bCs/>
      </w:rPr>
    </w:tblStylePr>
    <w:tblStylePr w:type="band1Vert">
      <w:tblPr/>
      <w:tcPr>
        <w:shd w:val="clear" w:color="auto" w:fill="F6F5EF" w:themeFill="accent5" w:themeFillTint="7F"/>
      </w:tcPr>
    </w:tblStylePr>
    <w:tblStylePr w:type="band1Horz">
      <w:tblPr/>
      <w:tcPr>
        <w:shd w:val="clear" w:color="auto" w:fill="F6F5EF" w:themeFill="accent5" w:themeFillTint="7F"/>
      </w:tcPr>
    </w:tblStylePr>
  </w:style>
  <w:style w:type="table" w:styleId="MediumGrid1-Accent6">
    <w:name w:val="Medium Grid 1 Accent 6"/>
    <w:basedOn w:val="TableNormal"/>
    <w:uiPriority w:val="67"/>
    <w:semiHidden/>
    <w:unhideWhenUsed/>
    <w:rsid w:val="0051234A"/>
    <w:tblPr>
      <w:tblStyleRowBandSize w:val="1"/>
      <w:tblStyleColBandSize w:val="1"/>
      <w:tblBorders>
        <w:top w:val="single" w:sz="8" w:space="0" w:color="F49344" w:themeColor="accent6" w:themeTint="BF"/>
        <w:left w:val="single" w:sz="8" w:space="0" w:color="F49344" w:themeColor="accent6" w:themeTint="BF"/>
        <w:bottom w:val="single" w:sz="8" w:space="0" w:color="F49344" w:themeColor="accent6" w:themeTint="BF"/>
        <w:right w:val="single" w:sz="8" w:space="0" w:color="F49344" w:themeColor="accent6" w:themeTint="BF"/>
        <w:insideH w:val="single" w:sz="8" w:space="0" w:color="F49344" w:themeColor="accent6" w:themeTint="BF"/>
        <w:insideV w:val="single" w:sz="8" w:space="0" w:color="F49344" w:themeColor="accent6" w:themeTint="BF"/>
      </w:tblBorders>
    </w:tblPr>
    <w:tcPr>
      <w:shd w:val="clear" w:color="auto" w:fill="FBDBC1" w:themeFill="accent6" w:themeFillTint="3F"/>
    </w:tcPr>
    <w:tblStylePr w:type="firstRow">
      <w:rPr>
        <w:b/>
        <w:bCs/>
      </w:rPr>
    </w:tblStylePr>
    <w:tblStylePr w:type="lastRow">
      <w:rPr>
        <w:b/>
        <w:bCs/>
      </w:rPr>
      <w:tblPr/>
      <w:tcPr>
        <w:tcBorders>
          <w:top w:val="single" w:sz="18" w:space="0" w:color="F49344" w:themeColor="accent6" w:themeTint="BF"/>
        </w:tcBorders>
      </w:tcPr>
    </w:tblStylePr>
    <w:tblStylePr w:type="firstCol">
      <w:rPr>
        <w:b/>
        <w:bCs/>
      </w:rPr>
    </w:tblStylePr>
    <w:tblStylePr w:type="lastCol">
      <w:rPr>
        <w:b/>
        <w:bCs/>
      </w:rPr>
    </w:tblStylePr>
    <w:tblStylePr w:type="band1Vert">
      <w:tblPr/>
      <w:tcPr>
        <w:shd w:val="clear" w:color="auto" w:fill="F8B782" w:themeFill="accent6" w:themeFillTint="7F"/>
      </w:tcPr>
    </w:tblStylePr>
    <w:tblStylePr w:type="band1Horz">
      <w:tblPr/>
      <w:tcPr>
        <w:shd w:val="clear" w:color="auto" w:fill="F8B782" w:themeFill="accent6" w:themeFillTint="7F"/>
      </w:tcPr>
    </w:tblStylePr>
  </w:style>
  <w:style w:type="table" w:styleId="MediumGrid2">
    <w:name w:val="Medium Grid 2"/>
    <w:basedOn w:val="TableNormal"/>
    <w:uiPriority w:val="99"/>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870F7F" w:themeColor="accent1"/>
        <w:left w:val="single" w:sz="8" w:space="0" w:color="870F7F" w:themeColor="accent1"/>
        <w:bottom w:val="single" w:sz="8" w:space="0" w:color="870F7F" w:themeColor="accent1"/>
        <w:right w:val="single" w:sz="8" w:space="0" w:color="870F7F" w:themeColor="accent1"/>
        <w:insideH w:val="single" w:sz="8" w:space="0" w:color="870F7F" w:themeColor="accent1"/>
        <w:insideV w:val="single" w:sz="8" w:space="0" w:color="870F7F" w:themeColor="accent1"/>
      </w:tblBorders>
    </w:tblPr>
    <w:tcPr>
      <w:shd w:val="clear" w:color="auto" w:fill="F6AEF1" w:themeFill="accent1" w:themeFillTint="3F"/>
    </w:tcPr>
    <w:tblStylePr w:type="firstRow">
      <w:rPr>
        <w:b/>
        <w:bCs/>
        <w:color w:val="000000" w:themeColor="text1"/>
      </w:rPr>
      <w:tblPr/>
      <w:tcPr>
        <w:shd w:val="clear" w:color="auto" w:fill="FBD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BEF3" w:themeFill="accent1" w:themeFillTint="33"/>
      </w:tcPr>
    </w:tblStylePr>
    <w:tblStylePr w:type="band1Vert">
      <w:tblPr/>
      <w:tcPr>
        <w:shd w:val="clear" w:color="auto" w:fill="ED5DE3" w:themeFill="accent1" w:themeFillTint="7F"/>
      </w:tcPr>
    </w:tblStylePr>
    <w:tblStylePr w:type="band1Horz">
      <w:tblPr/>
      <w:tcPr>
        <w:tcBorders>
          <w:insideH w:val="single" w:sz="6" w:space="0" w:color="870F7F" w:themeColor="accent1"/>
          <w:insideV w:val="single" w:sz="6" w:space="0" w:color="870F7F" w:themeColor="accent1"/>
        </w:tcBorders>
        <w:shd w:val="clear" w:color="auto" w:fill="ED5D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4BACC6" w:themeColor="accent2"/>
        <w:left w:val="single" w:sz="8" w:space="0" w:color="4BACC6" w:themeColor="accent2"/>
        <w:bottom w:val="single" w:sz="8" w:space="0" w:color="4BACC6" w:themeColor="accent2"/>
        <w:right w:val="single" w:sz="8" w:space="0" w:color="4BACC6" w:themeColor="accent2"/>
        <w:insideH w:val="single" w:sz="8" w:space="0" w:color="4BACC6" w:themeColor="accent2"/>
        <w:insideV w:val="single" w:sz="8" w:space="0" w:color="4BACC6" w:themeColor="accent2"/>
      </w:tblBorders>
    </w:tblPr>
    <w:tcPr>
      <w:shd w:val="clear" w:color="auto" w:fill="D2EAF1" w:themeFill="accent2" w:themeFillTint="3F"/>
    </w:tcPr>
    <w:tblStylePr w:type="firstRow">
      <w:rPr>
        <w:b/>
        <w:bCs/>
        <w:color w:val="000000" w:themeColor="text1"/>
      </w:rPr>
      <w:tblPr/>
      <w:tcPr>
        <w:shd w:val="clear" w:color="auto" w:fill="EDF6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2" w:themeFillTint="33"/>
      </w:tcPr>
    </w:tblStylePr>
    <w:tblStylePr w:type="band1Vert">
      <w:tblPr/>
      <w:tcPr>
        <w:shd w:val="clear" w:color="auto" w:fill="A5D5E2" w:themeFill="accent2" w:themeFillTint="7F"/>
      </w:tcPr>
    </w:tblStylePr>
    <w:tblStylePr w:type="band1Horz">
      <w:tblPr/>
      <w:tcPr>
        <w:tcBorders>
          <w:insideH w:val="single" w:sz="6" w:space="0" w:color="4BACC6" w:themeColor="accent2"/>
          <w:insideV w:val="single" w:sz="6" w:space="0" w:color="4BACC6" w:themeColor="accent2"/>
        </w:tcBorders>
        <w:shd w:val="clear" w:color="auto" w:fill="A5D5E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D8D8D8" w:themeColor="accent3"/>
        <w:left w:val="single" w:sz="8" w:space="0" w:color="D8D8D8" w:themeColor="accent3"/>
        <w:bottom w:val="single" w:sz="8" w:space="0" w:color="D8D8D8" w:themeColor="accent3"/>
        <w:right w:val="single" w:sz="8" w:space="0" w:color="D8D8D8" w:themeColor="accent3"/>
        <w:insideH w:val="single" w:sz="8" w:space="0" w:color="D8D8D8" w:themeColor="accent3"/>
        <w:insideV w:val="single" w:sz="8" w:space="0" w:color="D8D8D8" w:themeColor="accent3"/>
      </w:tblBorders>
    </w:tblPr>
    <w:tcPr>
      <w:shd w:val="clear" w:color="auto" w:fill="F5F5F5" w:themeFill="accent3" w:themeFillTint="3F"/>
    </w:tcPr>
    <w:tblStylePr w:type="firstRow">
      <w:rPr>
        <w:b/>
        <w:bCs/>
        <w:color w:val="000000" w:themeColor="text1"/>
      </w:rPr>
      <w:tblPr/>
      <w:tcPr>
        <w:shd w:val="clear" w:color="auto" w:fill="FBFB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3" w:themeFillTint="33"/>
      </w:tcPr>
    </w:tblStylePr>
    <w:tblStylePr w:type="band1Vert">
      <w:tblPr/>
      <w:tcPr>
        <w:shd w:val="clear" w:color="auto" w:fill="EBEBEB" w:themeFill="accent3" w:themeFillTint="7F"/>
      </w:tcPr>
    </w:tblStylePr>
    <w:tblStylePr w:type="band1Horz">
      <w:tblPr/>
      <w:tcPr>
        <w:tcBorders>
          <w:insideH w:val="single" w:sz="6" w:space="0" w:color="D8D8D8" w:themeColor="accent3"/>
          <w:insideV w:val="single" w:sz="6" w:space="0" w:color="D8D8D8" w:themeColor="accent3"/>
        </w:tcBorders>
        <w:shd w:val="clear" w:color="auto" w:fill="EBEB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8DB3E2" w:themeColor="accent4"/>
        <w:left w:val="single" w:sz="8" w:space="0" w:color="8DB3E2" w:themeColor="accent4"/>
        <w:bottom w:val="single" w:sz="8" w:space="0" w:color="8DB3E2" w:themeColor="accent4"/>
        <w:right w:val="single" w:sz="8" w:space="0" w:color="8DB3E2" w:themeColor="accent4"/>
        <w:insideH w:val="single" w:sz="8" w:space="0" w:color="8DB3E2" w:themeColor="accent4"/>
        <w:insideV w:val="single" w:sz="8" w:space="0" w:color="8DB3E2" w:themeColor="accent4"/>
      </w:tblBorders>
    </w:tblPr>
    <w:tcPr>
      <w:shd w:val="clear" w:color="auto" w:fill="E2ECF7" w:themeFill="accent4" w:themeFillTint="3F"/>
    </w:tcPr>
    <w:tblStylePr w:type="firstRow">
      <w:rPr>
        <w:b/>
        <w:bCs/>
        <w:color w:val="000000" w:themeColor="text1"/>
      </w:rPr>
      <w:tblPr/>
      <w:tcPr>
        <w:shd w:val="clear" w:color="auto" w:fill="F3F7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FF9" w:themeFill="accent4" w:themeFillTint="33"/>
      </w:tcPr>
    </w:tblStylePr>
    <w:tblStylePr w:type="band1Vert">
      <w:tblPr/>
      <w:tcPr>
        <w:shd w:val="clear" w:color="auto" w:fill="C6D9F0" w:themeFill="accent4" w:themeFillTint="7F"/>
      </w:tcPr>
    </w:tblStylePr>
    <w:tblStylePr w:type="band1Horz">
      <w:tblPr/>
      <w:tcPr>
        <w:tcBorders>
          <w:insideH w:val="single" w:sz="6" w:space="0" w:color="8DB3E2" w:themeColor="accent4"/>
          <w:insideV w:val="single" w:sz="6" w:space="0" w:color="8DB3E2" w:themeColor="accent4"/>
        </w:tcBorders>
        <w:shd w:val="clear" w:color="auto" w:fill="C6D9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EEECE1" w:themeColor="accent5"/>
        <w:left w:val="single" w:sz="8" w:space="0" w:color="EEECE1" w:themeColor="accent5"/>
        <w:bottom w:val="single" w:sz="8" w:space="0" w:color="EEECE1" w:themeColor="accent5"/>
        <w:right w:val="single" w:sz="8" w:space="0" w:color="EEECE1" w:themeColor="accent5"/>
        <w:insideH w:val="single" w:sz="8" w:space="0" w:color="EEECE1" w:themeColor="accent5"/>
        <w:insideV w:val="single" w:sz="8" w:space="0" w:color="EEECE1" w:themeColor="accent5"/>
      </w:tblBorders>
    </w:tblPr>
    <w:tcPr>
      <w:shd w:val="clear" w:color="auto" w:fill="FAFAF7" w:themeFill="accent5" w:themeFillTint="3F"/>
    </w:tcPr>
    <w:tblStylePr w:type="firstRow">
      <w:rPr>
        <w:b/>
        <w:bCs/>
        <w:color w:val="000000" w:themeColor="text1"/>
      </w:rPr>
      <w:tblPr/>
      <w:tcPr>
        <w:shd w:val="clear" w:color="auto" w:fill="FDFD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BF8" w:themeFill="accent5" w:themeFillTint="33"/>
      </w:tcPr>
    </w:tblStylePr>
    <w:tblStylePr w:type="band1Vert">
      <w:tblPr/>
      <w:tcPr>
        <w:shd w:val="clear" w:color="auto" w:fill="F6F5EF" w:themeFill="accent5" w:themeFillTint="7F"/>
      </w:tcPr>
    </w:tblStylePr>
    <w:tblStylePr w:type="band1Horz">
      <w:tblPr/>
      <w:tcPr>
        <w:tcBorders>
          <w:insideH w:val="single" w:sz="6" w:space="0" w:color="EEECE1" w:themeColor="accent5"/>
          <w:insideV w:val="single" w:sz="6" w:space="0" w:color="EEECE1" w:themeColor="accent5"/>
        </w:tcBorders>
        <w:shd w:val="clear" w:color="auto" w:fill="F6F5E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EA700D" w:themeColor="accent6"/>
        <w:left w:val="single" w:sz="8" w:space="0" w:color="EA700D" w:themeColor="accent6"/>
        <w:bottom w:val="single" w:sz="8" w:space="0" w:color="EA700D" w:themeColor="accent6"/>
        <w:right w:val="single" w:sz="8" w:space="0" w:color="EA700D" w:themeColor="accent6"/>
        <w:insideH w:val="single" w:sz="8" w:space="0" w:color="EA700D" w:themeColor="accent6"/>
        <w:insideV w:val="single" w:sz="8" w:space="0" w:color="EA700D" w:themeColor="accent6"/>
      </w:tblBorders>
    </w:tblPr>
    <w:tcPr>
      <w:shd w:val="clear" w:color="auto" w:fill="FBDBC1" w:themeFill="accent6" w:themeFillTint="3F"/>
    </w:tcPr>
    <w:tblStylePr w:type="firstRow">
      <w:rPr>
        <w:b/>
        <w:bCs/>
        <w:color w:val="000000" w:themeColor="text1"/>
      </w:rPr>
      <w:tblPr/>
      <w:tcPr>
        <w:shd w:val="clear" w:color="auto" w:fill="FDF0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2CD" w:themeFill="accent6" w:themeFillTint="33"/>
      </w:tcPr>
    </w:tblStylePr>
    <w:tblStylePr w:type="band1Vert">
      <w:tblPr/>
      <w:tcPr>
        <w:shd w:val="clear" w:color="auto" w:fill="F8B782" w:themeFill="accent6" w:themeFillTint="7F"/>
      </w:tcPr>
    </w:tblStylePr>
    <w:tblStylePr w:type="band1Horz">
      <w:tblPr/>
      <w:tcPr>
        <w:tcBorders>
          <w:insideH w:val="single" w:sz="6" w:space="0" w:color="EA700D" w:themeColor="accent6"/>
          <w:insideV w:val="single" w:sz="6" w:space="0" w:color="EA700D" w:themeColor="accent6"/>
        </w:tcBorders>
        <w:shd w:val="clear" w:color="auto" w:fill="F8B78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512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12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AE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70F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70F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70F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70F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5D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5DE3" w:themeFill="accent1" w:themeFillTint="7F"/>
      </w:tcPr>
    </w:tblStylePr>
  </w:style>
  <w:style w:type="table" w:styleId="MediumGrid3-Accent2">
    <w:name w:val="Medium Grid 3 Accent 2"/>
    <w:basedOn w:val="TableNormal"/>
    <w:uiPriority w:val="69"/>
    <w:semiHidden/>
    <w:unhideWhenUsed/>
    <w:rsid w:val="00512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styleId="MediumGrid3-Accent3">
    <w:name w:val="Medium Grid 3 Accent 3"/>
    <w:basedOn w:val="TableNormal"/>
    <w:uiPriority w:val="69"/>
    <w:semiHidden/>
    <w:unhideWhenUsed/>
    <w:rsid w:val="00512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D8D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D8D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D8D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D8D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B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BEB" w:themeFill="accent3" w:themeFillTint="7F"/>
      </w:tcPr>
    </w:tblStylePr>
  </w:style>
  <w:style w:type="table" w:styleId="MediumGrid3-Accent4">
    <w:name w:val="Medium Grid 3 Accent 4"/>
    <w:basedOn w:val="TableNormal"/>
    <w:uiPriority w:val="69"/>
    <w:semiHidden/>
    <w:unhideWhenUsed/>
    <w:rsid w:val="00512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C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B3E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B3E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B3E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B3E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9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9F0" w:themeFill="accent4" w:themeFillTint="7F"/>
      </w:tcPr>
    </w:tblStylePr>
  </w:style>
  <w:style w:type="table" w:styleId="MediumGrid3-Accent5">
    <w:name w:val="Medium Grid 3 Accent 5"/>
    <w:basedOn w:val="TableNormal"/>
    <w:uiPriority w:val="69"/>
    <w:semiHidden/>
    <w:unhideWhenUsed/>
    <w:rsid w:val="00512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A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EC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EC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EC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EC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5E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5EF" w:themeFill="accent5" w:themeFillTint="7F"/>
      </w:tcPr>
    </w:tblStylePr>
  </w:style>
  <w:style w:type="table" w:styleId="MediumGrid3-Accent6">
    <w:name w:val="Medium Grid 3 Accent 6"/>
    <w:basedOn w:val="TableNormal"/>
    <w:uiPriority w:val="69"/>
    <w:semiHidden/>
    <w:unhideWhenUsed/>
    <w:rsid w:val="005123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BC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00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00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00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00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78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782" w:themeFill="accent6" w:themeFillTint="7F"/>
      </w:tcPr>
    </w:tblStylePr>
  </w:style>
  <w:style w:type="table" w:styleId="MediumList1">
    <w:name w:val="Medium List 1"/>
    <w:basedOn w:val="TableNormal"/>
    <w:uiPriority w:val="99"/>
    <w:semiHidden/>
    <w:unhideWhenUsed/>
    <w:rsid w:val="0051234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FB2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51234A"/>
    <w:rPr>
      <w:color w:val="000000" w:themeColor="text1"/>
    </w:rPr>
    <w:tblPr>
      <w:tblStyleRowBandSize w:val="1"/>
      <w:tblStyleColBandSize w:val="1"/>
      <w:tblBorders>
        <w:top w:val="single" w:sz="8" w:space="0" w:color="870F7F" w:themeColor="accent1"/>
        <w:bottom w:val="single" w:sz="8" w:space="0" w:color="870F7F" w:themeColor="accent1"/>
      </w:tblBorders>
    </w:tblPr>
    <w:tblStylePr w:type="firstRow">
      <w:rPr>
        <w:rFonts w:asciiTheme="majorHAnsi" w:eastAsiaTheme="majorEastAsia" w:hAnsiTheme="majorHAnsi" w:cstheme="majorBidi"/>
      </w:rPr>
      <w:tblPr/>
      <w:tcPr>
        <w:tcBorders>
          <w:top w:val="nil"/>
          <w:bottom w:val="single" w:sz="8" w:space="0" w:color="870F7F" w:themeColor="accent1"/>
        </w:tcBorders>
      </w:tcPr>
    </w:tblStylePr>
    <w:tblStylePr w:type="lastRow">
      <w:rPr>
        <w:b/>
        <w:bCs/>
        <w:color w:val="FFB200" w:themeColor="text2"/>
      </w:rPr>
      <w:tblPr/>
      <w:tcPr>
        <w:tcBorders>
          <w:top w:val="single" w:sz="8" w:space="0" w:color="870F7F" w:themeColor="accent1"/>
          <w:bottom w:val="single" w:sz="8" w:space="0" w:color="870F7F" w:themeColor="accent1"/>
        </w:tcBorders>
      </w:tcPr>
    </w:tblStylePr>
    <w:tblStylePr w:type="firstCol">
      <w:rPr>
        <w:b/>
        <w:bCs/>
      </w:rPr>
    </w:tblStylePr>
    <w:tblStylePr w:type="lastCol">
      <w:rPr>
        <w:b/>
        <w:bCs/>
      </w:rPr>
      <w:tblPr/>
      <w:tcPr>
        <w:tcBorders>
          <w:top w:val="single" w:sz="8" w:space="0" w:color="870F7F" w:themeColor="accent1"/>
          <w:bottom w:val="single" w:sz="8" w:space="0" w:color="870F7F" w:themeColor="accent1"/>
        </w:tcBorders>
      </w:tcPr>
    </w:tblStylePr>
    <w:tblStylePr w:type="band1Vert">
      <w:tblPr/>
      <w:tcPr>
        <w:shd w:val="clear" w:color="auto" w:fill="F6AEF1" w:themeFill="accent1" w:themeFillTint="3F"/>
      </w:tcPr>
    </w:tblStylePr>
    <w:tblStylePr w:type="band1Horz">
      <w:tblPr/>
      <w:tcPr>
        <w:shd w:val="clear" w:color="auto" w:fill="F6AEF1" w:themeFill="accent1" w:themeFillTint="3F"/>
      </w:tcPr>
    </w:tblStylePr>
  </w:style>
  <w:style w:type="table" w:styleId="MediumList1-Accent2">
    <w:name w:val="Medium List 1 Accent 2"/>
    <w:basedOn w:val="TableNormal"/>
    <w:uiPriority w:val="65"/>
    <w:semiHidden/>
    <w:unhideWhenUsed/>
    <w:rsid w:val="0051234A"/>
    <w:rPr>
      <w:color w:val="000000" w:themeColor="text1"/>
    </w:rPr>
    <w:tblPr>
      <w:tblStyleRowBandSize w:val="1"/>
      <w:tblStyleColBandSize w:val="1"/>
      <w:tblBorders>
        <w:top w:val="single" w:sz="8" w:space="0" w:color="4BACC6" w:themeColor="accent2"/>
        <w:bottom w:val="single" w:sz="8" w:space="0" w:color="4BACC6" w:themeColor="accent2"/>
      </w:tblBorders>
    </w:tblPr>
    <w:tblStylePr w:type="firstRow">
      <w:rPr>
        <w:rFonts w:asciiTheme="majorHAnsi" w:eastAsiaTheme="majorEastAsia" w:hAnsiTheme="majorHAnsi" w:cstheme="majorBidi"/>
      </w:rPr>
      <w:tblPr/>
      <w:tcPr>
        <w:tcBorders>
          <w:top w:val="nil"/>
          <w:bottom w:val="single" w:sz="8" w:space="0" w:color="4BACC6" w:themeColor="accent2"/>
        </w:tcBorders>
      </w:tcPr>
    </w:tblStylePr>
    <w:tblStylePr w:type="lastRow">
      <w:rPr>
        <w:b/>
        <w:bCs/>
        <w:color w:val="FFB200" w:themeColor="text2"/>
      </w:rPr>
      <w:tblPr/>
      <w:tcPr>
        <w:tcBorders>
          <w:top w:val="single" w:sz="8" w:space="0" w:color="4BACC6" w:themeColor="accent2"/>
          <w:bottom w:val="single" w:sz="8" w:space="0" w:color="4BACC6" w:themeColor="accent2"/>
        </w:tcBorders>
      </w:tcPr>
    </w:tblStylePr>
    <w:tblStylePr w:type="firstCol">
      <w:rPr>
        <w:b/>
        <w:bCs/>
      </w:rPr>
    </w:tblStylePr>
    <w:tblStylePr w:type="lastCol">
      <w:rPr>
        <w:b/>
        <w:bCs/>
      </w:rPr>
      <w:tblPr/>
      <w:tcPr>
        <w:tcBorders>
          <w:top w:val="single" w:sz="8" w:space="0" w:color="4BACC6" w:themeColor="accent2"/>
          <w:bottom w:val="single" w:sz="8" w:space="0" w:color="4BACC6" w:themeColor="accent2"/>
        </w:tcBorders>
      </w:tcPr>
    </w:tblStylePr>
    <w:tblStylePr w:type="band1Vert">
      <w:tblPr/>
      <w:tcPr>
        <w:shd w:val="clear" w:color="auto" w:fill="D2EAF1" w:themeFill="accent2" w:themeFillTint="3F"/>
      </w:tcPr>
    </w:tblStylePr>
    <w:tblStylePr w:type="band1Horz">
      <w:tblPr/>
      <w:tcPr>
        <w:shd w:val="clear" w:color="auto" w:fill="D2EAF1" w:themeFill="accent2" w:themeFillTint="3F"/>
      </w:tcPr>
    </w:tblStylePr>
  </w:style>
  <w:style w:type="table" w:styleId="MediumList1-Accent3">
    <w:name w:val="Medium List 1 Accent 3"/>
    <w:basedOn w:val="TableNormal"/>
    <w:uiPriority w:val="65"/>
    <w:semiHidden/>
    <w:unhideWhenUsed/>
    <w:rsid w:val="0051234A"/>
    <w:rPr>
      <w:color w:val="000000" w:themeColor="text1"/>
    </w:rPr>
    <w:tblPr>
      <w:tblStyleRowBandSize w:val="1"/>
      <w:tblStyleColBandSize w:val="1"/>
      <w:tblBorders>
        <w:top w:val="single" w:sz="8" w:space="0" w:color="D8D8D8" w:themeColor="accent3"/>
        <w:bottom w:val="single" w:sz="8" w:space="0" w:color="D8D8D8" w:themeColor="accent3"/>
      </w:tblBorders>
    </w:tblPr>
    <w:tblStylePr w:type="firstRow">
      <w:rPr>
        <w:rFonts w:asciiTheme="majorHAnsi" w:eastAsiaTheme="majorEastAsia" w:hAnsiTheme="majorHAnsi" w:cstheme="majorBidi"/>
      </w:rPr>
      <w:tblPr/>
      <w:tcPr>
        <w:tcBorders>
          <w:top w:val="nil"/>
          <w:bottom w:val="single" w:sz="8" w:space="0" w:color="D8D8D8" w:themeColor="accent3"/>
        </w:tcBorders>
      </w:tcPr>
    </w:tblStylePr>
    <w:tblStylePr w:type="lastRow">
      <w:rPr>
        <w:b/>
        <w:bCs/>
        <w:color w:val="FFB200" w:themeColor="text2"/>
      </w:rPr>
      <w:tblPr/>
      <w:tcPr>
        <w:tcBorders>
          <w:top w:val="single" w:sz="8" w:space="0" w:color="D8D8D8" w:themeColor="accent3"/>
          <w:bottom w:val="single" w:sz="8" w:space="0" w:color="D8D8D8" w:themeColor="accent3"/>
        </w:tcBorders>
      </w:tcPr>
    </w:tblStylePr>
    <w:tblStylePr w:type="firstCol">
      <w:rPr>
        <w:b/>
        <w:bCs/>
      </w:rPr>
    </w:tblStylePr>
    <w:tblStylePr w:type="lastCol">
      <w:rPr>
        <w:b/>
        <w:bCs/>
      </w:rPr>
      <w:tblPr/>
      <w:tcPr>
        <w:tcBorders>
          <w:top w:val="single" w:sz="8" w:space="0" w:color="D8D8D8" w:themeColor="accent3"/>
          <w:bottom w:val="single" w:sz="8" w:space="0" w:color="D8D8D8" w:themeColor="accent3"/>
        </w:tcBorders>
      </w:tcPr>
    </w:tblStylePr>
    <w:tblStylePr w:type="band1Vert">
      <w:tblPr/>
      <w:tcPr>
        <w:shd w:val="clear" w:color="auto" w:fill="F5F5F5" w:themeFill="accent3" w:themeFillTint="3F"/>
      </w:tcPr>
    </w:tblStylePr>
    <w:tblStylePr w:type="band1Horz">
      <w:tblPr/>
      <w:tcPr>
        <w:shd w:val="clear" w:color="auto" w:fill="F5F5F5" w:themeFill="accent3" w:themeFillTint="3F"/>
      </w:tcPr>
    </w:tblStylePr>
  </w:style>
  <w:style w:type="table" w:styleId="MediumList1-Accent4">
    <w:name w:val="Medium List 1 Accent 4"/>
    <w:basedOn w:val="TableNormal"/>
    <w:uiPriority w:val="65"/>
    <w:semiHidden/>
    <w:unhideWhenUsed/>
    <w:rsid w:val="0051234A"/>
    <w:rPr>
      <w:color w:val="000000" w:themeColor="text1"/>
    </w:rPr>
    <w:tblPr>
      <w:tblStyleRowBandSize w:val="1"/>
      <w:tblStyleColBandSize w:val="1"/>
      <w:tblBorders>
        <w:top w:val="single" w:sz="8" w:space="0" w:color="8DB3E2" w:themeColor="accent4"/>
        <w:bottom w:val="single" w:sz="8" w:space="0" w:color="8DB3E2" w:themeColor="accent4"/>
      </w:tblBorders>
    </w:tblPr>
    <w:tblStylePr w:type="firstRow">
      <w:rPr>
        <w:rFonts w:asciiTheme="majorHAnsi" w:eastAsiaTheme="majorEastAsia" w:hAnsiTheme="majorHAnsi" w:cstheme="majorBidi"/>
      </w:rPr>
      <w:tblPr/>
      <w:tcPr>
        <w:tcBorders>
          <w:top w:val="nil"/>
          <w:bottom w:val="single" w:sz="8" w:space="0" w:color="8DB3E2" w:themeColor="accent4"/>
        </w:tcBorders>
      </w:tcPr>
    </w:tblStylePr>
    <w:tblStylePr w:type="lastRow">
      <w:rPr>
        <w:b/>
        <w:bCs/>
        <w:color w:val="FFB200" w:themeColor="text2"/>
      </w:rPr>
      <w:tblPr/>
      <w:tcPr>
        <w:tcBorders>
          <w:top w:val="single" w:sz="8" w:space="0" w:color="8DB3E2" w:themeColor="accent4"/>
          <w:bottom w:val="single" w:sz="8" w:space="0" w:color="8DB3E2" w:themeColor="accent4"/>
        </w:tcBorders>
      </w:tcPr>
    </w:tblStylePr>
    <w:tblStylePr w:type="firstCol">
      <w:rPr>
        <w:b/>
        <w:bCs/>
      </w:rPr>
    </w:tblStylePr>
    <w:tblStylePr w:type="lastCol">
      <w:rPr>
        <w:b/>
        <w:bCs/>
      </w:rPr>
      <w:tblPr/>
      <w:tcPr>
        <w:tcBorders>
          <w:top w:val="single" w:sz="8" w:space="0" w:color="8DB3E2" w:themeColor="accent4"/>
          <w:bottom w:val="single" w:sz="8" w:space="0" w:color="8DB3E2" w:themeColor="accent4"/>
        </w:tcBorders>
      </w:tcPr>
    </w:tblStylePr>
    <w:tblStylePr w:type="band1Vert">
      <w:tblPr/>
      <w:tcPr>
        <w:shd w:val="clear" w:color="auto" w:fill="E2ECF7" w:themeFill="accent4" w:themeFillTint="3F"/>
      </w:tcPr>
    </w:tblStylePr>
    <w:tblStylePr w:type="band1Horz">
      <w:tblPr/>
      <w:tcPr>
        <w:shd w:val="clear" w:color="auto" w:fill="E2ECF7" w:themeFill="accent4" w:themeFillTint="3F"/>
      </w:tcPr>
    </w:tblStylePr>
  </w:style>
  <w:style w:type="table" w:styleId="MediumList1-Accent5">
    <w:name w:val="Medium List 1 Accent 5"/>
    <w:basedOn w:val="TableNormal"/>
    <w:uiPriority w:val="65"/>
    <w:semiHidden/>
    <w:unhideWhenUsed/>
    <w:rsid w:val="0051234A"/>
    <w:rPr>
      <w:color w:val="000000" w:themeColor="text1"/>
    </w:rPr>
    <w:tblPr>
      <w:tblStyleRowBandSize w:val="1"/>
      <w:tblStyleColBandSize w:val="1"/>
      <w:tblBorders>
        <w:top w:val="single" w:sz="8" w:space="0" w:color="EEECE1" w:themeColor="accent5"/>
        <w:bottom w:val="single" w:sz="8" w:space="0" w:color="EEECE1" w:themeColor="accent5"/>
      </w:tblBorders>
    </w:tblPr>
    <w:tblStylePr w:type="firstRow">
      <w:rPr>
        <w:rFonts w:asciiTheme="majorHAnsi" w:eastAsiaTheme="majorEastAsia" w:hAnsiTheme="majorHAnsi" w:cstheme="majorBidi"/>
      </w:rPr>
      <w:tblPr/>
      <w:tcPr>
        <w:tcBorders>
          <w:top w:val="nil"/>
          <w:bottom w:val="single" w:sz="8" w:space="0" w:color="EEECE1" w:themeColor="accent5"/>
        </w:tcBorders>
      </w:tcPr>
    </w:tblStylePr>
    <w:tblStylePr w:type="lastRow">
      <w:rPr>
        <w:b/>
        <w:bCs/>
        <w:color w:val="FFB200" w:themeColor="text2"/>
      </w:rPr>
      <w:tblPr/>
      <w:tcPr>
        <w:tcBorders>
          <w:top w:val="single" w:sz="8" w:space="0" w:color="EEECE1" w:themeColor="accent5"/>
          <w:bottom w:val="single" w:sz="8" w:space="0" w:color="EEECE1" w:themeColor="accent5"/>
        </w:tcBorders>
      </w:tcPr>
    </w:tblStylePr>
    <w:tblStylePr w:type="firstCol">
      <w:rPr>
        <w:b/>
        <w:bCs/>
      </w:rPr>
    </w:tblStylePr>
    <w:tblStylePr w:type="lastCol">
      <w:rPr>
        <w:b/>
        <w:bCs/>
      </w:rPr>
      <w:tblPr/>
      <w:tcPr>
        <w:tcBorders>
          <w:top w:val="single" w:sz="8" w:space="0" w:color="EEECE1" w:themeColor="accent5"/>
          <w:bottom w:val="single" w:sz="8" w:space="0" w:color="EEECE1" w:themeColor="accent5"/>
        </w:tcBorders>
      </w:tcPr>
    </w:tblStylePr>
    <w:tblStylePr w:type="band1Vert">
      <w:tblPr/>
      <w:tcPr>
        <w:shd w:val="clear" w:color="auto" w:fill="FAFAF7" w:themeFill="accent5" w:themeFillTint="3F"/>
      </w:tcPr>
    </w:tblStylePr>
    <w:tblStylePr w:type="band1Horz">
      <w:tblPr/>
      <w:tcPr>
        <w:shd w:val="clear" w:color="auto" w:fill="FAFAF7" w:themeFill="accent5" w:themeFillTint="3F"/>
      </w:tcPr>
    </w:tblStylePr>
  </w:style>
  <w:style w:type="table" w:styleId="MediumList1-Accent6">
    <w:name w:val="Medium List 1 Accent 6"/>
    <w:basedOn w:val="TableNormal"/>
    <w:uiPriority w:val="65"/>
    <w:semiHidden/>
    <w:unhideWhenUsed/>
    <w:rsid w:val="0051234A"/>
    <w:rPr>
      <w:color w:val="000000" w:themeColor="text1"/>
    </w:rPr>
    <w:tblPr>
      <w:tblStyleRowBandSize w:val="1"/>
      <w:tblStyleColBandSize w:val="1"/>
      <w:tblBorders>
        <w:top w:val="single" w:sz="8" w:space="0" w:color="EA700D" w:themeColor="accent6"/>
        <w:bottom w:val="single" w:sz="8" w:space="0" w:color="EA700D" w:themeColor="accent6"/>
      </w:tblBorders>
    </w:tblPr>
    <w:tblStylePr w:type="firstRow">
      <w:rPr>
        <w:rFonts w:asciiTheme="majorHAnsi" w:eastAsiaTheme="majorEastAsia" w:hAnsiTheme="majorHAnsi" w:cstheme="majorBidi"/>
      </w:rPr>
      <w:tblPr/>
      <w:tcPr>
        <w:tcBorders>
          <w:top w:val="nil"/>
          <w:bottom w:val="single" w:sz="8" w:space="0" w:color="EA700D" w:themeColor="accent6"/>
        </w:tcBorders>
      </w:tcPr>
    </w:tblStylePr>
    <w:tblStylePr w:type="lastRow">
      <w:rPr>
        <w:b/>
        <w:bCs/>
        <w:color w:val="FFB200" w:themeColor="text2"/>
      </w:rPr>
      <w:tblPr/>
      <w:tcPr>
        <w:tcBorders>
          <w:top w:val="single" w:sz="8" w:space="0" w:color="EA700D" w:themeColor="accent6"/>
          <w:bottom w:val="single" w:sz="8" w:space="0" w:color="EA700D" w:themeColor="accent6"/>
        </w:tcBorders>
      </w:tcPr>
    </w:tblStylePr>
    <w:tblStylePr w:type="firstCol">
      <w:rPr>
        <w:b/>
        <w:bCs/>
      </w:rPr>
    </w:tblStylePr>
    <w:tblStylePr w:type="lastCol">
      <w:rPr>
        <w:b/>
        <w:bCs/>
      </w:rPr>
      <w:tblPr/>
      <w:tcPr>
        <w:tcBorders>
          <w:top w:val="single" w:sz="8" w:space="0" w:color="EA700D" w:themeColor="accent6"/>
          <w:bottom w:val="single" w:sz="8" w:space="0" w:color="EA700D" w:themeColor="accent6"/>
        </w:tcBorders>
      </w:tcPr>
    </w:tblStylePr>
    <w:tblStylePr w:type="band1Vert">
      <w:tblPr/>
      <w:tcPr>
        <w:shd w:val="clear" w:color="auto" w:fill="FBDBC1" w:themeFill="accent6" w:themeFillTint="3F"/>
      </w:tcPr>
    </w:tblStylePr>
    <w:tblStylePr w:type="band1Horz">
      <w:tblPr/>
      <w:tcPr>
        <w:shd w:val="clear" w:color="auto" w:fill="FBDBC1" w:themeFill="accent6" w:themeFillTint="3F"/>
      </w:tcPr>
    </w:tblStylePr>
  </w:style>
  <w:style w:type="table" w:styleId="MediumList2">
    <w:name w:val="Medium List 2"/>
    <w:basedOn w:val="TableNormal"/>
    <w:uiPriority w:val="99"/>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870F7F" w:themeColor="accent1"/>
        <w:left w:val="single" w:sz="8" w:space="0" w:color="870F7F" w:themeColor="accent1"/>
        <w:bottom w:val="single" w:sz="8" w:space="0" w:color="870F7F" w:themeColor="accent1"/>
        <w:right w:val="single" w:sz="8" w:space="0" w:color="870F7F" w:themeColor="accent1"/>
      </w:tblBorders>
    </w:tblPr>
    <w:tblStylePr w:type="firstRow">
      <w:rPr>
        <w:sz w:val="24"/>
        <w:szCs w:val="24"/>
      </w:rPr>
      <w:tblPr/>
      <w:tcPr>
        <w:tcBorders>
          <w:top w:val="nil"/>
          <w:left w:val="nil"/>
          <w:bottom w:val="single" w:sz="24" w:space="0" w:color="870F7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70F7F" w:themeColor="accent1"/>
          <w:insideH w:val="nil"/>
          <w:insideV w:val="nil"/>
        </w:tcBorders>
        <w:shd w:val="clear" w:color="auto" w:fill="FFFFFF" w:themeFill="background1"/>
      </w:tcPr>
    </w:tblStylePr>
    <w:tblStylePr w:type="lastCol">
      <w:tblPr/>
      <w:tcPr>
        <w:tcBorders>
          <w:top w:val="nil"/>
          <w:left w:val="single" w:sz="8" w:space="0" w:color="870F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AEF1" w:themeFill="accent1" w:themeFillTint="3F"/>
      </w:tcPr>
    </w:tblStylePr>
    <w:tblStylePr w:type="band1Horz">
      <w:tblPr/>
      <w:tcPr>
        <w:tcBorders>
          <w:top w:val="nil"/>
          <w:bottom w:val="nil"/>
          <w:insideH w:val="nil"/>
          <w:insideV w:val="nil"/>
        </w:tcBorders>
        <w:shd w:val="clear" w:color="auto" w:fill="F6AE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4BACC6" w:themeColor="accent2"/>
        <w:left w:val="single" w:sz="8" w:space="0" w:color="4BACC6" w:themeColor="accent2"/>
        <w:bottom w:val="single" w:sz="8" w:space="0" w:color="4BACC6" w:themeColor="accent2"/>
        <w:right w:val="single" w:sz="8" w:space="0" w:color="4BACC6" w:themeColor="accent2"/>
      </w:tblBorders>
    </w:tblPr>
    <w:tblStylePr w:type="firstRow">
      <w:rPr>
        <w:sz w:val="24"/>
        <w:szCs w:val="24"/>
      </w:rPr>
      <w:tblPr/>
      <w:tcPr>
        <w:tcBorders>
          <w:top w:val="nil"/>
          <w:left w:val="nil"/>
          <w:bottom w:val="single" w:sz="24" w:space="0" w:color="4BACC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2"/>
          <w:insideH w:val="nil"/>
          <w:insideV w:val="nil"/>
        </w:tcBorders>
        <w:shd w:val="clear" w:color="auto" w:fill="FFFFFF" w:themeFill="background1"/>
      </w:tcPr>
    </w:tblStylePr>
    <w:tblStylePr w:type="lastCol">
      <w:tblPr/>
      <w:tcPr>
        <w:tcBorders>
          <w:top w:val="nil"/>
          <w:left w:val="single" w:sz="8" w:space="0" w:color="4BAC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2" w:themeFillTint="3F"/>
      </w:tcPr>
    </w:tblStylePr>
    <w:tblStylePr w:type="band1Horz">
      <w:tblPr/>
      <w:tcPr>
        <w:tcBorders>
          <w:top w:val="nil"/>
          <w:bottom w:val="nil"/>
          <w:insideH w:val="nil"/>
          <w:insideV w:val="nil"/>
        </w:tcBorders>
        <w:shd w:val="clear" w:color="auto" w:fill="D2EA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D8D8D8" w:themeColor="accent3"/>
        <w:left w:val="single" w:sz="8" w:space="0" w:color="D8D8D8" w:themeColor="accent3"/>
        <w:bottom w:val="single" w:sz="8" w:space="0" w:color="D8D8D8" w:themeColor="accent3"/>
        <w:right w:val="single" w:sz="8" w:space="0" w:color="D8D8D8" w:themeColor="accent3"/>
      </w:tblBorders>
    </w:tblPr>
    <w:tblStylePr w:type="firstRow">
      <w:rPr>
        <w:sz w:val="24"/>
        <w:szCs w:val="24"/>
      </w:rPr>
      <w:tblPr/>
      <w:tcPr>
        <w:tcBorders>
          <w:top w:val="nil"/>
          <w:left w:val="nil"/>
          <w:bottom w:val="single" w:sz="24" w:space="0" w:color="D8D8D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D8D8" w:themeColor="accent3"/>
          <w:insideH w:val="nil"/>
          <w:insideV w:val="nil"/>
        </w:tcBorders>
        <w:shd w:val="clear" w:color="auto" w:fill="FFFFFF" w:themeFill="background1"/>
      </w:tcPr>
    </w:tblStylePr>
    <w:tblStylePr w:type="lastCol">
      <w:tblPr/>
      <w:tcPr>
        <w:tcBorders>
          <w:top w:val="nil"/>
          <w:left w:val="single" w:sz="8" w:space="0" w:color="D8D8D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5" w:themeFill="accent3" w:themeFillTint="3F"/>
      </w:tcPr>
    </w:tblStylePr>
    <w:tblStylePr w:type="band1Horz">
      <w:tblPr/>
      <w:tcPr>
        <w:tcBorders>
          <w:top w:val="nil"/>
          <w:bottom w:val="nil"/>
          <w:insideH w:val="nil"/>
          <w:insideV w:val="nil"/>
        </w:tcBorders>
        <w:shd w:val="clear" w:color="auto" w:fill="F5F5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8DB3E2" w:themeColor="accent4"/>
        <w:left w:val="single" w:sz="8" w:space="0" w:color="8DB3E2" w:themeColor="accent4"/>
        <w:bottom w:val="single" w:sz="8" w:space="0" w:color="8DB3E2" w:themeColor="accent4"/>
        <w:right w:val="single" w:sz="8" w:space="0" w:color="8DB3E2" w:themeColor="accent4"/>
      </w:tblBorders>
    </w:tblPr>
    <w:tblStylePr w:type="firstRow">
      <w:rPr>
        <w:sz w:val="24"/>
        <w:szCs w:val="24"/>
      </w:rPr>
      <w:tblPr/>
      <w:tcPr>
        <w:tcBorders>
          <w:top w:val="nil"/>
          <w:left w:val="nil"/>
          <w:bottom w:val="single" w:sz="24" w:space="0" w:color="8DB3E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B3E2" w:themeColor="accent4"/>
          <w:insideH w:val="nil"/>
          <w:insideV w:val="nil"/>
        </w:tcBorders>
        <w:shd w:val="clear" w:color="auto" w:fill="FFFFFF" w:themeFill="background1"/>
      </w:tcPr>
    </w:tblStylePr>
    <w:tblStylePr w:type="lastCol">
      <w:tblPr/>
      <w:tcPr>
        <w:tcBorders>
          <w:top w:val="nil"/>
          <w:left w:val="single" w:sz="8" w:space="0" w:color="8DB3E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CF7" w:themeFill="accent4" w:themeFillTint="3F"/>
      </w:tcPr>
    </w:tblStylePr>
    <w:tblStylePr w:type="band1Horz">
      <w:tblPr/>
      <w:tcPr>
        <w:tcBorders>
          <w:top w:val="nil"/>
          <w:bottom w:val="nil"/>
          <w:insideH w:val="nil"/>
          <w:insideV w:val="nil"/>
        </w:tcBorders>
        <w:shd w:val="clear" w:color="auto" w:fill="E2EC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EEECE1" w:themeColor="accent5"/>
        <w:left w:val="single" w:sz="8" w:space="0" w:color="EEECE1" w:themeColor="accent5"/>
        <w:bottom w:val="single" w:sz="8" w:space="0" w:color="EEECE1" w:themeColor="accent5"/>
        <w:right w:val="single" w:sz="8" w:space="0" w:color="EEECE1" w:themeColor="accent5"/>
      </w:tblBorders>
    </w:tblPr>
    <w:tblStylePr w:type="firstRow">
      <w:rPr>
        <w:sz w:val="24"/>
        <w:szCs w:val="24"/>
      </w:rPr>
      <w:tblPr/>
      <w:tcPr>
        <w:tcBorders>
          <w:top w:val="nil"/>
          <w:left w:val="nil"/>
          <w:bottom w:val="single" w:sz="24" w:space="0" w:color="EEECE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ECE1" w:themeColor="accent5"/>
          <w:insideH w:val="nil"/>
          <w:insideV w:val="nil"/>
        </w:tcBorders>
        <w:shd w:val="clear" w:color="auto" w:fill="FFFFFF" w:themeFill="background1"/>
      </w:tcPr>
    </w:tblStylePr>
    <w:tblStylePr w:type="lastCol">
      <w:tblPr/>
      <w:tcPr>
        <w:tcBorders>
          <w:top w:val="nil"/>
          <w:left w:val="single" w:sz="8" w:space="0" w:color="EEEC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AF7" w:themeFill="accent5" w:themeFillTint="3F"/>
      </w:tcPr>
    </w:tblStylePr>
    <w:tblStylePr w:type="band1Horz">
      <w:tblPr/>
      <w:tcPr>
        <w:tcBorders>
          <w:top w:val="nil"/>
          <w:bottom w:val="nil"/>
          <w:insideH w:val="nil"/>
          <w:insideV w:val="nil"/>
        </w:tcBorders>
        <w:shd w:val="clear" w:color="auto" w:fill="FAFA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1234A"/>
    <w:rPr>
      <w:rFonts w:asciiTheme="majorHAnsi" w:eastAsiaTheme="majorEastAsia" w:hAnsiTheme="majorHAnsi" w:cstheme="majorBidi"/>
      <w:color w:val="000000" w:themeColor="text1"/>
    </w:rPr>
    <w:tblPr>
      <w:tblStyleRowBandSize w:val="1"/>
      <w:tblStyleColBandSize w:val="1"/>
      <w:tblBorders>
        <w:top w:val="single" w:sz="8" w:space="0" w:color="EA700D" w:themeColor="accent6"/>
        <w:left w:val="single" w:sz="8" w:space="0" w:color="EA700D" w:themeColor="accent6"/>
        <w:bottom w:val="single" w:sz="8" w:space="0" w:color="EA700D" w:themeColor="accent6"/>
        <w:right w:val="single" w:sz="8" w:space="0" w:color="EA700D" w:themeColor="accent6"/>
      </w:tblBorders>
    </w:tblPr>
    <w:tblStylePr w:type="firstRow">
      <w:rPr>
        <w:sz w:val="24"/>
        <w:szCs w:val="24"/>
      </w:rPr>
      <w:tblPr/>
      <w:tcPr>
        <w:tcBorders>
          <w:top w:val="nil"/>
          <w:left w:val="nil"/>
          <w:bottom w:val="single" w:sz="24" w:space="0" w:color="EA700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00D" w:themeColor="accent6"/>
          <w:insideH w:val="nil"/>
          <w:insideV w:val="nil"/>
        </w:tcBorders>
        <w:shd w:val="clear" w:color="auto" w:fill="FFFFFF" w:themeFill="background1"/>
      </w:tcPr>
    </w:tblStylePr>
    <w:tblStylePr w:type="lastCol">
      <w:tblPr/>
      <w:tcPr>
        <w:tcBorders>
          <w:top w:val="nil"/>
          <w:left w:val="single" w:sz="8" w:space="0" w:color="EA700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BC1" w:themeFill="accent6" w:themeFillTint="3F"/>
      </w:tcPr>
    </w:tblStylePr>
    <w:tblStylePr w:type="band1Horz">
      <w:tblPr/>
      <w:tcPr>
        <w:tcBorders>
          <w:top w:val="nil"/>
          <w:bottom w:val="nil"/>
          <w:insideH w:val="nil"/>
          <w:insideV w:val="nil"/>
        </w:tcBorders>
        <w:shd w:val="clear" w:color="auto" w:fill="FBDBC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51234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51234A"/>
    <w:tblPr>
      <w:tblStyleRowBandSize w:val="1"/>
      <w:tblStyleColBandSize w:val="1"/>
      <w:tblBorders>
        <w:top w:val="single" w:sz="8" w:space="0" w:color="D818CB" w:themeColor="accent1" w:themeTint="BF"/>
        <w:left w:val="single" w:sz="8" w:space="0" w:color="D818CB" w:themeColor="accent1" w:themeTint="BF"/>
        <w:bottom w:val="single" w:sz="8" w:space="0" w:color="D818CB" w:themeColor="accent1" w:themeTint="BF"/>
        <w:right w:val="single" w:sz="8" w:space="0" w:color="D818CB" w:themeColor="accent1" w:themeTint="BF"/>
        <w:insideH w:val="single" w:sz="8" w:space="0" w:color="D818CB" w:themeColor="accent1" w:themeTint="BF"/>
      </w:tblBorders>
    </w:tblPr>
    <w:tblStylePr w:type="firstRow">
      <w:pPr>
        <w:spacing w:before="0" w:after="0" w:line="240" w:lineRule="auto"/>
      </w:pPr>
      <w:rPr>
        <w:b/>
        <w:bCs/>
        <w:color w:val="FFFFFF" w:themeColor="background1"/>
      </w:rPr>
      <w:tblPr/>
      <w:tcPr>
        <w:tcBorders>
          <w:top w:val="single" w:sz="8" w:space="0" w:color="D818CB" w:themeColor="accent1" w:themeTint="BF"/>
          <w:left w:val="single" w:sz="8" w:space="0" w:color="D818CB" w:themeColor="accent1" w:themeTint="BF"/>
          <w:bottom w:val="single" w:sz="8" w:space="0" w:color="D818CB" w:themeColor="accent1" w:themeTint="BF"/>
          <w:right w:val="single" w:sz="8" w:space="0" w:color="D818CB" w:themeColor="accent1" w:themeTint="BF"/>
          <w:insideH w:val="nil"/>
          <w:insideV w:val="nil"/>
        </w:tcBorders>
        <w:shd w:val="clear" w:color="auto" w:fill="870F7F" w:themeFill="accent1"/>
      </w:tcPr>
    </w:tblStylePr>
    <w:tblStylePr w:type="lastRow">
      <w:pPr>
        <w:spacing w:before="0" w:after="0" w:line="240" w:lineRule="auto"/>
      </w:pPr>
      <w:rPr>
        <w:b/>
        <w:bCs/>
      </w:rPr>
      <w:tblPr/>
      <w:tcPr>
        <w:tcBorders>
          <w:top w:val="double" w:sz="6" w:space="0" w:color="D818CB" w:themeColor="accent1" w:themeTint="BF"/>
          <w:left w:val="single" w:sz="8" w:space="0" w:color="D818CB" w:themeColor="accent1" w:themeTint="BF"/>
          <w:bottom w:val="single" w:sz="8" w:space="0" w:color="D818CB" w:themeColor="accent1" w:themeTint="BF"/>
          <w:right w:val="single" w:sz="8" w:space="0" w:color="D818C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AEF1" w:themeFill="accent1" w:themeFillTint="3F"/>
      </w:tcPr>
    </w:tblStylePr>
    <w:tblStylePr w:type="band1Horz">
      <w:tblPr/>
      <w:tcPr>
        <w:tcBorders>
          <w:insideH w:val="nil"/>
          <w:insideV w:val="nil"/>
        </w:tcBorders>
        <w:shd w:val="clear" w:color="auto" w:fill="F6AE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1234A"/>
    <w:tblPr>
      <w:tblStyleRowBandSize w:val="1"/>
      <w:tblStyleColBandSize w:val="1"/>
      <w:tblBorders>
        <w:top w:val="single" w:sz="8" w:space="0" w:color="78C0D4" w:themeColor="accent2" w:themeTint="BF"/>
        <w:left w:val="single" w:sz="8" w:space="0" w:color="78C0D4" w:themeColor="accent2" w:themeTint="BF"/>
        <w:bottom w:val="single" w:sz="8" w:space="0" w:color="78C0D4" w:themeColor="accent2" w:themeTint="BF"/>
        <w:right w:val="single" w:sz="8" w:space="0" w:color="78C0D4" w:themeColor="accent2" w:themeTint="BF"/>
        <w:insideH w:val="single" w:sz="8" w:space="0" w:color="78C0D4" w:themeColor="accent2" w:themeTint="BF"/>
      </w:tblBorders>
    </w:tblPr>
    <w:tblStylePr w:type="firstRow">
      <w:pPr>
        <w:spacing w:before="0" w:after="0" w:line="240" w:lineRule="auto"/>
      </w:pPr>
      <w:rPr>
        <w:b/>
        <w:bCs/>
        <w:color w:val="FFFFFF" w:themeColor="background1"/>
      </w:rPr>
      <w:tblPr/>
      <w:tcPr>
        <w:tcBorders>
          <w:top w:val="single" w:sz="8" w:space="0" w:color="78C0D4" w:themeColor="accent2" w:themeTint="BF"/>
          <w:left w:val="single" w:sz="8" w:space="0" w:color="78C0D4" w:themeColor="accent2" w:themeTint="BF"/>
          <w:bottom w:val="single" w:sz="8" w:space="0" w:color="78C0D4" w:themeColor="accent2" w:themeTint="BF"/>
          <w:right w:val="single" w:sz="8" w:space="0" w:color="78C0D4" w:themeColor="accent2" w:themeTint="BF"/>
          <w:insideH w:val="nil"/>
          <w:insideV w:val="nil"/>
        </w:tcBorders>
        <w:shd w:val="clear" w:color="auto" w:fill="4BACC6" w:themeFill="accent2"/>
      </w:tcPr>
    </w:tblStylePr>
    <w:tblStylePr w:type="lastRow">
      <w:pPr>
        <w:spacing w:before="0" w:after="0" w:line="240" w:lineRule="auto"/>
      </w:pPr>
      <w:rPr>
        <w:b/>
        <w:bCs/>
      </w:rPr>
      <w:tblPr/>
      <w:tcPr>
        <w:tcBorders>
          <w:top w:val="double" w:sz="6" w:space="0" w:color="78C0D4" w:themeColor="accent2" w:themeTint="BF"/>
          <w:left w:val="single" w:sz="8" w:space="0" w:color="78C0D4" w:themeColor="accent2" w:themeTint="BF"/>
          <w:bottom w:val="single" w:sz="8" w:space="0" w:color="78C0D4" w:themeColor="accent2" w:themeTint="BF"/>
          <w:right w:val="single" w:sz="8" w:space="0" w:color="78C0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2" w:themeFillTint="3F"/>
      </w:tcPr>
    </w:tblStylePr>
    <w:tblStylePr w:type="band1Horz">
      <w:tblPr/>
      <w:tcPr>
        <w:tcBorders>
          <w:insideH w:val="nil"/>
          <w:insideV w:val="nil"/>
        </w:tcBorders>
        <w:shd w:val="clear" w:color="auto" w:fill="D2EA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1234A"/>
    <w:tblPr>
      <w:tblStyleRowBandSize w:val="1"/>
      <w:tblStyleColBandSize w:val="1"/>
      <w:tblBorders>
        <w:top w:val="single" w:sz="8" w:space="0" w:color="E1E1E1" w:themeColor="accent3" w:themeTint="BF"/>
        <w:left w:val="single" w:sz="8" w:space="0" w:color="E1E1E1" w:themeColor="accent3" w:themeTint="BF"/>
        <w:bottom w:val="single" w:sz="8" w:space="0" w:color="E1E1E1" w:themeColor="accent3" w:themeTint="BF"/>
        <w:right w:val="single" w:sz="8" w:space="0" w:color="E1E1E1" w:themeColor="accent3" w:themeTint="BF"/>
        <w:insideH w:val="single" w:sz="8" w:space="0" w:color="E1E1E1" w:themeColor="accent3" w:themeTint="BF"/>
      </w:tblBorders>
    </w:tblPr>
    <w:tblStylePr w:type="firstRow">
      <w:pPr>
        <w:spacing w:before="0" w:after="0" w:line="240" w:lineRule="auto"/>
      </w:pPr>
      <w:rPr>
        <w:b/>
        <w:bCs/>
        <w:color w:val="FFFFFF" w:themeColor="background1"/>
      </w:rPr>
      <w:tblPr/>
      <w:tcPr>
        <w:tcBorders>
          <w:top w:val="single" w:sz="8" w:space="0" w:color="E1E1E1" w:themeColor="accent3" w:themeTint="BF"/>
          <w:left w:val="single" w:sz="8" w:space="0" w:color="E1E1E1" w:themeColor="accent3" w:themeTint="BF"/>
          <w:bottom w:val="single" w:sz="8" w:space="0" w:color="E1E1E1" w:themeColor="accent3" w:themeTint="BF"/>
          <w:right w:val="single" w:sz="8" w:space="0" w:color="E1E1E1" w:themeColor="accent3" w:themeTint="BF"/>
          <w:insideH w:val="nil"/>
          <w:insideV w:val="nil"/>
        </w:tcBorders>
        <w:shd w:val="clear" w:color="auto" w:fill="D8D8D8" w:themeFill="accent3"/>
      </w:tcPr>
    </w:tblStylePr>
    <w:tblStylePr w:type="lastRow">
      <w:pPr>
        <w:spacing w:before="0" w:after="0" w:line="240" w:lineRule="auto"/>
      </w:pPr>
      <w:rPr>
        <w:b/>
        <w:bCs/>
      </w:rPr>
      <w:tblPr/>
      <w:tcPr>
        <w:tcBorders>
          <w:top w:val="double" w:sz="6" w:space="0" w:color="E1E1E1" w:themeColor="accent3" w:themeTint="BF"/>
          <w:left w:val="single" w:sz="8" w:space="0" w:color="E1E1E1" w:themeColor="accent3" w:themeTint="BF"/>
          <w:bottom w:val="single" w:sz="8" w:space="0" w:color="E1E1E1" w:themeColor="accent3" w:themeTint="BF"/>
          <w:right w:val="single" w:sz="8" w:space="0" w:color="E1E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5F5F5" w:themeFill="accent3" w:themeFillTint="3F"/>
      </w:tcPr>
    </w:tblStylePr>
    <w:tblStylePr w:type="band1Horz">
      <w:tblPr/>
      <w:tcPr>
        <w:tcBorders>
          <w:insideH w:val="nil"/>
          <w:insideV w:val="nil"/>
        </w:tcBorders>
        <w:shd w:val="clear" w:color="auto" w:fill="F5F5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1234A"/>
    <w:tblPr>
      <w:tblStyleRowBandSize w:val="1"/>
      <w:tblStyleColBandSize w:val="1"/>
      <w:tblBorders>
        <w:top w:val="single" w:sz="8" w:space="0" w:color="A9C5E9" w:themeColor="accent4" w:themeTint="BF"/>
        <w:left w:val="single" w:sz="8" w:space="0" w:color="A9C5E9" w:themeColor="accent4" w:themeTint="BF"/>
        <w:bottom w:val="single" w:sz="8" w:space="0" w:color="A9C5E9" w:themeColor="accent4" w:themeTint="BF"/>
        <w:right w:val="single" w:sz="8" w:space="0" w:color="A9C5E9" w:themeColor="accent4" w:themeTint="BF"/>
        <w:insideH w:val="single" w:sz="8" w:space="0" w:color="A9C5E9" w:themeColor="accent4" w:themeTint="BF"/>
      </w:tblBorders>
    </w:tblPr>
    <w:tblStylePr w:type="firstRow">
      <w:pPr>
        <w:spacing w:before="0" w:after="0" w:line="240" w:lineRule="auto"/>
      </w:pPr>
      <w:rPr>
        <w:b/>
        <w:bCs/>
        <w:color w:val="FFFFFF" w:themeColor="background1"/>
      </w:rPr>
      <w:tblPr/>
      <w:tcPr>
        <w:tcBorders>
          <w:top w:val="single" w:sz="8" w:space="0" w:color="A9C5E9" w:themeColor="accent4" w:themeTint="BF"/>
          <w:left w:val="single" w:sz="8" w:space="0" w:color="A9C5E9" w:themeColor="accent4" w:themeTint="BF"/>
          <w:bottom w:val="single" w:sz="8" w:space="0" w:color="A9C5E9" w:themeColor="accent4" w:themeTint="BF"/>
          <w:right w:val="single" w:sz="8" w:space="0" w:color="A9C5E9" w:themeColor="accent4" w:themeTint="BF"/>
          <w:insideH w:val="nil"/>
          <w:insideV w:val="nil"/>
        </w:tcBorders>
        <w:shd w:val="clear" w:color="auto" w:fill="8DB3E2" w:themeFill="accent4"/>
      </w:tcPr>
    </w:tblStylePr>
    <w:tblStylePr w:type="lastRow">
      <w:pPr>
        <w:spacing w:before="0" w:after="0" w:line="240" w:lineRule="auto"/>
      </w:pPr>
      <w:rPr>
        <w:b/>
        <w:bCs/>
      </w:rPr>
      <w:tblPr/>
      <w:tcPr>
        <w:tcBorders>
          <w:top w:val="double" w:sz="6" w:space="0" w:color="A9C5E9" w:themeColor="accent4" w:themeTint="BF"/>
          <w:left w:val="single" w:sz="8" w:space="0" w:color="A9C5E9" w:themeColor="accent4" w:themeTint="BF"/>
          <w:bottom w:val="single" w:sz="8" w:space="0" w:color="A9C5E9" w:themeColor="accent4" w:themeTint="BF"/>
          <w:right w:val="single" w:sz="8" w:space="0" w:color="A9C5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ECF7" w:themeFill="accent4" w:themeFillTint="3F"/>
      </w:tcPr>
    </w:tblStylePr>
    <w:tblStylePr w:type="band1Horz">
      <w:tblPr/>
      <w:tcPr>
        <w:tcBorders>
          <w:insideH w:val="nil"/>
          <w:insideV w:val="nil"/>
        </w:tcBorders>
        <w:shd w:val="clear" w:color="auto" w:fill="E2EC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1234A"/>
    <w:tblPr>
      <w:tblStyleRowBandSize w:val="1"/>
      <w:tblStyleColBandSize w:val="1"/>
      <w:tblBorders>
        <w:top w:val="single" w:sz="8" w:space="0" w:color="F2F0E8" w:themeColor="accent5" w:themeTint="BF"/>
        <w:left w:val="single" w:sz="8" w:space="0" w:color="F2F0E8" w:themeColor="accent5" w:themeTint="BF"/>
        <w:bottom w:val="single" w:sz="8" w:space="0" w:color="F2F0E8" w:themeColor="accent5" w:themeTint="BF"/>
        <w:right w:val="single" w:sz="8" w:space="0" w:color="F2F0E8" w:themeColor="accent5" w:themeTint="BF"/>
        <w:insideH w:val="single" w:sz="8" w:space="0" w:color="F2F0E8" w:themeColor="accent5" w:themeTint="BF"/>
      </w:tblBorders>
    </w:tblPr>
    <w:tblStylePr w:type="firstRow">
      <w:pPr>
        <w:spacing w:before="0" w:after="0" w:line="240" w:lineRule="auto"/>
      </w:pPr>
      <w:rPr>
        <w:b/>
        <w:bCs/>
        <w:color w:val="FFFFFF" w:themeColor="background1"/>
      </w:rPr>
      <w:tblPr/>
      <w:tcPr>
        <w:tcBorders>
          <w:top w:val="single" w:sz="8" w:space="0" w:color="F2F0E8" w:themeColor="accent5" w:themeTint="BF"/>
          <w:left w:val="single" w:sz="8" w:space="0" w:color="F2F0E8" w:themeColor="accent5" w:themeTint="BF"/>
          <w:bottom w:val="single" w:sz="8" w:space="0" w:color="F2F0E8" w:themeColor="accent5" w:themeTint="BF"/>
          <w:right w:val="single" w:sz="8" w:space="0" w:color="F2F0E8" w:themeColor="accent5" w:themeTint="BF"/>
          <w:insideH w:val="nil"/>
          <w:insideV w:val="nil"/>
        </w:tcBorders>
        <w:shd w:val="clear" w:color="auto" w:fill="EEECE1" w:themeFill="accent5"/>
      </w:tcPr>
    </w:tblStylePr>
    <w:tblStylePr w:type="lastRow">
      <w:pPr>
        <w:spacing w:before="0" w:after="0" w:line="240" w:lineRule="auto"/>
      </w:pPr>
      <w:rPr>
        <w:b/>
        <w:bCs/>
      </w:rPr>
      <w:tblPr/>
      <w:tcPr>
        <w:tcBorders>
          <w:top w:val="double" w:sz="6" w:space="0" w:color="F2F0E8" w:themeColor="accent5" w:themeTint="BF"/>
          <w:left w:val="single" w:sz="8" w:space="0" w:color="F2F0E8" w:themeColor="accent5" w:themeTint="BF"/>
          <w:bottom w:val="single" w:sz="8" w:space="0" w:color="F2F0E8" w:themeColor="accent5" w:themeTint="BF"/>
          <w:right w:val="single" w:sz="8" w:space="0" w:color="F2F0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AF7" w:themeFill="accent5" w:themeFillTint="3F"/>
      </w:tcPr>
    </w:tblStylePr>
    <w:tblStylePr w:type="band1Horz">
      <w:tblPr/>
      <w:tcPr>
        <w:tcBorders>
          <w:insideH w:val="nil"/>
          <w:insideV w:val="nil"/>
        </w:tcBorders>
        <w:shd w:val="clear" w:color="auto" w:fill="FAFA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1234A"/>
    <w:tblPr>
      <w:tblStyleRowBandSize w:val="1"/>
      <w:tblStyleColBandSize w:val="1"/>
      <w:tblBorders>
        <w:top w:val="single" w:sz="8" w:space="0" w:color="F49344" w:themeColor="accent6" w:themeTint="BF"/>
        <w:left w:val="single" w:sz="8" w:space="0" w:color="F49344" w:themeColor="accent6" w:themeTint="BF"/>
        <w:bottom w:val="single" w:sz="8" w:space="0" w:color="F49344" w:themeColor="accent6" w:themeTint="BF"/>
        <w:right w:val="single" w:sz="8" w:space="0" w:color="F49344" w:themeColor="accent6" w:themeTint="BF"/>
        <w:insideH w:val="single" w:sz="8" w:space="0" w:color="F49344" w:themeColor="accent6" w:themeTint="BF"/>
      </w:tblBorders>
    </w:tblPr>
    <w:tblStylePr w:type="firstRow">
      <w:pPr>
        <w:spacing w:before="0" w:after="0" w:line="240" w:lineRule="auto"/>
      </w:pPr>
      <w:rPr>
        <w:b/>
        <w:bCs/>
        <w:color w:val="FFFFFF" w:themeColor="background1"/>
      </w:rPr>
      <w:tblPr/>
      <w:tcPr>
        <w:tcBorders>
          <w:top w:val="single" w:sz="8" w:space="0" w:color="F49344" w:themeColor="accent6" w:themeTint="BF"/>
          <w:left w:val="single" w:sz="8" w:space="0" w:color="F49344" w:themeColor="accent6" w:themeTint="BF"/>
          <w:bottom w:val="single" w:sz="8" w:space="0" w:color="F49344" w:themeColor="accent6" w:themeTint="BF"/>
          <w:right w:val="single" w:sz="8" w:space="0" w:color="F49344" w:themeColor="accent6" w:themeTint="BF"/>
          <w:insideH w:val="nil"/>
          <w:insideV w:val="nil"/>
        </w:tcBorders>
        <w:shd w:val="clear" w:color="auto" w:fill="EA700D" w:themeFill="accent6"/>
      </w:tcPr>
    </w:tblStylePr>
    <w:tblStylePr w:type="lastRow">
      <w:pPr>
        <w:spacing w:before="0" w:after="0" w:line="240" w:lineRule="auto"/>
      </w:pPr>
      <w:rPr>
        <w:b/>
        <w:bCs/>
      </w:rPr>
      <w:tblPr/>
      <w:tcPr>
        <w:tcBorders>
          <w:top w:val="double" w:sz="6" w:space="0" w:color="F49344" w:themeColor="accent6" w:themeTint="BF"/>
          <w:left w:val="single" w:sz="8" w:space="0" w:color="F49344" w:themeColor="accent6" w:themeTint="BF"/>
          <w:bottom w:val="single" w:sz="8" w:space="0" w:color="F49344" w:themeColor="accent6" w:themeTint="BF"/>
          <w:right w:val="single" w:sz="8" w:space="0" w:color="F4934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DBC1" w:themeFill="accent6" w:themeFillTint="3F"/>
      </w:tcPr>
    </w:tblStylePr>
    <w:tblStylePr w:type="band1Horz">
      <w:tblPr/>
      <w:tcPr>
        <w:tcBorders>
          <w:insideH w:val="nil"/>
          <w:insideV w:val="nil"/>
        </w:tcBorders>
        <w:shd w:val="clear" w:color="auto" w:fill="FBDBC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512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unhideWhenUsed/>
    <w:rsid w:val="00512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0F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70F7F" w:themeFill="accent1"/>
      </w:tcPr>
    </w:tblStylePr>
    <w:tblStylePr w:type="lastCol">
      <w:rPr>
        <w:b/>
        <w:bCs/>
        <w:color w:val="FFFFFF" w:themeColor="background1"/>
      </w:rPr>
      <w:tblPr/>
      <w:tcPr>
        <w:tcBorders>
          <w:left w:val="nil"/>
          <w:right w:val="nil"/>
          <w:insideH w:val="nil"/>
          <w:insideV w:val="nil"/>
        </w:tcBorders>
        <w:shd w:val="clear" w:color="auto" w:fill="870F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12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2"/>
      </w:tcPr>
    </w:tblStylePr>
    <w:tblStylePr w:type="lastCol">
      <w:rPr>
        <w:b/>
        <w:bCs/>
        <w:color w:val="FFFFFF" w:themeColor="background1"/>
      </w:rPr>
      <w:tblPr/>
      <w:tcPr>
        <w:tcBorders>
          <w:left w:val="nil"/>
          <w:right w:val="nil"/>
          <w:insideH w:val="nil"/>
          <w:insideV w:val="nil"/>
        </w:tcBorders>
        <w:shd w:val="clear" w:color="auto" w:fill="4BAC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12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D8D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D8D8" w:themeFill="accent3"/>
      </w:tcPr>
    </w:tblStylePr>
    <w:tblStylePr w:type="lastCol">
      <w:rPr>
        <w:b/>
        <w:bCs/>
        <w:color w:val="FFFFFF" w:themeColor="background1"/>
      </w:rPr>
      <w:tblPr/>
      <w:tcPr>
        <w:tcBorders>
          <w:left w:val="nil"/>
          <w:right w:val="nil"/>
          <w:insideH w:val="nil"/>
          <w:insideV w:val="nil"/>
        </w:tcBorders>
        <w:shd w:val="clear" w:color="auto" w:fill="D8D8D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12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B3E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DB3E2" w:themeFill="accent4"/>
      </w:tcPr>
    </w:tblStylePr>
    <w:tblStylePr w:type="lastCol">
      <w:rPr>
        <w:b/>
        <w:bCs/>
        <w:color w:val="FFFFFF" w:themeColor="background1"/>
      </w:rPr>
      <w:tblPr/>
      <w:tcPr>
        <w:tcBorders>
          <w:left w:val="nil"/>
          <w:right w:val="nil"/>
          <w:insideH w:val="nil"/>
          <w:insideV w:val="nil"/>
        </w:tcBorders>
        <w:shd w:val="clear" w:color="auto" w:fill="8DB3E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12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EC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ECE1" w:themeFill="accent5"/>
      </w:tcPr>
    </w:tblStylePr>
    <w:tblStylePr w:type="lastCol">
      <w:rPr>
        <w:b/>
        <w:bCs/>
        <w:color w:val="FFFFFF" w:themeColor="background1"/>
      </w:rPr>
      <w:tblPr/>
      <w:tcPr>
        <w:tcBorders>
          <w:left w:val="nil"/>
          <w:right w:val="nil"/>
          <w:insideH w:val="nil"/>
          <w:insideV w:val="nil"/>
        </w:tcBorders>
        <w:shd w:val="clear" w:color="auto" w:fill="EEEC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123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0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700D" w:themeFill="accent6"/>
      </w:tcPr>
    </w:tblStylePr>
    <w:tblStylePr w:type="lastCol">
      <w:rPr>
        <w:b/>
        <w:bCs/>
        <w:color w:val="FFFFFF" w:themeColor="background1"/>
      </w:rPr>
      <w:tblPr/>
      <w:tcPr>
        <w:tcBorders>
          <w:left w:val="nil"/>
          <w:right w:val="nil"/>
          <w:insideH w:val="nil"/>
          <w:insideV w:val="nil"/>
        </w:tcBorders>
        <w:shd w:val="clear" w:color="auto" w:fill="EA70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1234A"/>
    <w:rPr>
      <w:color w:val="2B579A"/>
      <w:shd w:val="clear" w:color="auto" w:fill="E6E6E6"/>
    </w:rPr>
  </w:style>
  <w:style w:type="paragraph" w:styleId="MessageHeader">
    <w:name w:val="Message Header"/>
    <w:basedOn w:val="Normal"/>
    <w:link w:val="MessageHeaderChar"/>
    <w:uiPriority w:val="99"/>
    <w:semiHidden/>
    <w:unhideWhenUsed/>
    <w:rsid w:val="3B0D9F72"/>
    <w:pPr>
      <w:pBdr>
        <w:top w:val="single" w:sz="6" w:space="1" w:color="auto"/>
        <w:left w:val="single" w:sz="6" w:space="1" w:color="auto"/>
        <w:bottom w:val="single" w:sz="6" w:space="1" w:color="auto"/>
        <w:right w:val="single" w:sz="6" w:space="1" w:color="auto"/>
      </w:pBdr>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1234A"/>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3B0D9F72"/>
    <w:rPr>
      <w:rFonts w:ascii="Times New Roman" w:hAnsi="Times New Roman" w:cs="Times New Roman"/>
      <w:sz w:val="24"/>
      <w:szCs w:val="24"/>
    </w:rPr>
  </w:style>
  <w:style w:type="paragraph" w:styleId="NormalIndent">
    <w:name w:val="Normal Indent"/>
    <w:basedOn w:val="Normal"/>
    <w:uiPriority w:val="99"/>
    <w:semiHidden/>
    <w:unhideWhenUsed/>
    <w:rsid w:val="3B0D9F72"/>
    <w:pPr>
      <w:ind w:left="720"/>
    </w:pPr>
  </w:style>
  <w:style w:type="paragraph" w:styleId="NoteHeading">
    <w:name w:val="Note Heading"/>
    <w:basedOn w:val="Normal"/>
    <w:next w:val="Normal"/>
    <w:link w:val="NoteHeadingChar"/>
    <w:uiPriority w:val="99"/>
    <w:semiHidden/>
    <w:unhideWhenUsed/>
    <w:rsid w:val="3B0D9F72"/>
  </w:style>
  <w:style w:type="character" w:customStyle="1" w:styleId="NoteHeadingChar">
    <w:name w:val="Note Heading Char"/>
    <w:basedOn w:val="DefaultParagraphFont"/>
    <w:link w:val="NoteHeading"/>
    <w:uiPriority w:val="99"/>
    <w:semiHidden/>
    <w:rsid w:val="0051234A"/>
  </w:style>
  <w:style w:type="character" w:styleId="PageNumber">
    <w:name w:val="page number"/>
    <w:basedOn w:val="DefaultParagraphFont"/>
    <w:uiPriority w:val="99"/>
    <w:semiHidden/>
    <w:unhideWhenUsed/>
    <w:rsid w:val="0051234A"/>
  </w:style>
  <w:style w:type="table" w:styleId="PlainTable1">
    <w:name w:val="Plain Table 1"/>
    <w:basedOn w:val="TableNormal"/>
    <w:uiPriority w:val="41"/>
    <w:rsid w:val="0051234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1234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1234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1234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1234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3B0D9F72"/>
    <w:rPr>
      <w:rFonts w:ascii="Consolas" w:hAnsi="Consolas"/>
    </w:rPr>
  </w:style>
  <w:style w:type="character" w:customStyle="1" w:styleId="PlainTextChar">
    <w:name w:val="Plain Text Char"/>
    <w:basedOn w:val="DefaultParagraphFont"/>
    <w:link w:val="PlainText"/>
    <w:uiPriority w:val="99"/>
    <w:semiHidden/>
    <w:rsid w:val="0051234A"/>
    <w:rPr>
      <w:rFonts w:ascii="Consolas" w:hAnsi="Consolas"/>
      <w:szCs w:val="21"/>
    </w:rPr>
  </w:style>
  <w:style w:type="paragraph" w:styleId="Salutation">
    <w:name w:val="Salutation"/>
    <w:basedOn w:val="Normal"/>
    <w:next w:val="Normal"/>
    <w:link w:val="SalutationChar"/>
    <w:uiPriority w:val="99"/>
    <w:semiHidden/>
    <w:unhideWhenUsed/>
    <w:rsid w:val="3B0D9F72"/>
  </w:style>
  <w:style w:type="character" w:customStyle="1" w:styleId="SalutationChar">
    <w:name w:val="Salutation Char"/>
    <w:basedOn w:val="DefaultParagraphFont"/>
    <w:link w:val="Salutation"/>
    <w:uiPriority w:val="99"/>
    <w:semiHidden/>
    <w:rsid w:val="0051234A"/>
  </w:style>
  <w:style w:type="paragraph" w:styleId="Signature">
    <w:name w:val="Signature"/>
    <w:basedOn w:val="Normal"/>
    <w:link w:val="SignatureChar"/>
    <w:uiPriority w:val="99"/>
    <w:semiHidden/>
    <w:unhideWhenUsed/>
    <w:rsid w:val="3B0D9F72"/>
    <w:pPr>
      <w:ind w:left="4320"/>
    </w:pPr>
  </w:style>
  <w:style w:type="character" w:customStyle="1" w:styleId="SignatureChar">
    <w:name w:val="Signature Char"/>
    <w:basedOn w:val="DefaultParagraphFont"/>
    <w:link w:val="Signature"/>
    <w:uiPriority w:val="99"/>
    <w:semiHidden/>
    <w:rsid w:val="0051234A"/>
  </w:style>
  <w:style w:type="character" w:styleId="SmartHyperlink">
    <w:name w:val="Smart Hyperlink"/>
    <w:basedOn w:val="DefaultParagraphFont"/>
    <w:uiPriority w:val="99"/>
    <w:semiHidden/>
    <w:unhideWhenUsed/>
    <w:rsid w:val="0051234A"/>
    <w:rPr>
      <w:u w:val="dotted"/>
    </w:rPr>
  </w:style>
  <w:style w:type="table" w:styleId="Table3Deffects1">
    <w:name w:val="Table 3D effects 1"/>
    <w:basedOn w:val="TableNormal"/>
    <w:uiPriority w:val="99"/>
    <w:semiHidden/>
    <w:unhideWhenUsed/>
    <w:rsid w:val="0051234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1234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1234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1234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1234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1234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1234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1234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1234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1234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1234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1234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1234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1234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1234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1234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1234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123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1234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1234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1234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1234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1234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1234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1234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aliases w:val="Duniya Table 3"/>
    <w:basedOn w:val="TableNormal"/>
    <w:uiPriority w:val="40"/>
    <w:rsid w:val="0077354C"/>
    <w:pPr>
      <w:jc w:val="center"/>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tblStylePr w:type="firstRow">
      <w:rPr>
        <w:rFonts w:ascii="___WRD_EMBED_SUB_174" w:hAnsi="___WRD_EMBED_SUB_174"/>
        <w:b/>
        <w:color w:val="000000" w:themeColor="text1"/>
      </w:rPr>
      <w:tblPr/>
      <w:tcPr>
        <w:tcBorders>
          <w:top w:val="single" w:sz="12" w:space="0" w:color="262626" w:themeColor="text1" w:themeTint="D9"/>
          <w:left w:val="single" w:sz="12" w:space="0" w:color="262626" w:themeColor="text1" w:themeTint="D9"/>
          <w:bottom w:val="single" w:sz="12" w:space="0" w:color="262626" w:themeColor="text1" w:themeTint="D9"/>
          <w:right w:val="single" w:sz="12" w:space="0" w:color="262626" w:themeColor="text1" w:themeTint="D9"/>
          <w:insideH w:val="nil"/>
          <w:insideV w:val="nil"/>
        </w:tcBorders>
        <w:shd w:val="clear" w:color="auto" w:fill="F2F2F2" w:themeFill="background1" w:themeFillShade="F2"/>
      </w:tcPr>
    </w:tblStylePr>
  </w:style>
  <w:style w:type="table" w:styleId="TableList1">
    <w:name w:val="Table List 1"/>
    <w:basedOn w:val="TableNormal"/>
    <w:uiPriority w:val="99"/>
    <w:semiHidden/>
    <w:unhideWhenUsed/>
    <w:rsid w:val="0051234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1234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1234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1234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1234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1234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1234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1234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3B0D9F72"/>
    <w:pPr>
      <w:ind w:left="220" w:hanging="220"/>
    </w:pPr>
  </w:style>
  <w:style w:type="paragraph" w:styleId="TableofFigures">
    <w:name w:val="table of figures"/>
    <w:basedOn w:val="Normal"/>
    <w:next w:val="Normal"/>
    <w:uiPriority w:val="99"/>
    <w:semiHidden/>
    <w:unhideWhenUsed/>
    <w:rsid w:val="3B0D9F72"/>
  </w:style>
  <w:style w:type="table" w:styleId="TableProfessional">
    <w:name w:val="Table Professional"/>
    <w:basedOn w:val="TableNormal"/>
    <w:uiPriority w:val="99"/>
    <w:semiHidden/>
    <w:unhideWhenUsed/>
    <w:rsid w:val="0051234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1234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1234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1234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1234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1234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12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1234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1234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1234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3B0D9F72"/>
    <w:rPr>
      <w:rFonts w:asciiTheme="majorHAnsi" w:eastAsiaTheme="majorEastAsia" w:hAnsiTheme="majorHAnsi" w:cstheme="majorBidi"/>
      <w:b/>
      <w:bCs/>
      <w:sz w:val="24"/>
      <w:szCs w:val="24"/>
    </w:rPr>
  </w:style>
  <w:style w:type="paragraph" w:styleId="TOC1">
    <w:name w:val="toc 1"/>
    <w:basedOn w:val="Normal"/>
    <w:next w:val="Normal"/>
    <w:uiPriority w:val="39"/>
    <w:unhideWhenUsed/>
    <w:rsid w:val="3B0D9F72"/>
    <w:pPr>
      <w:spacing w:after="100"/>
    </w:pPr>
  </w:style>
  <w:style w:type="paragraph" w:styleId="TOC2">
    <w:name w:val="toc 2"/>
    <w:basedOn w:val="Normal"/>
    <w:next w:val="Normal"/>
    <w:uiPriority w:val="39"/>
    <w:unhideWhenUsed/>
    <w:rsid w:val="3B0D9F72"/>
    <w:pPr>
      <w:spacing w:after="100"/>
      <w:ind w:left="220"/>
    </w:pPr>
  </w:style>
  <w:style w:type="paragraph" w:styleId="TOC3">
    <w:name w:val="toc 3"/>
    <w:basedOn w:val="Normal"/>
    <w:next w:val="Normal"/>
    <w:uiPriority w:val="99"/>
    <w:semiHidden/>
    <w:unhideWhenUsed/>
    <w:rsid w:val="3B0D9F72"/>
    <w:pPr>
      <w:spacing w:after="100"/>
      <w:ind w:left="440"/>
    </w:pPr>
  </w:style>
  <w:style w:type="paragraph" w:styleId="TOC4">
    <w:name w:val="toc 4"/>
    <w:basedOn w:val="Normal"/>
    <w:next w:val="Normal"/>
    <w:uiPriority w:val="99"/>
    <w:semiHidden/>
    <w:unhideWhenUsed/>
    <w:rsid w:val="3B0D9F72"/>
    <w:pPr>
      <w:spacing w:after="100"/>
      <w:ind w:left="660"/>
    </w:pPr>
  </w:style>
  <w:style w:type="paragraph" w:styleId="TOC5">
    <w:name w:val="toc 5"/>
    <w:basedOn w:val="Normal"/>
    <w:next w:val="Normal"/>
    <w:uiPriority w:val="99"/>
    <w:semiHidden/>
    <w:unhideWhenUsed/>
    <w:rsid w:val="3B0D9F72"/>
    <w:pPr>
      <w:spacing w:after="100"/>
      <w:ind w:left="880"/>
    </w:pPr>
  </w:style>
  <w:style w:type="paragraph" w:styleId="TOC6">
    <w:name w:val="toc 6"/>
    <w:basedOn w:val="Normal"/>
    <w:next w:val="Normal"/>
    <w:uiPriority w:val="99"/>
    <w:semiHidden/>
    <w:unhideWhenUsed/>
    <w:rsid w:val="3B0D9F72"/>
    <w:pPr>
      <w:spacing w:after="100"/>
      <w:ind w:left="1100"/>
    </w:pPr>
  </w:style>
  <w:style w:type="paragraph" w:styleId="TOC7">
    <w:name w:val="toc 7"/>
    <w:basedOn w:val="Normal"/>
    <w:next w:val="Normal"/>
    <w:uiPriority w:val="99"/>
    <w:semiHidden/>
    <w:unhideWhenUsed/>
    <w:rsid w:val="3B0D9F72"/>
    <w:pPr>
      <w:spacing w:after="100"/>
      <w:ind w:left="1320"/>
    </w:pPr>
  </w:style>
  <w:style w:type="paragraph" w:styleId="TOC8">
    <w:name w:val="toc 8"/>
    <w:basedOn w:val="Normal"/>
    <w:next w:val="Normal"/>
    <w:uiPriority w:val="99"/>
    <w:semiHidden/>
    <w:unhideWhenUsed/>
    <w:rsid w:val="3B0D9F72"/>
    <w:pPr>
      <w:spacing w:after="100"/>
      <w:ind w:left="1540"/>
    </w:pPr>
  </w:style>
  <w:style w:type="paragraph" w:styleId="TOC9">
    <w:name w:val="toc 9"/>
    <w:basedOn w:val="Normal"/>
    <w:next w:val="Normal"/>
    <w:uiPriority w:val="99"/>
    <w:semiHidden/>
    <w:unhideWhenUsed/>
    <w:rsid w:val="3B0D9F72"/>
    <w:pPr>
      <w:spacing w:after="100"/>
      <w:ind w:left="1760"/>
    </w:pPr>
  </w:style>
  <w:style w:type="paragraph" w:styleId="TOCHeading">
    <w:name w:val="TOC Heading"/>
    <w:basedOn w:val="Heading1"/>
    <w:next w:val="Normal"/>
    <w:uiPriority w:val="39"/>
    <w:semiHidden/>
    <w:unhideWhenUsed/>
    <w:qFormat/>
    <w:rsid w:val="00B7796B"/>
    <w:pPr>
      <w:outlineLvl w:val="9"/>
    </w:pPr>
  </w:style>
  <w:style w:type="character" w:styleId="UnresolvedMention">
    <w:name w:val="Unresolved Mention"/>
    <w:basedOn w:val="DefaultParagraphFont"/>
    <w:uiPriority w:val="99"/>
    <w:semiHidden/>
    <w:unhideWhenUsed/>
    <w:rsid w:val="0051234A"/>
    <w:rPr>
      <w:color w:val="808080"/>
      <w:shd w:val="clear" w:color="auto" w:fill="E6E6E6"/>
    </w:rPr>
  </w:style>
  <w:style w:type="paragraph" w:styleId="Title">
    <w:name w:val="Title"/>
    <w:basedOn w:val="Normal"/>
    <w:next w:val="Normal"/>
    <w:link w:val="TitleChar"/>
    <w:uiPriority w:val="10"/>
    <w:qFormat/>
    <w:rsid w:val="3B0D9F72"/>
    <w:pPr>
      <w:pBdr>
        <w:bottom w:val="single" w:sz="8" w:space="4" w:color="870F7F" w:themeColor="accent1"/>
      </w:pBdr>
      <w:spacing w:after="300"/>
      <w:contextualSpacing/>
    </w:pPr>
    <w:rPr>
      <w:rFonts w:asciiTheme="majorHAnsi" w:eastAsiaTheme="majorEastAsia" w:hAnsiTheme="majorHAnsi" w:cstheme="majorBidi"/>
      <w:noProof/>
      <w:color w:val="650B5F" w:themeColor="accent1" w:themeShade="BF"/>
      <w:sz w:val="48"/>
      <w:szCs w:val="48"/>
    </w:rPr>
  </w:style>
  <w:style w:type="paragraph" w:styleId="BlockText">
    <w:name w:val="Block Text"/>
    <w:basedOn w:val="Normal"/>
    <w:uiPriority w:val="3"/>
    <w:semiHidden/>
    <w:unhideWhenUsed/>
    <w:rsid w:val="3B0D9F72"/>
    <w:pPr>
      <w:pBdr>
        <w:top w:val="single" w:sz="2" w:space="10" w:color="650B5F" w:themeColor="accent1" w:themeShade="BF"/>
        <w:left w:val="single" w:sz="2" w:space="10" w:color="650B5F" w:themeColor="accent1" w:themeShade="BF"/>
        <w:bottom w:val="single" w:sz="2" w:space="10" w:color="650B5F" w:themeColor="accent1" w:themeShade="BF"/>
        <w:right w:val="single" w:sz="2" w:space="10" w:color="650B5F" w:themeColor="accent1" w:themeShade="BF"/>
      </w:pBdr>
      <w:ind w:left="1152" w:right="1152"/>
    </w:pPr>
    <w:rPr>
      <w:i/>
      <w:iCs/>
      <w:color w:val="650B5F" w:themeColor="accent1" w:themeShade="BF"/>
    </w:rPr>
  </w:style>
  <w:style w:type="character" w:styleId="IntenseEmphasis">
    <w:name w:val="Intense Emphasis"/>
    <w:basedOn w:val="DefaultParagraphFont"/>
    <w:uiPriority w:val="21"/>
    <w:qFormat/>
    <w:rsid w:val="00B7796B"/>
    <w:rPr>
      <w:b/>
      <w:bCs/>
      <w:i/>
      <w:iCs/>
      <w:color w:val="870F7F" w:themeColor="accent1"/>
    </w:rPr>
  </w:style>
  <w:style w:type="paragraph" w:styleId="IntenseQuote">
    <w:name w:val="Intense Quote"/>
    <w:basedOn w:val="Normal"/>
    <w:next w:val="Normal"/>
    <w:link w:val="IntenseQuoteChar"/>
    <w:uiPriority w:val="30"/>
    <w:qFormat/>
    <w:rsid w:val="3B0D9F72"/>
    <w:pPr>
      <w:pBdr>
        <w:bottom w:val="single" w:sz="4" w:space="4" w:color="870F7F" w:themeColor="accent1"/>
      </w:pBdr>
      <w:spacing w:before="200" w:after="280"/>
      <w:ind w:left="936" w:right="936"/>
    </w:pPr>
    <w:rPr>
      <w:b/>
      <w:bCs/>
      <w:i/>
      <w:iCs/>
      <w:color w:val="870F7F" w:themeColor="accent1"/>
    </w:rPr>
  </w:style>
  <w:style w:type="character" w:customStyle="1" w:styleId="IntenseQuoteChar">
    <w:name w:val="Intense Quote Char"/>
    <w:basedOn w:val="DefaultParagraphFont"/>
    <w:link w:val="IntenseQuote"/>
    <w:uiPriority w:val="30"/>
    <w:rsid w:val="00B7796B"/>
    <w:rPr>
      <w:b/>
      <w:bCs/>
      <w:i/>
      <w:iCs/>
      <w:color w:val="870F7F" w:themeColor="accent1"/>
    </w:rPr>
  </w:style>
  <w:style w:type="character" w:styleId="IntenseReference">
    <w:name w:val="Intense Reference"/>
    <w:basedOn w:val="DefaultParagraphFont"/>
    <w:uiPriority w:val="32"/>
    <w:qFormat/>
    <w:rsid w:val="00B7796B"/>
    <w:rPr>
      <w:b/>
      <w:bCs/>
      <w:smallCaps/>
      <w:color w:val="4BACC6" w:themeColor="accent2"/>
      <w:spacing w:val="5"/>
      <w:u w:val="single"/>
    </w:rPr>
  </w:style>
  <w:style w:type="character" w:styleId="BookTitle">
    <w:name w:val="Book Title"/>
    <w:basedOn w:val="DefaultParagraphFont"/>
    <w:uiPriority w:val="33"/>
    <w:qFormat/>
    <w:rsid w:val="00B7796B"/>
    <w:rPr>
      <w:b/>
      <w:bCs/>
      <w:smallCaps/>
      <w:spacing w:val="5"/>
    </w:rPr>
  </w:style>
  <w:style w:type="paragraph" w:styleId="Quote">
    <w:name w:val="Quote"/>
    <w:basedOn w:val="Normal"/>
    <w:next w:val="Normal"/>
    <w:link w:val="QuoteChar"/>
    <w:uiPriority w:val="29"/>
    <w:qFormat/>
    <w:rsid w:val="3B0D9F72"/>
    <w:rPr>
      <w:i/>
      <w:iCs/>
      <w:color w:val="000000" w:themeColor="text1"/>
    </w:rPr>
  </w:style>
  <w:style w:type="character" w:customStyle="1" w:styleId="QuoteChar">
    <w:name w:val="Quote Char"/>
    <w:basedOn w:val="DefaultParagraphFont"/>
    <w:link w:val="Quote"/>
    <w:uiPriority w:val="29"/>
    <w:rsid w:val="00B7796B"/>
    <w:rPr>
      <w:i/>
      <w:iCs/>
      <w:color w:val="000000" w:themeColor="text1"/>
    </w:rPr>
  </w:style>
  <w:style w:type="character" w:customStyle="1" w:styleId="TitleChar">
    <w:name w:val="Title Char"/>
    <w:basedOn w:val="DefaultParagraphFont"/>
    <w:link w:val="Title"/>
    <w:uiPriority w:val="10"/>
    <w:rsid w:val="009803A7"/>
    <w:rPr>
      <w:rFonts w:asciiTheme="majorHAnsi" w:eastAsiaTheme="majorEastAsia" w:hAnsiTheme="majorHAnsi" w:cstheme="majorBidi"/>
      <w:noProof/>
      <w:color w:val="650B5F" w:themeColor="accent1" w:themeShade="BF"/>
      <w:spacing w:val="5"/>
      <w:kern w:val="28"/>
      <w:sz w:val="48"/>
      <w:szCs w:val="48"/>
    </w:rPr>
  </w:style>
  <w:style w:type="paragraph" w:styleId="Subtitle">
    <w:name w:val="Subtitle"/>
    <w:basedOn w:val="Normal"/>
    <w:next w:val="Normal"/>
    <w:link w:val="SubtitleChar"/>
    <w:uiPriority w:val="11"/>
    <w:qFormat/>
    <w:rsid w:val="3B0D9F72"/>
    <w:rPr>
      <w:rFonts w:asciiTheme="majorHAnsi" w:eastAsiaTheme="majorEastAsia" w:hAnsiTheme="majorHAnsi" w:cstheme="majorBidi"/>
      <w:i/>
      <w:iCs/>
      <w:color w:val="870F7F" w:themeColor="accent1"/>
      <w:sz w:val="24"/>
      <w:szCs w:val="24"/>
    </w:rPr>
  </w:style>
  <w:style w:type="character" w:customStyle="1" w:styleId="SubtitleChar">
    <w:name w:val="Subtitle Char"/>
    <w:basedOn w:val="DefaultParagraphFont"/>
    <w:link w:val="Subtitle"/>
    <w:uiPriority w:val="11"/>
    <w:rsid w:val="00B7796B"/>
    <w:rPr>
      <w:rFonts w:asciiTheme="majorHAnsi" w:eastAsiaTheme="majorEastAsia" w:hAnsiTheme="majorHAnsi" w:cstheme="majorBidi"/>
      <w:i/>
      <w:iCs/>
      <w:color w:val="870F7F" w:themeColor="accent1"/>
      <w:spacing w:val="15"/>
      <w:sz w:val="24"/>
      <w:szCs w:val="24"/>
    </w:rPr>
  </w:style>
  <w:style w:type="paragraph" w:customStyle="1" w:styleId="ListMulti">
    <w:name w:val="List Multi"/>
    <w:basedOn w:val="ListNumber"/>
    <w:link w:val="ListMultiChar"/>
    <w:rsid w:val="00335837"/>
  </w:style>
  <w:style w:type="character" w:customStyle="1" w:styleId="ListNumberChar">
    <w:name w:val="List Number Char"/>
    <w:basedOn w:val="DefaultParagraphFont"/>
    <w:link w:val="ListNumber"/>
    <w:uiPriority w:val="4"/>
    <w:rsid w:val="00C54CD9"/>
    <w:rPr>
      <w:rFonts w:ascii="Calibri" w:hAnsi="Calibri"/>
    </w:rPr>
  </w:style>
  <w:style w:type="character" w:customStyle="1" w:styleId="ListMultiChar">
    <w:name w:val="List Multi Char"/>
    <w:basedOn w:val="ListNumberChar"/>
    <w:link w:val="ListMulti"/>
    <w:rsid w:val="00335837"/>
    <w:rPr>
      <w:rFonts w:ascii="Aaux Next Regular" w:hAnsi="Aaux Next Regular"/>
    </w:rPr>
  </w:style>
  <w:style w:type="table" w:customStyle="1" w:styleId="DuniyaTable1">
    <w:name w:val="Duniya Table 1"/>
    <w:basedOn w:val="TableNormal"/>
    <w:uiPriority w:val="99"/>
    <w:rsid w:val="00311904"/>
    <w:pPr>
      <w:spacing w:after="0" w:line="240" w:lineRule="auto"/>
      <w:jc w:val="center"/>
    </w:pPr>
    <w:rPr>
      <w:rFonts w:ascii="Aaux Next Medium" w:hAnsi="Aaux Next Mediu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___WRD_EMBED_SUB_174" w:hAnsi="___WRD_EMBED_SUB_174"/>
        <w:b/>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shd w:val="clear" w:color="auto" w:fill="F2F2F2" w:themeFill="background1" w:themeFillShade="F2"/>
      </w:tcPr>
    </w:tblStylePr>
    <w:tblStylePr w:type="firstCol">
      <w:tblPr/>
      <w:tcPr>
        <w:shd w:val="clear" w:color="auto" w:fill="FFFFFF" w:themeFill="background1"/>
      </w:tcPr>
    </w:tblStylePr>
  </w:style>
  <w:style w:type="paragraph" w:customStyle="1" w:styleId="PageSubheading">
    <w:name w:val="Page Subheading"/>
    <w:basedOn w:val="Title"/>
    <w:rsid w:val="00591263"/>
    <w:pPr>
      <w:spacing w:after="240"/>
      <w:jc w:val="center"/>
    </w:pPr>
    <w:rPr>
      <w:color w:val="808080" w:themeColor="background1" w:themeShade="80"/>
      <w:sz w:val="44"/>
    </w:rPr>
  </w:style>
  <w:style w:type="paragraph" w:customStyle="1" w:styleId="CoverTitle">
    <w:name w:val="Cover Title"/>
    <w:basedOn w:val="Normal"/>
    <w:link w:val="CoverTitleChar"/>
    <w:uiPriority w:val="1"/>
    <w:rsid w:val="3B0D9F72"/>
    <w:pPr>
      <w:spacing w:before="40" w:after="560"/>
    </w:pPr>
    <w:rPr>
      <w:rFonts w:ascii="Hand Of Sean Pro" w:hAnsi="Hand Of Sean Pro"/>
      <w:sz w:val="72"/>
      <w:szCs w:val="72"/>
    </w:rPr>
  </w:style>
  <w:style w:type="paragraph" w:customStyle="1" w:styleId="CoverSubtitle">
    <w:name w:val="Cover Subtitle"/>
    <w:basedOn w:val="Normal"/>
    <w:link w:val="CoverSubtitleChar"/>
    <w:uiPriority w:val="1"/>
    <w:rsid w:val="3B0D9F72"/>
    <w:pPr>
      <w:spacing w:before="40" w:after="40"/>
    </w:pPr>
    <w:rPr>
      <w:rFonts w:ascii="Hand Of Sean Pro" w:hAnsi="Hand Of Sean Pro"/>
      <w:color w:val="000000" w:themeColor="text1"/>
      <w:sz w:val="56"/>
      <w:szCs w:val="56"/>
    </w:rPr>
  </w:style>
  <w:style w:type="character" w:customStyle="1" w:styleId="CoverTitleChar">
    <w:name w:val="Cover Title Char"/>
    <w:basedOn w:val="DefaultParagraphFont"/>
    <w:link w:val="CoverTitle"/>
    <w:rsid w:val="00C54CD9"/>
    <w:rPr>
      <w:rFonts w:ascii="Hand Of Sean Pro" w:hAnsi="Hand Of Sean Pro"/>
      <w:sz w:val="72"/>
      <w:szCs w:val="72"/>
    </w:rPr>
  </w:style>
  <w:style w:type="paragraph" w:customStyle="1" w:styleId="CoverExtraInformation">
    <w:name w:val="Cover Extra Information"/>
    <w:basedOn w:val="Normal"/>
    <w:link w:val="CoverExtraInformationChar"/>
    <w:uiPriority w:val="1"/>
    <w:rsid w:val="3B0D9F72"/>
    <w:pPr>
      <w:spacing w:before="40" w:after="40"/>
      <w:contextualSpacing/>
      <w:jc w:val="center"/>
    </w:pPr>
    <w:rPr>
      <w:color w:val="808080" w:themeColor="background1" w:themeShade="80"/>
      <w:sz w:val="24"/>
      <w:szCs w:val="24"/>
    </w:rPr>
  </w:style>
  <w:style w:type="character" w:customStyle="1" w:styleId="CoverSubtitleChar">
    <w:name w:val="Cover Subtitle Char"/>
    <w:basedOn w:val="DefaultParagraphFont"/>
    <w:link w:val="CoverSubtitle"/>
    <w:rsid w:val="00D12294"/>
    <w:rPr>
      <w:rFonts w:ascii="Hand Of Sean Pro" w:hAnsi="Hand Of Sean Pro"/>
      <w:color w:val="000000" w:themeColor="text1"/>
      <w:sz w:val="56"/>
      <w:szCs w:val="56"/>
    </w:rPr>
  </w:style>
  <w:style w:type="character" w:customStyle="1" w:styleId="CoverExtraInformationChar">
    <w:name w:val="Cover Extra Information Char"/>
    <w:basedOn w:val="DefaultParagraphFont"/>
    <w:link w:val="CoverExtraInformation"/>
    <w:rsid w:val="00C54CD9"/>
    <w:rPr>
      <w:rFonts w:ascii="Calibri" w:hAnsi="Calibri"/>
      <w:color w:val="808080" w:themeColor="background1" w:themeShade="80"/>
      <w:sz w:val="24"/>
      <w:szCs w:val="24"/>
    </w:rPr>
  </w:style>
  <w:style w:type="character" w:styleId="Emphasis">
    <w:name w:val="Emphasis"/>
    <w:basedOn w:val="DefaultParagraphFont"/>
    <w:uiPriority w:val="20"/>
    <w:qFormat/>
    <w:rsid w:val="00B7796B"/>
    <w:rPr>
      <w:i/>
      <w:iCs/>
    </w:rPr>
  </w:style>
  <w:style w:type="paragraph" w:styleId="NoSpacing">
    <w:name w:val="No Spacing"/>
    <w:link w:val="NoSpacingChar"/>
    <w:uiPriority w:val="1"/>
    <w:qFormat/>
    <w:rsid w:val="00B7796B"/>
    <w:pPr>
      <w:spacing w:after="0" w:line="240" w:lineRule="auto"/>
    </w:pPr>
  </w:style>
  <w:style w:type="paragraph" w:styleId="ListParagraph">
    <w:name w:val="List Paragraph"/>
    <w:basedOn w:val="Normal"/>
    <w:uiPriority w:val="34"/>
    <w:qFormat/>
    <w:rsid w:val="3B0D9F72"/>
    <w:pPr>
      <w:ind w:left="720"/>
      <w:contextualSpacing/>
    </w:pPr>
  </w:style>
  <w:style w:type="character" w:styleId="SubtleEmphasis">
    <w:name w:val="Subtle Emphasis"/>
    <w:basedOn w:val="DefaultParagraphFont"/>
    <w:uiPriority w:val="19"/>
    <w:qFormat/>
    <w:rsid w:val="00B7796B"/>
    <w:rPr>
      <w:i/>
      <w:iCs/>
      <w:color w:val="808080" w:themeColor="text1" w:themeTint="7F"/>
    </w:rPr>
  </w:style>
  <w:style w:type="character" w:styleId="SubtleReference">
    <w:name w:val="Subtle Reference"/>
    <w:basedOn w:val="DefaultParagraphFont"/>
    <w:uiPriority w:val="31"/>
    <w:qFormat/>
    <w:rsid w:val="00B7796B"/>
    <w:rPr>
      <w:smallCaps/>
      <w:color w:val="4BACC6" w:themeColor="accent2"/>
      <w:u w:val="single"/>
    </w:rPr>
  </w:style>
  <w:style w:type="paragraph" w:customStyle="1" w:styleId="PersonalName">
    <w:name w:val="Personal Name"/>
    <w:basedOn w:val="Title"/>
    <w:rsid w:val="00B7796B"/>
    <w:rPr>
      <w:b/>
      <w:caps/>
      <w:color w:val="000000"/>
      <w:sz w:val="28"/>
      <w:szCs w:val="28"/>
    </w:rPr>
  </w:style>
  <w:style w:type="character" w:customStyle="1" w:styleId="NoSpacingChar">
    <w:name w:val="No Spacing Char"/>
    <w:basedOn w:val="DefaultParagraphFont"/>
    <w:link w:val="NoSpacing"/>
    <w:uiPriority w:val="1"/>
    <w:rsid w:val="00B7796B"/>
  </w:style>
  <w:style w:type="paragraph" w:styleId="Revision">
    <w:name w:val="Revision"/>
    <w:hidden/>
    <w:uiPriority w:val="99"/>
    <w:semiHidden/>
    <w:rsid w:val="00CF00EF"/>
    <w:pPr>
      <w:spacing w:after="0" w:line="240" w:lineRule="auto"/>
    </w:pPr>
    <w:rPr>
      <w:rFonts w:ascii="Calibri" w:hAnsi="Calibri"/>
      <w:lang w:val="en-AU"/>
    </w:rPr>
  </w:style>
  <w:style w:type="paragraph" w:customStyle="1" w:styleId="listofpeople">
    <w:name w:val="list of people"/>
    <w:basedOn w:val="Normal"/>
    <w:qFormat/>
    <w:rsid w:val="0064656C"/>
    <w:pPr>
      <w:spacing w:before="0" w:after="0"/>
    </w:pPr>
  </w:style>
  <w:style w:type="paragraph" w:customStyle="1" w:styleId="Listofacronyms">
    <w:name w:val="List of acronyms"/>
    <w:basedOn w:val="Normal"/>
    <w:qFormat/>
    <w:rsid w:val="00E16197"/>
    <w:pPr>
      <w:spacing w:before="60" w:after="60"/>
    </w:pPr>
    <w:rPr>
      <w:rFonts w:eastAsia="Calibri" w:cs="Calibri"/>
    </w:rPr>
  </w:style>
  <w:style w:type="character" w:customStyle="1" w:styleId="apple-converted-space">
    <w:name w:val="apple-converted-space"/>
    <w:basedOn w:val="DefaultParagraphFont"/>
    <w:rsid w:val="00CC7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382067">
      <w:bodyDiv w:val="1"/>
      <w:marLeft w:val="0"/>
      <w:marRight w:val="0"/>
      <w:marTop w:val="0"/>
      <w:marBottom w:val="0"/>
      <w:divBdr>
        <w:top w:val="none" w:sz="0" w:space="0" w:color="auto"/>
        <w:left w:val="none" w:sz="0" w:space="0" w:color="auto"/>
        <w:bottom w:val="none" w:sz="0" w:space="0" w:color="auto"/>
        <w:right w:val="none" w:sz="0" w:space="0" w:color="auto"/>
      </w:divBdr>
      <w:divsChild>
        <w:div w:id="183789257">
          <w:marLeft w:val="720"/>
          <w:marRight w:val="0"/>
          <w:marTop w:val="0"/>
          <w:marBottom w:val="120"/>
          <w:divBdr>
            <w:top w:val="none" w:sz="0" w:space="0" w:color="auto"/>
            <w:left w:val="none" w:sz="0" w:space="0" w:color="auto"/>
            <w:bottom w:val="none" w:sz="0" w:space="0" w:color="auto"/>
            <w:right w:val="none" w:sz="0" w:space="0" w:color="auto"/>
          </w:divBdr>
        </w:div>
        <w:div w:id="1726248492">
          <w:marLeft w:val="720"/>
          <w:marRight w:val="0"/>
          <w:marTop w:val="0"/>
          <w:marBottom w:val="120"/>
          <w:divBdr>
            <w:top w:val="none" w:sz="0" w:space="0" w:color="auto"/>
            <w:left w:val="none" w:sz="0" w:space="0" w:color="auto"/>
            <w:bottom w:val="none" w:sz="0" w:space="0" w:color="auto"/>
            <w:right w:val="none" w:sz="0" w:space="0" w:color="auto"/>
          </w:divBdr>
        </w:div>
      </w:divsChild>
    </w:div>
    <w:div w:id="716777745">
      <w:bodyDiv w:val="1"/>
      <w:marLeft w:val="0"/>
      <w:marRight w:val="0"/>
      <w:marTop w:val="0"/>
      <w:marBottom w:val="0"/>
      <w:divBdr>
        <w:top w:val="none" w:sz="0" w:space="0" w:color="auto"/>
        <w:left w:val="none" w:sz="0" w:space="0" w:color="auto"/>
        <w:bottom w:val="none" w:sz="0" w:space="0" w:color="auto"/>
        <w:right w:val="none" w:sz="0" w:space="0" w:color="auto"/>
      </w:divBdr>
      <w:divsChild>
        <w:div w:id="1034381750">
          <w:marLeft w:val="0"/>
          <w:marRight w:val="0"/>
          <w:marTop w:val="0"/>
          <w:marBottom w:val="0"/>
          <w:divBdr>
            <w:top w:val="none" w:sz="0" w:space="0" w:color="auto"/>
            <w:left w:val="none" w:sz="0" w:space="0" w:color="auto"/>
            <w:bottom w:val="none" w:sz="0" w:space="0" w:color="auto"/>
            <w:right w:val="none" w:sz="0" w:space="0" w:color="auto"/>
          </w:divBdr>
        </w:div>
        <w:div w:id="194318982">
          <w:marLeft w:val="0"/>
          <w:marRight w:val="0"/>
          <w:marTop w:val="0"/>
          <w:marBottom w:val="0"/>
          <w:divBdr>
            <w:top w:val="none" w:sz="0" w:space="0" w:color="auto"/>
            <w:left w:val="none" w:sz="0" w:space="0" w:color="auto"/>
            <w:bottom w:val="none" w:sz="0" w:space="0" w:color="auto"/>
            <w:right w:val="none" w:sz="0" w:space="0" w:color="auto"/>
          </w:divBdr>
        </w:div>
        <w:div w:id="645596548">
          <w:marLeft w:val="0"/>
          <w:marRight w:val="0"/>
          <w:marTop w:val="0"/>
          <w:marBottom w:val="0"/>
          <w:divBdr>
            <w:top w:val="none" w:sz="0" w:space="0" w:color="auto"/>
            <w:left w:val="none" w:sz="0" w:space="0" w:color="auto"/>
            <w:bottom w:val="none" w:sz="0" w:space="0" w:color="auto"/>
            <w:right w:val="none" w:sz="0" w:space="0" w:color="auto"/>
          </w:divBdr>
        </w:div>
      </w:divsChild>
    </w:div>
    <w:div w:id="810437368">
      <w:bodyDiv w:val="1"/>
      <w:marLeft w:val="0"/>
      <w:marRight w:val="0"/>
      <w:marTop w:val="0"/>
      <w:marBottom w:val="0"/>
      <w:divBdr>
        <w:top w:val="none" w:sz="0" w:space="0" w:color="auto"/>
        <w:left w:val="none" w:sz="0" w:space="0" w:color="auto"/>
        <w:bottom w:val="none" w:sz="0" w:space="0" w:color="auto"/>
        <w:right w:val="none" w:sz="0" w:space="0" w:color="auto"/>
      </w:divBdr>
      <w:divsChild>
        <w:div w:id="121967021">
          <w:marLeft w:val="1166"/>
          <w:marRight w:val="0"/>
          <w:marTop w:val="0"/>
          <w:marBottom w:val="120"/>
          <w:divBdr>
            <w:top w:val="none" w:sz="0" w:space="0" w:color="auto"/>
            <w:left w:val="none" w:sz="0" w:space="0" w:color="auto"/>
            <w:bottom w:val="none" w:sz="0" w:space="0" w:color="auto"/>
            <w:right w:val="none" w:sz="0" w:space="0" w:color="auto"/>
          </w:divBdr>
        </w:div>
        <w:div w:id="155658694">
          <w:marLeft w:val="1166"/>
          <w:marRight w:val="0"/>
          <w:marTop w:val="0"/>
          <w:marBottom w:val="120"/>
          <w:divBdr>
            <w:top w:val="none" w:sz="0" w:space="0" w:color="auto"/>
            <w:left w:val="none" w:sz="0" w:space="0" w:color="auto"/>
            <w:bottom w:val="none" w:sz="0" w:space="0" w:color="auto"/>
            <w:right w:val="none" w:sz="0" w:space="0" w:color="auto"/>
          </w:divBdr>
        </w:div>
        <w:div w:id="1611859147">
          <w:marLeft w:val="1166"/>
          <w:marRight w:val="0"/>
          <w:marTop w:val="0"/>
          <w:marBottom w:val="120"/>
          <w:divBdr>
            <w:top w:val="none" w:sz="0" w:space="0" w:color="auto"/>
            <w:left w:val="none" w:sz="0" w:space="0" w:color="auto"/>
            <w:bottom w:val="none" w:sz="0" w:space="0" w:color="auto"/>
            <w:right w:val="none" w:sz="0" w:space="0" w:color="auto"/>
          </w:divBdr>
        </w:div>
      </w:divsChild>
    </w:div>
    <w:div w:id="969746760">
      <w:bodyDiv w:val="1"/>
      <w:marLeft w:val="0"/>
      <w:marRight w:val="0"/>
      <w:marTop w:val="0"/>
      <w:marBottom w:val="0"/>
      <w:divBdr>
        <w:top w:val="none" w:sz="0" w:space="0" w:color="auto"/>
        <w:left w:val="none" w:sz="0" w:space="0" w:color="auto"/>
        <w:bottom w:val="none" w:sz="0" w:space="0" w:color="auto"/>
        <w:right w:val="none" w:sz="0" w:space="0" w:color="auto"/>
      </w:divBdr>
    </w:div>
    <w:div w:id="996617121">
      <w:bodyDiv w:val="1"/>
      <w:marLeft w:val="0"/>
      <w:marRight w:val="0"/>
      <w:marTop w:val="0"/>
      <w:marBottom w:val="0"/>
      <w:divBdr>
        <w:top w:val="none" w:sz="0" w:space="0" w:color="auto"/>
        <w:left w:val="none" w:sz="0" w:space="0" w:color="auto"/>
        <w:bottom w:val="none" w:sz="0" w:space="0" w:color="auto"/>
        <w:right w:val="none" w:sz="0" w:space="0" w:color="auto"/>
      </w:divBdr>
    </w:div>
    <w:div w:id="1134910128">
      <w:bodyDiv w:val="1"/>
      <w:marLeft w:val="0"/>
      <w:marRight w:val="0"/>
      <w:marTop w:val="0"/>
      <w:marBottom w:val="0"/>
      <w:divBdr>
        <w:top w:val="none" w:sz="0" w:space="0" w:color="auto"/>
        <w:left w:val="none" w:sz="0" w:space="0" w:color="auto"/>
        <w:bottom w:val="none" w:sz="0" w:space="0" w:color="auto"/>
        <w:right w:val="none" w:sz="0" w:space="0" w:color="auto"/>
      </w:divBdr>
    </w:div>
    <w:div w:id="1174416844">
      <w:bodyDiv w:val="1"/>
      <w:marLeft w:val="0"/>
      <w:marRight w:val="0"/>
      <w:marTop w:val="0"/>
      <w:marBottom w:val="0"/>
      <w:divBdr>
        <w:top w:val="none" w:sz="0" w:space="0" w:color="auto"/>
        <w:left w:val="none" w:sz="0" w:space="0" w:color="auto"/>
        <w:bottom w:val="none" w:sz="0" w:space="0" w:color="auto"/>
        <w:right w:val="none" w:sz="0" w:space="0" w:color="auto"/>
      </w:divBdr>
    </w:div>
    <w:div w:id="1337420942">
      <w:bodyDiv w:val="1"/>
      <w:marLeft w:val="0"/>
      <w:marRight w:val="0"/>
      <w:marTop w:val="0"/>
      <w:marBottom w:val="0"/>
      <w:divBdr>
        <w:top w:val="none" w:sz="0" w:space="0" w:color="auto"/>
        <w:left w:val="none" w:sz="0" w:space="0" w:color="auto"/>
        <w:bottom w:val="none" w:sz="0" w:space="0" w:color="auto"/>
        <w:right w:val="none" w:sz="0" w:space="0" w:color="auto"/>
      </w:divBdr>
    </w:div>
    <w:div w:id="1628005682">
      <w:bodyDiv w:val="1"/>
      <w:marLeft w:val="0"/>
      <w:marRight w:val="0"/>
      <w:marTop w:val="0"/>
      <w:marBottom w:val="0"/>
      <w:divBdr>
        <w:top w:val="none" w:sz="0" w:space="0" w:color="auto"/>
        <w:left w:val="none" w:sz="0" w:space="0" w:color="auto"/>
        <w:bottom w:val="none" w:sz="0" w:space="0" w:color="auto"/>
        <w:right w:val="none" w:sz="0" w:space="0" w:color="auto"/>
      </w:divBdr>
      <w:divsChild>
        <w:div w:id="1661537">
          <w:marLeft w:val="0"/>
          <w:marRight w:val="0"/>
          <w:marTop w:val="0"/>
          <w:marBottom w:val="0"/>
          <w:divBdr>
            <w:top w:val="none" w:sz="0" w:space="0" w:color="auto"/>
            <w:left w:val="none" w:sz="0" w:space="0" w:color="auto"/>
            <w:bottom w:val="none" w:sz="0" w:space="0" w:color="auto"/>
            <w:right w:val="none" w:sz="0" w:space="0" w:color="auto"/>
          </w:divBdr>
          <w:divsChild>
            <w:div w:id="1285890994">
              <w:marLeft w:val="0"/>
              <w:marRight w:val="0"/>
              <w:marTop w:val="0"/>
              <w:marBottom w:val="0"/>
              <w:divBdr>
                <w:top w:val="none" w:sz="0" w:space="0" w:color="auto"/>
                <w:left w:val="none" w:sz="0" w:space="0" w:color="auto"/>
                <w:bottom w:val="none" w:sz="0" w:space="0" w:color="auto"/>
                <w:right w:val="none" w:sz="0" w:space="0" w:color="auto"/>
              </w:divBdr>
            </w:div>
          </w:divsChild>
        </w:div>
        <w:div w:id="20085469">
          <w:marLeft w:val="0"/>
          <w:marRight w:val="0"/>
          <w:marTop w:val="0"/>
          <w:marBottom w:val="0"/>
          <w:divBdr>
            <w:top w:val="none" w:sz="0" w:space="0" w:color="auto"/>
            <w:left w:val="none" w:sz="0" w:space="0" w:color="auto"/>
            <w:bottom w:val="none" w:sz="0" w:space="0" w:color="auto"/>
            <w:right w:val="none" w:sz="0" w:space="0" w:color="auto"/>
          </w:divBdr>
          <w:divsChild>
            <w:div w:id="834732896">
              <w:marLeft w:val="0"/>
              <w:marRight w:val="0"/>
              <w:marTop w:val="0"/>
              <w:marBottom w:val="0"/>
              <w:divBdr>
                <w:top w:val="none" w:sz="0" w:space="0" w:color="auto"/>
                <w:left w:val="none" w:sz="0" w:space="0" w:color="auto"/>
                <w:bottom w:val="none" w:sz="0" w:space="0" w:color="auto"/>
                <w:right w:val="none" w:sz="0" w:space="0" w:color="auto"/>
              </w:divBdr>
            </w:div>
          </w:divsChild>
        </w:div>
        <w:div w:id="23337523">
          <w:marLeft w:val="0"/>
          <w:marRight w:val="0"/>
          <w:marTop w:val="0"/>
          <w:marBottom w:val="0"/>
          <w:divBdr>
            <w:top w:val="none" w:sz="0" w:space="0" w:color="auto"/>
            <w:left w:val="none" w:sz="0" w:space="0" w:color="auto"/>
            <w:bottom w:val="none" w:sz="0" w:space="0" w:color="auto"/>
            <w:right w:val="none" w:sz="0" w:space="0" w:color="auto"/>
          </w:divBdr>
          <w:divsChild>
            <w:div w:id="683089181">
              <w:marLeft w:val="0"/>
              <w:marRight w:val="0"/>
              <w:marTop w:val="0"/>
              <w:marBottom w:val="0"/>
              <w:divBdr>
                <w:top w:val="none" w:sz="0" w:space="0" w:color="auto"/>
                <w:left w:val="none" w:sz="0" w:space="0" w:color="auto"/>
                <w:bottom w:val="none" w:sz="0" w:space="0" w:color="auto"/>
                <w:right w:val="none" w:sz="0" w:space="0" w:color="auto"/>
              </w:divBdr>
            </w:div>
          </w:divsChild>
        </w:div>
        <w:div w:id="30082094">
          <w:marLeft w:val="0"/>
          <w:marRight w:val="0"/>
          <w:marTop w:val="0"/>
          <w:marBottom w:val="0"/>
          <w:divBdr>
            <w:top w:val="none" w:sz="0" w:space="0" w:color="auto"/>
            <w:left w:val="none" w:sz="0" w:space="0" w:color="auto"/>
            <w:bottom w:val="none" w:sz="0" w:space="0" w:color="auto"/>
            <w:right w:val="none" w:sz="0" w:space="0" w:color="auto"/>
          </w:divBdr>
          <w:divsChild>
            <w:div w:id="1177958868">
              <w:marLeft w:val="0"/>
              <w:marRight w:val="0"/>
              <w:marTop w:val="0"/>
              <w:marBottom w:val="0"/>
              <w:divBdr>
                <w:top w:val="none" w:sz="0" w:space="0" w:color="auto"/>
                <w:left w:val="none" w:sz="0" w:space="0" w:color="auto"/>
                <w:bottom w:val="none" w:sz="0" w:space="0" w:color="auto"/>
                <w:right w:val="none" w:sz="0" w:space="0" w:color="auto"/>
              </w:divBdr>
            </w:div>
          </w:divsChild>
        </w:div>
        <w:div w:id="41751927">
          <w:marLeft w:val="0"/>
          <w:marRight w:val="0"/>
          <w:marTop w:val="0"/>
          <w:marBottom w:val="0"/>
          <w:divBdr>
            <w:top w:val="none" w:sz="0" w:space="0" w:color="auto"/>
            <w:left w:val="none" w:sz="0" w:space="0" w:color="auto"/>
            <w:bottom w:val="none" w:sz="0" w:space="0" w:color="auto"/>
            <w:right w:val="none" w:sz="0" w:space="0" w:color="auto"/>
          </w:divBdr>
          <w:divsChild>
            <w:div w:id="2012368087">
              <w:marLeft w:val="0"/>
              <w:marRight w:val="0"/>
              <w:marTop w:val="0"/>
              <w:marBottom w:val="0"/>
              <w:divBdr>
                <w:top w:val="none" w:sz="0" w:space="0" w:color="auto"/>
                <w:left w:val="none" w:sz="0" w:space="0" w:color="auto"/>
                <w:bottom w:val="none" w:sz="0" w:space="0" w:color="auto"/>
                <w:right w:val="none" w:sz="0" w:space="0" w:color="auto"/>
              </w:divBdr>
            </w:div>
          </w:divsChild>
        </w:div>
        <w:div w:id="57559553">
          <w:marLeft w:val="0"/>
          <w:marRight w:val="0"/>
          <w:marTop w:val="0"/>
          <w:marBottom w:val="0"/>
          <w:divBdr>
            <w:top w:val="none" w:sz="0" w:space="0" w:color="auto"/>
            <w:left w:val="none" w:sz="0" w:space="0" w:color="auto"/>
            <w:bottom w:val="none" w:sz="0" w:space="0" w:color="auto"/>
            <w:right w:val="none" w:sz="0" w:space="0" w:color="auto"/>
          </w:divBdr>
          <w:divsChild>
            <w:div w:id="527303276">
              <w:marLeft w:val="0"/>
              <w:marRight w:val="0"/>
              <w:marTop w:val="0"/>
              <w:marBottom w:val="0"/>
              <w:divBdr>
                <w:top w:val="none" w:sz="0" w:space="0" w:color="auto"/>
                <w:left w:val="none" w:sz="0" w:space="0" w:color="auto"/>
                <w:bottom w:val="none" w:sz="0" w:space="0" w:color="auto"/>
                <w:right w:val="none" w:sz="0" w:space="0" w:color="auto"/>
              </w:divBdr>
            </w:div>
          </w:divsChild>
        </w:div>
        <w:div w:id="61872185">
          <w:marLeft w:val="0"/>
          <w:marRight w:val="0"/>
          <w:marTop w:val="0"/>
          <w:marBottom w:val="0"/>
          <w:divBdr>
            <w:top w:val="none" w:sz="0" w:space="0" w:color="auto"/>
            <w:left w:val="none" w:sz="0" w:space="0" w:color="auto"/>
            <w:bottom w:val="none" w:sz="0" w:space="0" w:color="auto"/>
            <w:right w:val="none" w:sz="0" w:space="0" w:color="auto"/>
          </w:divBdr>
          <w:divsChild>
            <w:div w:id="1753350658">
              <w:marLeft w:val="0"/>
              <w:marRight w:val="0"/>
              <w:marTop w:val="0"/>
              <w:marBottom w:val="0"/>
              <w:divBdr>
                <w:top w:val="none" w:sz="0" w:space="0" w:color="auto"/>
                <w:left w:val="none" w:sz="0" w:space="0" w:color="auto"/>
                <w:bottom w:val="none" w:sz="0" w:space="0" w:color="auto"/>
                <w:right w:val="none" w:sz="0" w:space="0" w:color="auto"/>
              </w:divBdr>
            </w:div>
          </w:divsChild>
        </w:div>
        <w:div w:id="65038014">
          <w:marLeft w:val="0"/>
          <w:marRight w:val="0"/>
          <w:marTop w:val="0"/>
          <w:marBottom w:val="0"/>
          <w:divBdr>
            <w:top w:val="none" w:sz="0" w:space="0" w:color="auto"/>
            <w:left w:val="none" w:sz="0" w:space="0" w:color="auto"/>
            <w:bottom w:val="none" w:sz="0" w:space="0" w:color="auto"/>
            <w:right w:val="none" w:sz="0" w:space="0" w:color="auto"/>
          </w:divBdr>
          <w:divsChild>
            <w:div w:id="658114137">
              <w:marLeft w:val="0"/>
              <w:marRight w:val="0"/>
              <w:marTop w:val="0"/>
              <w:marBottom w:val="0"/>
              <w:divBdr>
                <w:top w:val="none" w:sz="0" w:space="0" w:color="auto"/>
                <w:left w:val="none" w:sz="0" w:space="0" w:color="auto"/>
                <w:bottom w:val="none" w:sz="0" w:space="0" w:color="auto"/>
                <w:right w:val="none" w:sz="0" w:space="0" w:color="auto"/>
              </w:divBdr>
            </w:div>
          </w:divsChild>
        </w:div>
        <w:div w:id="67310192">
          <w:marLeft w:val="0"/>
          <w:marRight w:val="0"/>
          <w:marTop w:val="0"/>
          <w:marBottom w:val="0"/>
          <w:divBdr>
            <w:top w:val="none" w:sz="0" w:space="0" w:color="auto"/>
            <w:left w:val="none" w:sz="0" w:space="0" w:color="auto"/>
            <w:bottom w:val="none" w:sz="0" w:space="0" w:color="auto"/>
            <w:right w:val="none" w:sz="0" w:space="0" w:color="auto"/>
          </w:divBdr>
          <w:divsChild>
            <w:div w:id="1968004246">
              <w:marLeft w:val="0"/>
              <w:marRight w:val="0"/>
              <w:marTop w:val="0"/>
              <w:marBottom w:val="0"/>
              <w:divBdr>
                <w:top w:val="none" w:sz="0" w:space="0" w:color="auto"/>
                <w:left w:val="none" w:sz="0" w:space="0" w:color="auto"/>
                <w:bottom w:val="none" w:sz="0" w:space="0" w:color="auto"/>
                <w:right w:val="none" w:sz="0" w:space="0" w:color="auto"/>
              </w:divBdr>
            </w:div>
          </w:divsChild>
        </w:div>
        <w:div w:id="70543780">
          <w:marLeft w:val="0"/>
          <w:marRight w:val="0"/>
          <w:marTop w:val="0"/>
          <w:marBottom w:val="0"/>
          <w:divBdr>
            <w:top w:val="none" w:sz="0" w:space="0" w:color="auto"/>
            <w:left w:val="none" w:sz="0" w:space="0" w:color="auto"/>
            <w:bottom w:val="none" w:sz="0" w:space="0" w:color="auto"/>
            <w:right w:val="none" w:sz="0" w:space="0" w:color="auto"/>
          </w:divBdr>
          <w:divsChild>
            <w:div w:id="1502967856">
              <w:marLeft w:val="0"/>
              <w:marRight w:val="0"/>
              <w:marTop w:val="0"/>
              <w:marBottom w:val="0"/>
              <w:divBdr>
                <w:top w:val="none" w:sz="0" w:space="0" w:color="auto"/>
                <w:left w:val="none" w:sz="0" w:space="0" w:color="auto"/>
                <w:bottom w:val="none" w:sz="0" w:space="0" w:color="auto"/>
                <w:right w:val="none" w:sz="0" w:space="0" w:color="auto"/>
              </w:divBdr>
            </w:div>
          </w:divsChild>
        </w:div>
        <w:div w:id="72508493">
          <w:marLeft w:val="0"/>
          <w:marRight w:val="0"/>
          <w:marTop w:val="0"/>
          <w:marBottom w:val="0"/>
          <w:divBdr>
            <w:top w:val="none" w:sz="0" w:space="0" w:color="auto"/>
            <w:left w:val="none" w:sz="0" w:space="0" w:color="auto"/>
            <w:bottom w:val="none" w:sz="0" w:space="0" w:color="auto"/>
            <w:right w:val="none" w:sz="0" w:space="0" w:color="auto"/>
          </w:divBdr>
          <w:divsChild>
            <w:div w:id="369259795">
              <w:marLeft w:val="0"/>
              <w:marRight w:val="0"/>
              <w:marTop w:val="0"/>
              <w:marBottom w:val="0"/>
              <w:divBdr>
                <w:top w:val="none" w:sz="0" w:space="0" w:color="auto"/>
                <w:left w:val="none" w:sz="0" w:space="0" w:color="auto"/>
                <w:bottom w:val="none" w:sz="0" w:space="0" w:color="auto"/>
                <w:right w:val="none" w:sz="0" w:space="0" w:color="auto"/>
              </w:divBdr>
            </w:div>
          </w:divsChild>
        </w:div>
        <w:div w:id="74596110">
          <w:marLeft w:val="0"/>
          <w:marRight w:val="0"/>
          <w:marTop w:val="0"/>
          <w:marBottom w:val="0"/>
          <w:divBdr>
            <w:top w:val="none" w:sz="0" w:space="0" w:color="auto"/>
            <w:left w:val="none" w:sz="0" w:space="0" w:color="auto"/>
            <w:bottom w:val="none" w:sz="0" w:space="0" w:color="auto"/>
            <w:right w:val="none" w:sz="0" w:space="0" w:color="auto"/>
          </w:divBdr>
          <w:divsChild>
            <w:div w:id="1938245547">
              <w:marLeft w:val="0"/>
              <w:marRight w:val="0"/>
              <w:marTop w:val="0"/>
              <w:marBottom w:val="0"/>
              <w:divBdr>
                <w:top w:val="none" w:sz="0" w:space="0" w:color="auto"/>
                <w:left w:val="none" w:sz="0" w:space="0" w:color="auto"/>
                <w:bottom w:val="none" w:sz="0" w:space="0" w:color="auto"/>
                <w:right w:val="none" w:sz="0" w:space="0" w:color="auto"/>
              </w:divBdr>
            </w:div>
          </w:divsChild>
        </w:div>
        <w:div w:id="84542889">
          <w:marLeft w:val="0"/>
          <w:marRight w:val="0"/>
          <w:marTop w:val="0"/>
          <w:marBottom w:val="0"/>
          <w:divBdr>
            <w:top w:val="none" w:sz="0" w:space="0" w:color="auto"/>
            <w:left w:val="none" w:sz="0" w:space="0" w:color="auto"/>
            <w:bottom w:val="none" w:sz="0" w:space="0" w:color="auto"/>
            <w:right w:val="none" w:sz="0" w:space="0" w:color="auto"/>
          </w:divBdr>
        </w:div>
        <w:div w:id="86462612">
          <w:marLeft w:val="0"/>
          <w:marRight w:val="0"/>
          <w:marTop w:val="0"/>
          <w:marBottom w:val="0"/>
          <w:divBdr>
            <w:top w:val="none" w:sz="0" w:space="0" w:color="auto"/>
            <w:left w:val="none" w:sz="0" w:space="0" w:color="auto"/>
            <w:bottom w:val="none" w:sz="0" w:space="0" w:color="auto"/>
            <w:right w:val="none" w:sz="0" w:space="0" w:color="auto"/>
          </w:divBdr>
          <w:divsChild>
            <w:div w:id="767653539">
              <w:marLeft w:val="0"/>
              <w:marRight w:val="0"/>
              <w:marTop w:val="0"/>
              <w:marBottom w:val="0"/>
              <w:divBdr>
                <w:top w:val="none" w:sz="0" w:space="0" w:color="auto"/>
                <w:left w:val="none" w:sz="0" w:space="0" w:color="auto"/>
                <w:bottom w:val="none" w:sz="0" w:space="0" w:color="auto"/>
                <w:right w:val="none" w:sz="0" w:space="0" w:color="auto"/>
              </w:divBdr>
            </w:div>
          </w:divsChild>
        </w:div>
        <w:div w:id="101995360">
          <w:marLeft w:val="0"/>
          <w:marRight w:val="0"/>
          <w:marTop w:val="0"/>
          <w:marBottom w:val="0"/>
          <w:divBdr>
            <w:top w:val="none" w:sz="0" w:space="0" w:color="auto"/>
            <w:left w:val="none" w:sz="0" w:space="0" w:color="auto"/>
            <w:bottom w:val="none" w:sz="0" w:space="0" w:color="auto"/>
            <w:right w:val="none" w:sz="0" w:space="0" w:color="auto"/>
          </w:divBdr>
          <w:divsChild>
            <w:div w:id="1714650344">
              <w:marLeft w:val="0"/>
              <w:marRight w:val="0"/>
              <w:marTop w:val="0"/>
              <w:marBottom w:val="0"/>
              <w:divBdr>
                <w:top w:val="none" w:sz="0" w:space="0" w:color="auto"/>
                <w:left w:val="none" w:sz="0" w:space="0" w:color="auto"/>
                <w:bottom w:val="none" w:sz="0" w:space="0" w:color="auto"/>
                <w:right w:val="none" w:sz="0" w:space="0" w:color="auto"/>
              </w:divBdr>
            </w:div>
            <w:div w:id="2029520630">
              <w:marLeft w:val="0"/>
              <w:marRight w:val="0"/>
              <w:marTop w:val="0"/>
              <w:marBottom w:val="0"/>
              <w:divBdr>
                <w:top w:val="none" w:sz="0" w:space="0" w:color="auto"/>
                <w:left w:val="none" w:sz="0" w:space="0" w:color="auto"/>
                <w:bottom w:val="none" w:sz="0" w:space="0" w:color="auto"/>
                <w:right w:val="none" w:sz="0" w:space="0" w:color="auto"/>
              </w:divBdr>
            </w:div>
          </w:divsChild>
        </w:div>
        <w:div w:id="102307284">
          <w:marLeft w:val="0"/>
          <w:marRight w:val="0"/>
          <w:marTop w:val="0"/>
          <w:marBottom w:val="0"/>
          <w:divBdr>
            <w:top w:val="none" w:sz="0" w:space="0" w:color="auto"/>
            <w:left w:val="none" w:sz="0" w:space="0" w:color="auto"/>
            <w:bottom w:val="none" w:sz="0" w:space="0" w:color="auto"/>
            <w:right w:val="none" w:sz="0" w:space="0" w:color="auto"/>
          </w:divBdr>
          <w:divsChild>
            <w:div w:id="445933792">
              <w:marLeft w:val="0"/>
              <w:marRight w:val="0"/>
              <w:marTop w:val="0"/>
              <w:marBottom w:val="0"/>
              <w:divBdr>
                <w:top w:val="none" w:sz="0" w:space="0" w:color="auto"/>
                <w:left w:val="none" w:sz="0" w:space="0" w:color="auto"/>
                <w:bottom w:val="none" w:sz="0" w:space="0" w:color="auto"/>
                <w:right w:val="none" w:sz="0" w:space="0" w:color="auto"/>
              </w:divBdr>
            </w:div>
          </w:divsChild>
        </w:div>
        <w:div w:id="105389835">
          <w:marLeft w:val="0"/>
          <w:marRight w:val="0"/>
          <w:marTop w:val="0"/>
          <w:marBottom w:val="0"/>
          <w:divBdr>
            <w:top w:val="none" w:sz="0" w:space="0" w:color="auto"/>
            <w:left w:val="none" w:sz="0" w:space="0" w:color="auto"/>
            <w:bottom w:val="none" w:sz="0" w:space="0" w:color="auto"/>
            <w:right w:val="none" w:sz="0" w:space="0" w:color="auto"/>
          </w:divBdr>
          <w:divsChild>
            <w:div w:id="778335634">
              <w:marLeft w:val="0"/>
              <w:marRight w:val="0"/>
              <w:marTop w:val="0"/>
              <w:marBottom w:val="0"/>
              <w:divBdr>
                <w:top w:val="none" w:sz="0" w:space="0" w:color="auto"/>
                <w:left w:val="none" w:sz="0" w:space="0" w:color="auto"/>
                <w:bottom w:val="none" w:sz="0" w:space="0" w:color="auto"/>
                <w:right w:val="none" w:sz="0" w:space="0" w:color="auto"/>
              </w:divBdr>
            </w:div>
          </w:divsChild>
        </w:div>
        <w:div w:id="107161441">
          <w:marLeft w:val="0"/>
          <w:marRight w:val="0"/>
          <w:marTop w:val="0"/>
          <w:marBottom w:val="0"/>
          <w:divBdr>
            <w:top w:val="none" w:sz="0" w:space="0" w:color="auto"/>
            <w:left w:val="none" w:sz="0" w:space="0" w:color="auto"/>
            <w:bottom w:val="none" w:sz="0" w:space="0" w:color="auto"/>
            <w:right w:val="none" w:sz="0" w:space="0" w:color="auto"/>
          </w:divBdr>
          <w:divsChild>
            <w:div w:id="263652105">
              <w:marLeft w:val="0"/>
              <w:marRight w:val="0"/>
              <w:marTop w:val="0"/>
              <w:marBottom w:val="0"/>
              <w:divBdr>
                <w:top w:val="none" w:sz="0" w:space="0" w:color="auto"/>
                <w:left w:val="none" w:sz="0" w:space="0" w:color="auto"/>
                <w:bottom w:val="none" w:sz="0" w:space="0" w:color="auto"/>
                <w:right w:val="none" w:sz="0" w:space="0" w:color="auto"/>
              </w:divBdr>
            </w:div>
          </w:divsChild>
        </w:div>
        <w:div w:id="119079056">
          <w:marLeft w:val="0"/>
          <w:marRight w:val="0"/>
          <w:marTop w:val="0"/>
          <w:marBottom w:val="0"/>
          <w:divBdr>
            <w:top w:val="none" w:sz="0" w:space="0" w:color="auto"/>
            <w:left w:val="none" w:sz="0" w:space="0" w:color="auto"/>
            <w:bottom w:val="none" w:sz="0" w:space="0" w:color="auto"/>
            <w:right w:val="none" w:sz="0" w:space="0" w:color="auto"/>
          </w:divBdr>
          <w:divsChild>
            <w:div w:id="722094909">
              <w:marLeft w:val="0"/>
              <w:marRight w:val="0"/>
              <w:marTop w:val="0"/>
              <w:marBottom w:val="0"/>
              <w:divBdr>
                <w:top w:val="none" w:sz="0" w:space="0" w:color="auto"/>
                <w:left w:val="none" w:sz="0" w:space="0" w:color="auto"/>
                <w:bottom w:val="none" w:sz="0" w:space="0" w:color="auto"/>
                <w:right w:val="none" w:sz="0" w:space="0" w:color="auto"/>
              </w:divBdr>
            </w:div>
          </w:divsChild>
        </w:div>
        <w:div w:id="121458317">
          <w:marLeft w:val="0"/>
          <w:marRight w:val="0"/>
          <w:marTop w:val="0"/>
          <w:marBottom w:val="0"/>
          <w:divBdr>
            <w:top w:val="none" w:sz="0" w:space="0" w:color="auto"/>
            <w:left w:val="none" w:sz="0" w:space="0" w:color="auto"/>
            <w:bottom w:val="none" w:sz="0" w:space="0" w:color="auto"/>
            <w:right w:val="none" w:sz="0" w:space="0" w:color="auto"/>
          </w:divBdr>
          <w:divsChild>
            <w:div w:id="1191455564">
              <w:marLeft w:val="0"/>
              <w:marRight w:val="0"/>
              <w:marTop w:val="0"/>
              <w:marBottom w:val="0"/>
              <w:divBdr>
                <w:top w:val="none" w:sz="0" w:space="0" w:color="auto"/>
                <w:left w:val="none" w:sz="0" w:space="0" w:color="auto"/>
                <w:bottom w:val="none" w:sz="0" w:space="0" w:color="auto"/>
                <w:right w:val="none" w:sz="0" w:space="0" w:color="auto"/>
              </w:divBdr>
            </w:div>
          </w:divsChild>
        </w:div>
        <w:div w:id="123693958">
          <w:marLeft w:val="0"/>
          <w:marRight w:val="0"/>
          <w:marTop w:val="0"/>
          <w:marBottom w:val="0"/>
          <w:divBdr>
            <w:top w:val="none" w:sz="0" w:space="0" w:color="auto"/>
            <w:left w:val="none" w:sz="0" w:space="0" w:color="auto"/>
            <w:bottom w:val="none" w:sz="0" w:space="0" w:color="auto"/>
            <w:right w:val="none" w:sz="0" w:space="0" w:color="auto"/>
          </w:divBdr>
          <w:divsChild>
            <w:div w:id="1372683503">
              <w:marLeft w:val="0"/>
              <w:marRight w:val="0"/>
              <w:marTop w:val="0"/>
              <w:marBottom w:val="0"/>
              <w:divBdr>
                <w:top w:val="none" w:sz="0" w:space="0" w:color="auto"/>
                <w:left w:val="none" w:sz="0" w:space="0" w:color="auto"/>
                <w:bottom w:val="none" w:sz="0" w:space="0" w:color="auto"/>
                <w:right w:val="none" w:sz="0" w:space="0" w:color="auto"/>
              </w:divBdr>
            </w:div>
          </w:divsChild>
        </w:div>
        <w:div w:id="128062392">
          <w:marLeft w:val="0"/>
          <w:marRight w:val="0"/>
          <w:marTop w:val="0"/>
          <w:marBottom w:val="0"/>
          <w:divBdr>
            <w:top w:val="none" w:sz="0" w:space="0" w:color="auto"/>
            <w:left w:val="none" w:sz="0" w:space="0" w:color="auto"/>
            <w:bottom w:val="none" w:sz="0" w:space="0" w:color="auto"/>
            <w:right w:val="none" w:sz="0" w:space="0" w:color="auto"/>
          </w:divBdr>
          <w:divsChild>
            <w:div w:id="81339455">
              <w:marLeft w:val="0"/>
              <w:marRight w:val="0"/>
              <w:marTop w:val="0"/>
              <w:marBottom w:val="0"/>
              <w:divBdr>
                <w:top w:val="none" w:sz="0" w:space="0" w:color="auto"/>
                <w:left w:val="none" w:sz="0" w:space="0" w:color="auto"/>
                <w:bottom w:val="none" w:sz="0" w:space="0" w:color="auto"/>
                <w:right w:val="none" w:sz="0" w:space="0" w:color="auto"/>
              </w:divBdr>
            </w:div>
          </w:divsChild>
        </w:div>
        <w:div w:id="130902043">
          <w:marLeft w:val="0"/>
          <w:marRight w:val="0"/>
          <w:marTop w:val="0"/>
          <w:marBottom w:val="0"/>
          <w:divBdr>
            <w:top w:val="none" w:sz="0" w:space="0" w:color="auto"/>
            <w:left w:val="none" w:sz="0" w:space="0" w:color="auto"/>
            <w:bottom w:val="none" w:sz="0" w:space="0" w:color="auto"/>
            <w:right w:val="none" w:sz="0" w:space="0" w:color="auto"/>
          </w:divBdr>
          <w:divsChild>
            <w:div w:id="2027293580">
              <w:marLeft w:val="0"/>
              <w:marRight w:val="0"/>
              <w:marTop w:val="0"/>
              <w:marBottom w:val="0"/>
              <w:divBdr>
                <w:top w:val="none" w:sz="0" w:space="0" w:color="auto"/>
                <w:left w:val="none" w:sz="0" w:space="0" w:color="auto"/>
                <w:bottom w:val="none" w:sz="0" w:space="0" w:color="auto"/>
                <w:right w:val="none" w:sz="0" w:space="0" w:color="auto"/>
              </w:divBdr>
            </w:div>
          </w:divsChild>
        </w:div>
        <w:div w:id="135611057">
          <w:marLeft w:val="0"/>
          <w:marRight w:val="0"/>
          <w:marTop w:val="0"/>
          <w:marBottom w:val="0"/>
          <w:divBdr>
            <w:top w:val="none" w:sz="0" w:space="0" w:color="auto"/>
            <w:left w:val="none" w:sz="0" w:space="0" w:color="auto"/>
            <w:bottom w:val="none" w:sz="0" w:space="0" w:color="auto"/>
            <w:right w:val="none" w:sz="0" w:space="0" w:color="auto"/>
          </w:divBdr>
          <w:divsChild>
            <w:div w:id="222180142">
              <w:marLeft w:val="0"/>
              <w:marRight w:val="0"/>
              <w:marTop w:val="0"/>
              <w:marBottom w:val="0"/>
              <w:divBdr>
                <w:top w:val="none" w:sz="0" w:space="0" w:color="auto"/>
                <w:left w:val="none" w:sz="0" w:space="0" w:color="auto"/>
                <w:bottom w:val="none" w:sz="0" w:space="0" w:color="auto"/>
                <w:right w:val="none" w:sz="0" w:space="0" w:color="auto"/>
              </w:divBdr>
            </w:div>
          </w:divsChild>
        </w:div>
        <w:div w:id="137115137">
          <w:marLeft w:val="0"/>
          <w:marRight w:val="0"/>
          <w:marTop w:val="0"/>
          <w:marBottom w:val="0"/>
          <w:divBdr>
            <w:top w:val="none" w:sz="0" w:space="0" w:color="auto"/>
            <w:left w:val="none" w:sz="0" w:space="0" w:color="auto"/>
            <w:bottom w:val="none" w:sz="0" w:space="0" w:color="auto"/>
            <w:right w:val="none" w:sz="0" w:space="0" w:color="auto"/>
          </w:divBdr>
          <w:divsChild>
            <w:div w:id="787815886">
              <w:marLeft w:val="0"/>
              <w:marRight w:val="0"/>
              <w:marTop w:val="0"/>
              <w:marBottom w:val="0"/>
              <w:divBdr>
                <w:top w:val="none" w:sz="0" w:space="0" w:color="auto"/>
                <w:left w:val="none" w:sz="0" w:space="0" w:color="auto"/>
                <w:bottom w:val="none" w:sz="0" w:space="0" w:color="auto"/>
                <w:right w:val="none" w:sz="0" w:space="0" w:color="auto"/>
              </w:divBdr>
            </w:div>
          </w:divsChild>
        </w:div>
        <w:div w:id="142282675">
          <w:marLeft w:val="0"/>
          <w:marRight w:val="0"/>
          <w:marTop w:val="0"/>
          <w:marBottom w:val="0"/>
          <w:divBdr>
            <w:top w:val="none" w:sz="0" w:space="0" w:color="auto"/>
            <w:left w:val="none" w:sz="0" w:space="0" w:color="auto"/>
            <w:bottom w:val="none" w:sz="0" w:space="0" w:color="auto"/>
            <w:right w:val="none" w:sz="0" w:space="0" w:color="auto"/>
          </w:divBdr>
          <w:divsChild>
            <w:div w:id="201091620">
              <w:marLeft w:val="0"/>
              <w:marRight w:val="0"/>
              <w:marTop w:val="0"/>
              <w:marBottom w:val="0"/>
              <w:divBdr>
                <w:top w:val="none" w:sz="0" w:space="0" w:color="auto"/>
                <w:left w:val="none" w:sz="0" w:space="0" w:color="auto"/>
                <w:bottom w:val="none" w:sz="0" w:space="0" w:color="auto"/>
                <w:right w:val="none" w:sz="0" w:space="0" w:color="auto"/>
              </w:divBdr>
            </w:div>
          </w:divsChild>
        </w:div>
        <w:div w:id="146629690">
          <w:marLeft w:val="0"/>
          <w:marRight w:val="0"/>
          <w:marTop w:val="0"/>
          <w:marBottom w:val="0"/>
          <w:divBdr>
            <w:top w:val="none" w:sz="0" w:space="0" w:color="auto"/>
            <w:left w:val="none" w:sz="0" w:space="0" w:color="auto"/>
            <w:bottom w:val="none" w:sz="0" w:space="0" w:color="auto"/>
            <w:right w:val="none" w:sz="0" w:space="0" w:color="auto"/>
          </w:divBdr>
        </w:div>
        <w:div w:id="165098771">
          <w:marLeft w:val="0"/>
          <w:marRight w:val="0"/>
          <w:marTop w:val="0"/>
          <w:marBottom w:val="0"/>
          <w:divBdr>
            <w:top w:val="none" w:sz="0" w:space="0" w:color="auto"/>
            <w:left w:val="none" w:sz="0" w:space="0" w:color="auto"/>
            <w:bottom w:val="none" w:sz="0" w:space="0" w:color="auto"/>
            <w:right w:val="none" w:sz="0" w:space="0" w:color="auto"/>
          </w:divBdr>
          <w:divsChild>
            <w:div w:id="1025516800">
              <w:marLeft w:val="0"/>
              <w:marRight w:val="0"/>
              <w:marTop w:val="0"/>
              <w:marBottom w:val="0"/>
              <w:divBdr>
                <w:top w:val="none" w:sz="0" w:space="0" w:color="auto"/>
                <w:left w:val="none" w:sz="0" w:space="0" w:color="auto"/>
                <w:bottom w:val="none" w:sz="0" w:space="0" w:color="auto"/>
                <w:right w:val="none" w:sz="0" w:space="0" w:color="auto"/>
              </w:divBdr>
            </w:div>
          </w:divsChild>
        </w:div>
        <w:div w:id="168109068">
          <w:marLeft w:val="0"/>
          <w:marRight w:val="0"/>
          <w:marTop w:val="0"/>
          <w:marBottom w:val="0"/>
          <w:divBdr>
            <w:top w:val="none" w:sz="0" w:space="0" w:color="auto"/>
            <w:left w:val="none" w:sz="0" w:space="0" w:color="auto"/>
            <w:bottom w:val="none" w:sz="0" w:space="0" w:color="auto"/>
            <w:right w:val="none" w:sz="0" w:space="0" w:color="auto"/>
          </w:divBdr>
          <w:divsChild>
            <w:div w:id="1823348951">
              <w:marLeft w:val="0"/>
              <w:marRight w:val="0"/>
              <w:marTop w:val="0"/>
              <w:marBottom w:val="0"/>
              <w:divBdr>
                <w:top w:val="none" w:sz="0" w:space="0" w:color="auto"/>
                <w:left w:val="none" w:sz="0" w:space="0" w:color="auto"/>
                <w:bottom w:val="none" w:sz="0" w:space="0" w:color="auto"/>
                <w:right w:val="none" w:sz="0" w:space="0" w:color="auto"/>
              </w:divBdr>
            </w:div>
          </w:divsChild>
        </w:div>
        <w:div w:id="170031646">
          <w:marLeft w:val="0"/>
          <w:marRight w:val="0"/>
          <w:marTop w:val="0"/>
          <w:marBottom w:val="0"/>
          <w:divBdr>
            <w:top w:val="none" w:sz="0" w:space="0" w:color="auto"/>
            <w:left w:val="none" w:sz="0" w:space="0" w:color="auto"/>
            <w:bottom w:val="none" w:sz="0" w:space="0" w:color="auto"/>
            <w:right w:val="none" w:sz="0" w:space="0" w:color="auto"/>
          </w:divBdr>
          <w:divsChild>
            <w:div w:id="416023215">
              <w:marLeft w:val="0"/>
              <w:marRight w:val="0"/>
              <w:marTop w:val="0"/>
              <w:marBottom w:val="0"/>
              <w:divBdr>
                <w:top w:val="none" w:sz="0" w:space="0" w:color="auto"/>
                <w:left w:val="none" w:sz="0" w:space="0" w:color="auto"/>
                <w:bottom w:val="none" w:sz="0" w:space="0" w:color="auto"/>
                <w:right w:val="none" w:sz="0" w:space="0" w:color="auto"/>
              </w:divBdr>
            </w:div>
          </w:divsChild>
        </w:div>
        <w:div w:id="171383341">
          <w:marLeft w:val="0"/>
          <w:marRight w:val="0"/>
          <w:marTop w:val="0"/>
          <w:marBottom w:val="0"/>
          <w:divBdr>
            <w:top w:val="none" w:sz="0" w:space="0" w:color="auto"/>
            <w:left w:val="none" w:sz="0" w:space="0" w:color="auto"/>
            <w:bottom w:val="none" w:sz="0" w:space="0" w:color="auto"/>
            <w:right w:val="none" w:sz="0" w:space="0" w:color="auto"/>
          </w:divBdr>
          <w:divsChild>
            <w:div w:id="781920793">
              <w:marLeft w:val="0"/>
              <w:marRight w:val="0"/>
              <w:marTop w:val="0"/>
              <w:marBottom w:val="0"/>
              <w:divBdr>
                <w:top w:val="none" w:sz="0" w:space="0" w:color="auto"/>
                <w:left w:val="none" w:sz="0" w:space="0" w:color="auto"/>
                <w:bottom w:val="none" w:sz="0" w:space="0" w:color="auto"/>
                <w:right w:val="none" w:sz="0" w:space="0" w:color="auto"/>
              </w:divBdr>
            </w:div>
          </w:divsChild>
        </w:div>
        <w:div w:id="175466478">
          <w:marLeft w:val="0"/>
          <w:marRight w:val="0"/>
          <w:marTop w:val="0"/>
          <w:marBottom w:val="0"/>
          <w:divBdr>
            <w:top w:val="none" w:sz="0" w:space="0" w:color="auto"/>
            <w:left w:val="none" w:sz="0" w:space="0" w:color="auto"/>
            <w:bottom w:val="none" w:sz="0" w:space="0" w:color="auto"/>
            <w:right w:val="none" w:sz="0" w:space="0" w:color="auto"/>
          </w:divBdr>
          <w:divsChild>
            <w:div w:id="1425689639">
              <w:marLeft w:val="0"/>
              <w:marRight w:val="0"/>
              <w:marTop w:val="0"/>
              <w:marBottom w:val="0"/>
              <w:divBdr>
                <w:top w:val="none" w:sz="0" w:space="0" w:color="auto"/>
                <w:left w:val="none" w:sz="0" w:space="0" w:color="auto"/>
                <w:bottom w:val="none" w:sz="0" w:space="0" w:color="auto"/>
                <w:right w:val="none" w:sz="0" w:space="0" w:color="auto"/>
              </w:divBdr>
            </w:div>
          </w:divsChild>
        </w:div>
        <w:div w:id="205142685">
          <w:marLeft w:val="0"/>
          <w:marRight w:val="0"/>
          <w:marTop w:val="0"/>
          <w:marBottom w:val="0"/>
          <w:divBdr>
            <w:top w:val="none" w:sz="0" w:space="0" w:color="auto"/>
            <w:left w:val="none" w:sz="0" w:space="0" w:color="auto"/>
            <w:bottom w:val="none" w:sz="0" w:space="0" w:color="auto"/>
            <w:right w:val="none" w:sz="0" w:space="0" w:color="auto"/>
          </w:divBdr>
          <w:divsChild>
            <w:div w:id="203906853">
              <w:marLeft w:val="0"/>
              <w:marRight w:val="0"/>
              <w:marTop w:val="0"/>
              <w:marBottom w:val="0"/>
              <w:divBdr>
                <w:top w:val="none" w:sz="0" w:space="0" w:color="auto"/>
                <w:left w:val="none" w:sz="0" w:space="0" w:color="auto"/>
                <w:bottom w:val="none" w:sz="0" w:space="0" w:color="auto"/>
                <w:right w:val="none" w:sz="0" w:space="0" w:color="auto"/>
              </w:divBdr>
            </w:div>
            <w:div w:id="285356594">
              <w:marLeft w:val="0"/>
              <w:marRight w:val="0"/>
              <w:marTop w:val="0"/>
              <w:marBottom w:val="0"/>
              <w:divBdr>
                <w:top w:val="none" w:sz="0" w:space="0" w:color="auto"/>
                <w:left w:val="none" w:sz="0" w:space="0" w:color="auto"/>
                <w:bottom w:val="none" w:sz="0" w:space="0" w:color="auto"/>
                <w:right w:val="none" w:sz="0" w:space="0" w:color="auto"/>
              </w:divBdr>
            </w:div>
            <w:div w:id="322125015">
              <w:marLeft w:val="0"/>
              <w:marRight w:val="0"/>
              <w:marTop w:val="0"/>
              <w:marBottom w:val="0"/>
              <w:divBdr>
                <w:top w:val="none" w:sz="0" w:space="0" w:color="auto"/>
                <w:left w:val="none" w:sz="0" w:space="0" w:color="auto"/>
                <w:bottom w:val="none" w:sz="0" w:space="0" w:color="auto"/>
                <w:right w:val="none" w:sz="0" w:space="0" w:color="auto"/>
              </w:divBdr>
            </w:div>
            <w:div w:id="388185583">
              <w:marLeft w:val="0"/>
              <w:marRight w:val="0"/>
              <w:marTop w:val="0"/>
              <w:marBottom w:val="0"/>
              <w:divBdr>
                <w:top w:val="none" w:sz="0" w:space="0" w:color="auto"/>
                <w:left w:val="none" w:sz="0" w:space="0" w:color="auto"/>
                <w:bottom w:val="none" w:sz="0" w:space="0" w:color="auto"/>
                <w:right w:val="none" w:sz="0" w:space="0" w:color="auto"/>
              </w:divBdr>
            </w:div>
            <w:div w:id="433601404">
              <w:marLeft w:val="0"/>
              <w:marRight w:val="0"/>
              <w:marTop w:val="0"/>
              <w:marBottom w:val="0"/>
              <w:divBdr>
                <w:top w:val="none" w:sz="0" w:space="0" w:color="auto"/>
                <w:left w:val="none" w:sz="0" w:space="0" w:color="auto"/>
                <w:bottom w:val="none" w:sz="0" w:space="0" w:color="auto"/>
                <w:right w:val="none" w:sz="0" w:space="0" w:color="auto"/>
              </w:divBdr>
            </w:div>
            <w:div w:id="472794696">
              <w:marLeft w:val="0"/>
              <w:marRight w:val="0"/>
              <w:marTop w:val="0"/>
              <w:marBottom w:val="0"/>
              <w:divBdr>
                <w:top w:val="none" w:sz="0" w:space="0" w:color="auto"/>
                <w:left w:val="none" w:sz="0" w:space="0" w:color="auto"/>
                <w:bottom w:val="none" w:sz="0" w:space="0" w:color="auto"/>
                <w:right w:val="none" w:sz="0" w:space="0" w:color="auto"/>
              </w:divBdr>
            </w:div>
            <w:div w:id="492306916">
              <w:marLeft w:val="0"/>
              <w:marRight w:val="0"/>
              <w:marTop w:val="0"/>
              <w:marBottom w:val="0"/>
              <w:divBdr>
                <w:top w:val="none" w:sz="0" w:space="0" w:color="auto"/>
                <w:left w:val="none" w:sz="0" w:space="0" w:color="auto"/>
                <w:bottom w:val="none" w:sz="0" w:space="0" w:color="auto"/>
                <w:right w:val="none" w:sz="0" w:space="0" w:color="auto"/>
              </w:divBdr>
            </w:div>
            <w:div w:id="566839014">
              <w:marLeft w:val="0"/>
              <w:marRight w:val="0"/>
              <w:marTop w:val="0"/>
              <w:marBottom w:val="0"/>
              <w:divBdr>
                <w:top w:val="none" w:sz="0" w:space="0" w:color="auto"/>
                <w:left w:val="none" w:sz="0" w:space="0" w:color="auto"/>
                <w:bottom w:val="none" w:sz="0" w:space="0" w:color="auto"/>
                <w:right w:val="none" w:sz="0" w:space="0" w:color="auto"/>
              </w:divBdr>
            </w:div>
            <w:div w:id="648289512">
              <w:marLeft w:val="0"/>
              <w:marRight w:val="0"/>
              <w:marTop w:val="0"/>
              <w:marBottom w:val="0"/>
              <w:divBdr>
                <w:top w:val="none" w:sz="0" w:space="0" w:color="auto"/>
                <w:left w:val="none" w:sz="0" w:space="0" w:color="auto"/>
                <w:bottom w:val="none" w:sz="0" w:space="0" w:color="auto"/>
                <w:right w:val="none" w:sz="0" w:space="0" w:color="auto"/>
              </w:divBdr>
            </w:div>
            <w:div w:id="860556957">
              <w:marLeft w:val="0"/>
              <w:marRight w:val="0"/>
              <w:marTop w:val="0"/>
              <w:marBottom w:val="0"/>
              <w:divBdr>
                <w:top w:val="none" w:sz="0" w:space="0" w:color="auto"/>
                <w:left w:val="none" w:sz="0" w:space="0" w:color="auto"/>
                <w:bottom w:val="none" w:sz="0" w:space="0" w:color="auto"/>
                <w:right w:val="none" w:sz="0" w:space="0" w:color="auto"/>
              </w:divBdr>
            </w:div>
            <w:div w:id="917984733">
              <w:marLeft w:val="0"/>
              <w:marRight w:val="0"/>
              <w:marTop w:val="0"/>
              <w:marBottom w:val="0"/>
              <w:divBdr>
                <w:top w:val="none" w:sz="0" w:space="0" w:color="auto"/>
                <w:left w:val="none" w:sz="0" w:space="0" w:color="auto"/>
                <w:bottom w:val="none" w:sz="0" w:space="0" w:color="auto"/>
                <w:right w:val="none" w:sz="0" w:space="0" w:color="auto"/>
              </w:divBdr>
            </w:div>
            <w:div w:id="1351952981">
              <w:marLeft w:val="0"/>
              <w:marRight w:val="0"/>
              <w:marTop w:val="0"/>
              <w:marBottom w:val="0"/>
              <w:divBdr>
                <w:top w:val="none" w:sz="0" w:space="0" w:color="auto"/>
                <w:left w:val="none" w:sz="0" w:space="0" w:color="auto"/>
                <w:bottom w:val="none" w:sz="0" w:space="0" w:color="auto"/>
                <w:right w:val="none" w:sz="0" w:space="0" w:color="auto"/>
              </w:divBdr>
            </w:div>
            <w:div w:id="1474063401">
              <w:marLeft w:val="0"/>
              <w:marRight w:val="0"/>
              <w:marTop w:val="0"/>
              <w:marBottom w:val="0"/>
              <w:divBdr>
                <w:top w:val="none" w:sz="0" w:space="0" w:color="auto"/>
                <w:left w:val="none" w:sz="0" w:space="0" w:color="auto"/>
                <w:bottom w:val="none" w:sz="0" w:space="0" w:color="auto"/>
                <w:right w:val="none" w:sz="0" w:space="0" w:color="auto"/>
              </w:divBdr>
            </w:div>
            <w:div w:id="1944217401">
              <w:marLeft w:val="0"/>
              <w:marRight w:val="0"/>
              <w:marTop w:val="0"/>
              <w:marBottom w:val="0"/>
              <w:divBdr>
                <w:top w:val="none" w:sz="0" w:space="0" w:color="auto"/>
                <w:left w:val="none" w:sz="0" w:space="0" w:color="auto"/>
                <w:bottom w:val="none" w:sz="0" w:space="0" w:color="auto"/>
                <w:right w:val="none" w:sz="0" w:space="0" w:color="auto"/>
              </w:divBdr>
            </w:div>
          </w:divsChild>
        </w:div>
        <w:div w:id="211355477">
          <w:marLeft w:val="0"/>
          <w:marRight w:val="0"/>
          <w:marTop w:val="0"/>
          <w:marBottom w:val="0"/>
          <w:divBdr>
            <w:top w:val="none" w:sz="0" w:space="0" w:color="auto"/>
            <w:left w:val="none" w:sz="0" w:space="0" w:color="auto"/>
            <w:bottom w:val="none" w:sz="0" w:space="0" w:color="auto"/>
            <w:right w:val="none" w:sz="0" w:space="0" w:color="auto"/>
          </w:divBdr>
          <w:divsChild>
            <w:div w:id="1979677278">
              <w:marLeft w:val="0"/>
              <w:marRight w:val="0"/>
              <w:marTop w:val="0"/>
              <w:marBottom w:val="0"/>
              <w:divBdr>
                <w:top w:val="none" w:sz="0" w:space="0" w:color="auto"/>
                <w:left w:val="none" w:sz="0" w:space="0" w:color="auto"/>
                <w:bottom w:val="none" w:sz="0" w:space="0" w:color="auto"/>
                <w:right w:val="none" w:sz="0" w:space="0" w:color="auto"/>
              </w:divBdr>
            </w:div>
          </w:divsChild>
        </w:div>
        <w:div w:id="211768881">
          <w:marLeft w:val="0"/>
          <w:marRight w:val="0"/>
          <w:marTop w:val="0"/>
          <w:marBottom w:val="0"/>
          <w:divBdr>
            <w:top w:val="none" w:sz="0" w:space="0" w:color="auto"/>
            <w:left w:val="none" w:sz="0" w:space="0" w:color="auto"/>
            <w:bottom w:val="none" w:sz="0" w:space="0" w:color="auto"/>
            <w:right w:val="none" w:sz="0" w:space="0" w:color="auto"/>
          </w:divBdr>
          <w:divsChild>
            <w:div w:id="924845994">
              <w:marLeft w:val="0"/>
              <w:marRight w:val="0"/>
              <w:marTop w:val="0"/>
              <w:marBottom w:val="0"/>
              <w:divBdr>
                <w:top w:val="none" w:sz="0" w:space="0" w:color="auto"/>
                <w:left w:val="none" w:sz="0" w:space="0" w:color="auto"/>
                <w:bottom w:val="none" w:sz="0" w:space="0" w:color="auto"/>
                <w:right w:val="none" w:sz="0" w:space="0" w:color="auto"/>
              </w:divBdr>
            </w:div>
          </w:divsChild>
        </w:div>
        <w:div w:id="214321953">
          <w:marLeft w:val="0"/>
          <w:marRight w:val="0"/>
          <w:marTop w:val="0"/>
          <w:marBottom w:val="0"/>
          <w:divBdr>
            <w:top w:val="none" w:sz="0" w:space="0" w:color="auto"/>
            <w:left w:val="none" w:sz="0" w:space="0" w:color="auto"/>
            <w:bottom w:val="none" w:sz="0" w:space="0" w:color="auto"/>
            <w:right w:val="none" w:sz="0" w:space="0" w:color="auto"/>
          </w:divBdr>
          <w:divsChild>
            <w:div w:id="321666036">
              <w:marLeft w:val="0"/>
              <w:marRight w:val="0"/>
              <w:marTop w:val="0"/>
              <w:marBottom w:val="0"/>
              <w:divBdr>
                <w:top w:val="none" w:sz="0" w:space="0" w:color="auto"/>
                <w:left w:val="none" w:sz="0" w:space="0" w:color="auto"/>
                <w:bottom w:val="none" w:sz="0" w:space="0" w:color="auto"/>
                <w:right w:val="none" w:sz="0" w:space="0" w:color="auto"/>
              </w:divBdr>
            </w:div>
          </w:divsChild>
        </w:div>
        <w:div w:id="215045394">
          <w:marLeft w:val="0"/>
          <w:marRight w:val="0"/>
          <w:marTop w:val="0"/>
          <w:marBottom w:val="0"/>
          <w:divBdr>
            <w:top w:val="none" w:sz="0" w:space="0" w:color="auto"/>
            <w:left w:val="none" w:sz="0" w:space="0" w:color="auto"/>
            <w:bottom w:val="none" w:sz="0" w:space="0" w:color="auto"/>
            <w:right w:val="none" w:sz="0" w:space="0" w:color="auto"/>
          </w:divBdr>
          <w:divsChild>
            <w:div w:id="897547617">
              <w:marLeft w:val="0"/>
              <w:marRight w:val="0"/>
              <w:marTop w:val="0"/>
              <w:marBottom w:val="0"/>
              <w:divBdr>
                <w:top w:val="none" w:sz="0" w:space="0" w:color="auto"/>
                <w:left w:val="none" w:sz="0" w:space="0" w:color="auto"/>
                <w:bottom w:val="none" w:sz="0" w:space="0" w:color="auto"/>
                <w:right w:val="none" w:sz="0" w:space="0" w:color="auto"/>
              </w:divBdr>
            </w:div>
          </w:divsChild>
        </w:div>
        <w:div w:id="221869069">
          <w:marLeft w:val="0"/>
          <w:marRight w:val="0"/>
          <w:marTop w:val="0"/>
          <w:marBottom w:val="0"/>
          <w:divBdr>
            <w:top w:val="none" w:sz="0" w:space="0" w:color="auto"/>
            <w:left w:val="none" w:sz="0" w:space="0" w:color="auto"/>
            <w:bottom w:val="none" w:sz="0" w:space="0" w:color="auto"/>
            <w:right w:val="none" w:sz="0" w:space="0" w:color="auto"/>
          </w:divBdr>
          <w:divsChild>
            <w:div w:id="32966396">
              <w:marLeft w:val="0"/>
              <w:marRight w:val="0"/>
              <w:marTop w:val="0"/>
              <w:marBottom w:val="0"/>
              <w:divBdr>
                <w:top w:val="none" w:sz="0" w:space="0" w:color="auto"/>
                <w:left w:val="none" w:sz="0" w:space="0" w:color="auto"/>
                <w:bottom w:val="none" w:sz="0" w:space="0" w:color="auto"/>
                <w:right w:val="none" w:sz="0" w:space="0" w:color="auto"/>
              </w:divBdr>
            </w:div>
          </w:divsChild>
        </w:div>
        <w:div w:id="223104310">
          <w:marLeft w:val="0"/>
          <w:marRight w:val="0"/>
          <w:marTop w:val="0"/>
          <w:marBottom w:val="0"/>
          <w:divBdr>
            <w:top w:val="none" w:sz="0" w:space="0" w:color="auto"/>
            <w:left w:val="none" w:sz="0" w:space="0" w:color="auto"/>
            <w:bottom w:val="none" w:sz="0" w:space="0" w:color="auto"/>
            <w:right w:val="none" w:sz="0" w:space="0" w:color="auto"/>
          </w:divBdr>
          <w:divsChild>
            <w:div w:id="215625244">
              <w:marLeft w:val="0"/>
              <w:marRight w:val="0"/>
              <w:marTop w:val="0"/>
              <w:marBottom w:val="0"/>
              <w:divBdr>
                <w:top w:val="none" w:sz="0" w:space="0" w:color="auto"/>
                <w:left w:val="none" w:sz="0" w:space="0" w:color="auto"/>
                <w:bottom w:val="none" w:sz="0" w:space="0" w:color="auto"/>
                <w:right w:val="none" w:sz="0" w:space="0" w:color="auto"/>
              </w:divBdr>
            </w:div>
          </w:divsChild>
        </w:div>
        <w:div w:id="228425041">
          <w:marLeft w:val="0"/>
          <w:marRight w:val="0"/>
          <w:marTop w:val="0"/>
          <w:marBottom w:val="0"/>
          <w:divBdr>
            <w:top w:val="none" w:sz="0" w:space="0" w:color="auto"/>
            <w:left w:val="none" w:sz="0" w:space="0" w:color="auto"/>
            <w:bottom w:val="none" w:sz="0" w:space="0" w:color="auto"/>
            <w:right w:val="none" w:sz="0" w:space="0" w:color="auto"/>
          </w:divBdr>
          <w:divsChild>
            <w:div w:id="1580745723">
              <w:marLeft w:val="0"/>
              <w:marRight w:val="0"/>
              <w:marTop w:val="0"/>
              <w:marBottom w:val="0"/>
              <w:divBdr>
                <w:top w:val="none" w:sz="0" w:space="0" w:color="auto"/>
                <w:left w:val="none" w:sz="0" w:space="0" w:color="auto"/>
                <w:bottom w:val="none" w:sz="0" w:space="0" w:color="auto"/>
                <w:right w:val="none" w:sz="0" w:space="0" w:color="auto"/>
              </w:divBdr>
            </w:div>
          </w:divsChild>
        </w:div>
        <w:div w:id="239102864">
          <w:marLeft w:val="0"/>
          <w:marRight w:val="0"/>
          <w:marTop w:val="0"/>
          <w:marBottom w:val="0"/>
          <w:divBdr>
            <w:top w:val="none" w:sz="0" w:space="0" w:color="auto"/>
            <w:left w:val="none" w:sz="0" w:space="0" w:color="auto"/>
            <w:bottom w:val="none" w:sz="0" w:space="0" w:color="auto"/>
            <w:right w:val="none" w:sz="0" w:space="0" w:color="auto"/>
          </w:divBdr>
          <w:divsChild>
            <w:div w:id="937177005">
              <w:marLeft w:val="0"/>
              <w:marRight w:val="0"/>
              <w:marTop w:val="0"/>
              <w:marBottom w:val="0"/>
              <w:divBdr>
                <w:top w:val="none" w:sz="0" w:space="0" w:color="auto"/>
                <w:left w:val="none" w:sz="0" w:space="0" w:color="auto"/>
                <w:bottom w:val="none" w:sz="0" w:space="0" w:color="auto"/>
                <w:right w:val="none" w:sz="0" w:space="0" w:color="auto"/>
              </w:divBdr>
            </w:div>
          </w:divsChild>
        </w:div>
        <w:div w:id="245112920">
          <w:marLeft w:val="0"/>
          <w:marRight w:val="0"/>
          <w:marTop w:val="0"/>
          <w:marBottom w:val="0"/>
          <w:divBdr>
            <w:top w:val="none" w:sz="0" w:space="0" w:color="auto"/>
            <w:left w:val="none" w:sz="0" w:space="0" w:color="auto"/>
            <w:bottom w:val="none" w:sz="0" w:space="0" w:color="auto"/>
            <w:right w:val="none" w:sz="0" w:space="0" w:color="auto"/>
          </w:divBdr>
          <w:divsChild>
            <w:div w:id="1849174066">
              <w:marLeft w:val="0"/>
              <w:marRight w:val="0"/>
              <w:marTop w:val="0"/>
              <w:marBottom w:val="0"/>
              <w:divBdr>
                <w:top w:val="none" w:sz="0" w:space="0" w:color="auto"/>
                <w:left w:val="none" w:sz="0" w:space="0" w:color="auto"/>
                <w:bottom w:val="none" w:sz="0" w:space="0" w:color="auto"/>
                <w:right w:val="none" w:sz="0" w:space="0" w:color="auto"/>
              </w:divBdr>
            </w:div>
          </w:divsChild>
        </w:div>
        <w:div w:id="245530595">
          <w:marLeft w:val="0"/>
          <w:marRight w:val="0"/>
          <w:marTop w:val="0"/>
          <w:marBottom w:val="0"/>
          <w:divBdr>
            <w:top w:val="none" w:sz="0" w:space="0" w:color="auto"/>
            <w:left w:val="none" w:sz="0" w:space="0" w:color="auto"/>
            <w:bottom w:val="none" w:sz="0" w:space="0" w:color="auto"/>
            <w:right w:val="none" w:sz="0" w:space="0" w:color="auto"/>
          </w:divBdr>
          <w:divsChild>
            <w:div w:id="2107310681">
              <w:marLeft w:val="0"/>
              <w:marRight w:val="0"/>
              <w:marTop w:val="0"/>
              <w:marBottom w:val="0"/>
              <w:divBdr>
                <w:top w:val="none" w:sz="0" w:space="0" w:color="auto"/>
                <w:left w:val="none" w:sz="0" w:space="0" w:color="auto"/>
                <w:bottom w:val="none" w:sz="0" w:space="0" w:color="auto"/>
                <w:right w:val="none" w:sz="0" w:space="0" w:color="auto"/>
              </w:divBdr>
            </w:div>
          </w:divsChild>
        </w:div>
        <w:div w:id="247621765">
          <w:marLeft w:val="0"/>
          <w:marRight w:val="0"/>
          <w:marTop w:val="0"/>
          <w:marBottom w:val="0"/>
          <w:divBdr>
            <w:top w:val="none" w:sz="0" w:space="0" w:color="auto"/>
            <w:left w:val="none" w:sz="0" w:space="0" w:color="auto"/>
            <w:bottom w:val="none" w:sz="0" w:space="0" w:color="auto"/>
            <w:right w:val="none" w:sz="0" w:space="0" w:color="auto"/>
          </w:divBdr>
          <w:divsChild>
            <w:div w:id="1518544919">
              <w:marLeft w:val="0"/>
              <w:marRight w:val="0"/>
              <w:marTop w:val="0"/>
              <w:marBottom w:val="0"/>
              <w:divBdr>
                <w:top w:val="none" w:sz="0" w:space="0" w:color="auto"/>
                <w:left w:val="none" w:sz="0" w:space="0" w:color="auto"/>
                <w:bottom w:val="none" w:sz="0" w:space="0" w:color="auto"/>
                <w:right w:val="none" w:sz="0" w:space="0" w:color="auto"/>
              </w:divBdr>
            </w:div>
          </w:divsChild>
        </w:div>
        <w:div w:id="250939808">
          <w:marLeft w:val="0"/>
          <w:marRight w:val="0"/>
          <w:marTop w:val="0"/>
          <w:marBottom w:val="0"/>
          <w:divBdr>
            <w:top w:val="none" w:sz="0" w:space="0" w:color="auto"/>
            <w:left w:val="none" w:sz="0" w:space="0" w:color="auto"/>
            <w:bottom w:val="none" w:sz="0" w:space="0" w:color="auto"/>
            <w:right w:val="none" w:sz="0" w:space="0" w:color="auto"/>
          </w:divBdr>
          <w:divsChild>
            <w:div w:id="282990">
              <w:marLeft w:val="0"/>
              <w:marRight w:val="0"/>
              <w:marTop w:val="0"/>
              <w:marBottom w:val="0"/>
              <w:divBdr>
                <w:top w:val="none" w:sz="0" w:space="0" w:color="auto"/>
                <w:left w:val="none" w:sz="0" w:space="0" w:color="auto"/>
                <w:bottom w:val="none" w:sz="0" w:space="0" w:color="auto"/>
                <w:right w:val="none" w:sz="0" w:space="0" w:color="auto"/>
              </w:divBdr>
            </w:div>
          </w:divsChild>
        </w:div>
        <w:div w:id="260719612">
          <w:marLeft w:val="0"/>
          <w:marRight w:val="0"/>
          <w:marTop w:val="0"/>
          <w:marBottom w:val="0"/>
          <w:divBdr>
            <w:top w:val="none" w:sz="0" w:space="0" w:color="auto"/>
            <w:left w:val="none" w:sz="0" w:space="0" w:color="auto"/>
            <w:bottom w:val="none" w:sz="0" w:space="0" w:color="auto"/>
            <w:right w:val="none" w:sz="0" w:space="0" w:color="auto"/>
          </w:divBdr>
          <w:divsChild>
            <w:div w:id="1451968761">
              <w:marLeft w:val="0"/>
              <w:marRight w:val="0"/>
              <w:marTop w:val="0"/>
              <w:marBottom w:val="0"/>
              <w:divBdr>
                <w:top w:val="none" w:sz="0" w:space="0" w:color="auto"/>
                <w:left w:val="none" w:sz="0" w:space="0" w:color="auto"/>
                <w:bottom w:val="none" w:sz="0" w:space="0" w:color="auto"/>
                <w:right w:val="none" w:sz="0" w:space="0" w:color="auto"/>
              </w:divBdr>
            </w:div>
          </w:divsChild>
        </w:div>
        <w:div w:id="263729008">
          <w:marLeft w:val="0"/>
          <w:marRight w:val="0"/>
          <w:marTop w:val="0"/>
          <w:marBottom w:val="0"/>
          <w:divBdr>
            <w:top w:val="none" w:sz="0" w:space="0" w:color="auto"/>
            <w:left w:val="none" w:sz="0" w:space="0" w:color="auto"/>
            <w:bottom w:val="none" w:sz="0" w:space="0" w:color="auto"/>
            <w:right w:val="none" w:sz="0" w:space="0" w:color="auto"/>
          </w:divBdr>
          <w:divsChild>
            <w:div w:id="964238438">
              <w:marLeft w:val="0"/>
              <w:marRight w:val="0"/>
              <w:marTop w:val="0"/>
              <w:marBottom w:val="0"/>
              <w:divBdr>
                <w:top w:val="none" w:sz="0" w:space="0" w:color="auto"/>
                <w:left w:val="none" w:sz="0" w:space="0" w:color="auto"/>
                <w:bottom w:val="none" w:sz="0" w:space="0" w:color="auto"/>
                <w:right w:val="none" w:sz="0" w:space="0" w:color="auto"/>
              </w:divBdr>
            </w:div>
          </w:divsChild>
        </w:div>
        <w:div w:id="265965013">
          <w:marLeft w:val="0"/>
          <w:marRight w:val="0"/>
          <w:marTop w:val="0"/>
          <w:marBottom w:val="0"/>
          <w:divBdr>
            <w:top w:val="none" w:sz="0" w:space="0" w:color="auto"/>
            <w:left w:val="none" w:sz="0" w:space="0" w:color="auto"/>
            <w:bottom w:val="none" w:sz="0" w:space="0" w:color="auto"/>
            <w:right w:val="none" w:sz="0" w:space="0" w:color="auto"/>
          </w:divBdr>
          <w:divsChild>
            <w:div w:id="602997767">
              <w:marLeft w:val="0"/>
              <w:marRight w:val="0"/>
              <w:marTop w:val="0"/>
              <w:marBottom w:val="0"/>
              <w:divBdr>
                <w:top w:val="none" w:sz="0" w:space="0" w:color="auto"/>
                <w:left w:val="none" w:sz="0" w:space="0" w:color="auto"/>
                <w:bottom w:val="none" w:sz="0" w:space="0" w:color="auto"/>
                <w:right w:val="none" w:sz="0" w:space="0" w:color="auto"/>
              </w:divBdr>
            </w:div>
          </w:divsChild>
        </w:div>
        <w:div w:id="269968617">
          <w:marLeft w:val="0"/>
          <w:marRight w:val="0"/>
          <w:marTop w:val="0"/>
          <w:marBottom w:val="0"/>
          <w:divBdr>
            <w:top w:val="none" w:sz="0" w:space="0" w:color="auto"/>
            <w:left w:val="none" w:sz="0" w:space="0" w:color="auto"/>
            <w:bottom w:val="none" w:sz="0" w:space="0" w:color="auto"/>
            <w:right w:val="none" w:sz="0" w:space="0" w:color="auto"/>
          </w:divBdr>
          <w:divsChild>
            <w:div w:id="1918516529">
              <w:marLeft w:val="0"/>
              <w:marRight w:val="0"/>
              <w:marTop w:val="0"/>
              <w:marBottom w:val="0"/>
              <w:divBdr>
                <w:top w:val="none" w:sz="0" w:space="0" w:color="auto"/>
                <w:left w:val="none" w:sz="0" w:space="0" w:color="auto"/>
                <w:bottom w:val="none" w:sz="0" w:space="0" w:color="auto"/>
                <w:right w:val="none" w:sz="0" w:space="0" w:color="auto"/>
              </w:divBdr>
            </w:div>
          </w:divsChild>
        </w:div>
        <w:div w:id="277831513">
          <w:marLeft w:val="0"/>
          <w:marRight w:val="0"/>
          <w:marTop w:val="0"/>
          <w:marBottom w:val="0"/>
          <w:divBdr>
            <w:top w:val="none" w:sz="0" w:space="0" w:color="auto"/>
            <w:left w:val="none" w:sz="0" w:space="0" w:color="auto"/>
            <w:bottom w:val="none" w:sz="0" w:space="0" w:color="auto"/>
            <w:right w:val="none" w:sz="0" w:space="0" w:color="auto"/>
          </w:divBdr>
          <w:divsChild>
            <w:div w:id="838353448">
              <w:marLeft w:val="0"/>
              <w:marRight w:val="0"/>
              <w:marTop w:val="0"/>
              <w:marBottom w:val="0"/>
              <w:divBdr>
                <w:top w:val="none" w:sz="0" w:space="0" w:color="auto"/>
                <w:left w:val="none" w:sz="0" w:space="0" w:color="auto"/>
                <w:bottom w:val="none" w:sz="0" w:space="0" w:color="auto"/>
                <w:right w:val="none" w:sz="0" w:space="0" w:color="auto"/>
              </w:divBdr>
            </w:div>
          </w:divsChild>
        </w:div>
        <w:div w:id="313996288">
          <w:marLeft w:val="0"/>
          <w:marRight w:val="0"/>
          <w:marTop w:val="0"/>
          <w:marBottom w:val="0"/>
          <w:divBdr>
            <w:top w:val="none" w:sz="0" w:space="0" w:color="auto"/>
            <w:left w:val="none" w:sz="0" w:space="0" w:color="auto"/>
            <w:bottom w:val="none" w:sz="0" w:space="0" w:color="auto"/>
            <w:right w:val="none" w:sz="0" w:space="0" w:color="auto"/>
          </w:divBdr>
          <w:divsChild>
            <w:div w:id="585264686">
              <w:marLeft w:val="0"/>
              <w:marRight w:val="0"/>
              <w:marTop w:val="0"/>
              <w:marBottom w:val="0"/>
              <w:divBdr>
                <w:top w:val="none" w:sz="0" w:space="0" w:color="auto"/>
                <w:left w:val="none" w:sz="0" w:space="0" w:color="auto"/>
                <w:bottom w:val="none" w:sz="0" w:space="0" w:color="auto"/>
                <w:right w:val="none" w:sz="0" w:space="0" w:color="auto"/>
              </w:divBdr>
            </w:div>
          </w:divsChild>
        </w:div>
        <w:div w:id="320239190">
          <w:marLeft w:val="0"/>
          <w:marRight w:val="0"/>
          <w:marTop w:val="0"/>
          <w:marBottom w:val="0"/>
          <w:divBdr>
            <w:top w:val="none" w:sz="0" w:space="0" w:color="auto"/>
            <w:left w:val="none" w:sz="0" w:space="0" w:color="auto"/>
            <w:bottom w:val="none" w:sz="0" w:space="0" w:color="auto"/>
            <w:right w:val="none" w:sz="0" w:space="0" w:color="auto"/>
          </w:divBdr>
          <w:divsChild>
            <w:div w:id="17778400">
              <w:marLeft w:val="0"/>
              <w:marRight w:val="0"/>
              <w:marTop w:val="0"/>
              <w:marBottom w:val="0"/>
              <w:divBdr>
                <w:top w:val="none" w:sz="0" w:space="0" w:color="auto"/>
                <w:left w:val="none" w:sz="0" w:space="0" w:color="auto"/>
                <w:bottom w:val="none" w:sz="0" w:space="0" w:color="auto"/>
                <w:right w:val="none" w:sz="0" w:space="0" w:color="auto"/>
              </w:divBdr>
            </w:div>
          </w:divsChild>
        </w:div>
        <w:div w:id="333922802">
          <w:marLeft w:val="0"/>
          <w:marRight w:val="0"/>
          <w:marTop w:val="0"/>
          <w:marBottom w:val="0"/>
          <w:divBdr>
            <w:top w:val="none" w:sz="0" w:space="0" w:color="auto"/>
            <w:left w:val="none" w:sz="0" w:space="0" w:color="auto"/>
            <w:bottom w:val="none" w:sz="0" w:space="0" w:color="auto"/>
            <w:right w:val="none" w:sz="0" w:space="0" w:color="auto"/>
          </w:divBdr>
          <w:divsChild>
            <w:div w:id="8722474">
              <w:marLeft w:val="0"/>
              <w:marRight w:val="0"/>
              <w:marTop w:val="0"/>
              <w:marBottom w:val="0"/>
              <w:divBdr>
                <w:top w:val="none" w:sz="0" w:space="0" w:color="auto"/>
                <w:left w:val="none" w:sz="0" w:space="0" w:color="auto"/>
                <w:bottom w:val="none" w:sz="0" w:space="0" w:color="auto"/>
                <w:right w:val="none" w:sz="0" w:space="0" w:color="auto"/>
              </w:divBdr>
            </w:div>
          </w:divsChild>
        </w:div>
        <w:div w:id="336344069">
          <w:marLeft w:val="0"/>
          <w:marRight w:val="0"/>
          <w:marTop w:val="0"/>
          <w:marBottom w:val="0"/>
          <w:divBdr>
            <w:top w:val="none" w:sz="0" w:space="0" w:color="auto"/>
            <w:left w:val="none" w:sz="0" w:space="0" w:color="auto"/>
            <w:bottom w:val="none" w:sz="0" w:space="0" w:color="auto"/>
            <w:right w:val="none" w:sz="0" w:space="0" w:color="auto"/>
          </w:divBdr>
          <w:divsChild>
            <w:div w:id="386607678">
              <w:marLeft w:val="0"/>
              <w:marRight w:val="0"/>
              <w:marTop w:val="0"/>
              <w:marBottom w:val="0"/>
              <w:divBdr>
                <w:top w:val="none" w:sz="0" w:space="0" w:color="auto"/>
                <w:left w:val="none" w:sz="0" w:space="0" w:color="auto"/>
                <w:bottom w:val="none" w:sz="0" w:space="0" w:color="auto"/>
                <w:right w:val="none" w:sz="0" w:space="0" w:color="auto"/>
              </w:divBdr>
            </w:div>
          </w:divsChild>
        </w:div>
        <w:div w:id="340006444">
          <w:marLeft w:val="0"/>
          <w:marRight w:val="0"/>
          <w:marTop w:val="0"/>
          <w:marBottom w:val="0"/>
          <w:divBdr>
            <w:top w:val="none" w:sz="0" w:space="0" w:color="auto"/>
            <w:left w:val="none" w:sz="0" w:space="0" w:color="auto"/>
            <w:bottom w:val="none" w:sz="0" w:space="0" w:color="auto"/>
            <w:right w:val="none" w:sz="0" w:space="0" w:color="auto"/>
          </w:divBdr>
          <w:divsChild>
            <w:div w:id="38019488">
              <w:marLeft w:val="0"/>
              <w:marRight w:val="0"/>
              <w:marTop w:val="0"/>
              <w:marBottom w:val="0"/>
              <w:divBdr>
                <w:top w:val="none" w:sz="0" w:space="0" w:color="auto"/>
                <w:left w:val="none" w:sz="0" w:space="0" w:color="auto"/>
                <w:bottom w:val="none" w:sz="0" w:space="0" w:color="auto"/>
                <w:right w:val="none" w:sz="0" w:space="0" w:color="auto"/>
              </w:divBdr>
            </w:div>
          </w:divsChild>
        </w:div>
        <w:div w:id="360514228">
          <w:marLeft w:val="0"/>
          <w:marRight w:val="0"/>
          <w:marTop w:val="0"/>
          <w:marBottom w:val="0"/>
          <w:divBdr>
            <w:top w:val="none" w:sz="0" w:space="0" w:color="auto"/>
            <w:left w:val="none" w:sz="0" w:space="0" w:color="auto"/>
            <w:bottom w:val="none" w:sz="0" w:space="0" w:color="auto"/>
            <w:right w:val="none" w:sz="0" w:space="0" w:color="auto"/>
          </w:divBdr>
          <w:divsChild>
            <w:div w:id="174224276">
              <w:marLeft w:val="0"/>
              <w:marRight w:val="0"/>
              <w:marTop w:val="0"/>
              <w:marBottom w:val="0"/>
              <w:divBdr>
                <w:top w:val="none" w:sz="0" w:space="0" w:color="auto"/>
                <w:left w:val="none" w:sz="0" w:space="0" w:color="auto"/>
                <w:bottom w:val="none" w:sz="0" w:space="0" w:color="auto"/>
                <w:right w:val="none" w:sz="0" w:space="0" w:color="auto"/>
              </w:divBdr>
            </w:div>
          </w:divsChild>
        </w:div>
        <w:div w:id="374088217">
          <w:marLeft w:val="0"/>
          <w:marRight w:val="0"/>
          <w:marTop w:val="0"/>
          <w:marBottom w:val="0"/>
          <w:divBdr>
            <w:top w:val="none" w:sz="0" w:space="0" w:color="auto"/>
            <w:left w:val="none" w:sz="0" w:space="0" w:color="auto"/>
            <w:bottom w:val="none" w:sz="0" w:space="0" w:color="auto"/>
            <w:right w:val="none" w:sz="0" w:space="0" w:color="auto"/>
          </w:divBdr>
          <w:divsChild>
            <w:div w:id="1584337435">
              <w:marLeft w:val="0"/>
              <w:marRight w:val="0"/>
              <w:marTop w:val="0"/>
              <w:marBottom w:val="0"/>
              <w:divBdr>
                <w:top w:val="none" w:sz="0" w:space="0" w:color="auto"/>
                <w:left w:val="none" w:sz="0" w:space="0" w:color="auto"/>
                <w:bottom w:val="none" w:sz="0" w:space="0" w:color="auto"/>
                <w:right w:val="none" w:sz="0" w:space="0" w:color="auto"/>
              </w:divBdr>
            </w:div>
          </w:divsChild>
        </w:div>
        <w:div w:id="377314818">
          <w:marLeft w:val="0"/>
          <w:marRight w:val="0"/>
          <w:marTop w:val="0"/>
          <w:marBottom w:val="0"/>
          <w:divBdr>
            <w:top w:val="none" w:sz="0" w:space="0" w:color="auto"/>
            <w:left w:val="none" w:sz="0" w:space="0" w:color="auto"/>
            <w:bottom w:val="none" w:sz="0" w:space="0" w:color="auto"/>
            <w:right w:val="none" w:sz="0" w:space="0" w:color="auto"/>
          </w:divBdr>
          <w:divsChild>
            <w:div w:id="22484904">
              <w:marLeft w:val="0"/>
              <w:marRight w:val="0"/>
              <w:marTop w:val="0"/>
              <w:marBottom w:val="0"/>
              <w:divBdr>
                <w:top w:val="none" w:sz="0" w:space="0" w:color="auto"/>
                <w:left w:val="none" w:sz="0" w:space="0" w:color="auto"/>
                <w:bottom w:val="none" w:sz="0" w:space="0" w:color="auto"/>
                <w:right w:val="none" w:sz="0" w:space="0" w:color="auto"/>
              </w:divBdr>
            </w:div>
          </w:divsChild>
        </w:div>
        <w:div w:id="378092958">
          <w:marLeft w:val="0"/>
          <w:marRight w:val="0"/>
          <w:marTop w:val="0"/>
          <w:marBottom w:val="0"/>
          <w:divBdr>
            <w:top w:val="none" w:sz="0" w:space="0" w:color="auto"/>
            <w:left w:val="none" w:sz="0" w:space="0" w:color="auto"/>
            <w:bottom w:val="none" w:sz="0" w:space="0" w:color="auto"/>
            <w:right w:val="none" w:sz="0" w:space="0" w:color="auto"/>
          </w:divBdr>
          <w:divsChild>
            <w:div w:id="1124931066">
              <w:marLeft w:val="0"/>
              <w:marRight w:val="0"/>
              <w:marTop w:val="0"/>
              <w:marBottom w:val="0"/>
              <w:divBdr>
                <w:top w:val="none" w:sz="0" w:space="0" w:color="auto"/>
                <w:left w:val="none" w:sz="0" w:space="0" w:color="auto"/>
                <w:bottom w:val="none" w:sz="0" w:space="0" w:color="auto"/>
                <w:right w:val="none" w:sz="0" w:space="0" w:color="auto"/>
              </w:divBdr>
            </w:div>
          </w:divsChild>
        </w:div>
        <w:div w:id="383525554">
          <w:marLeft w:val="0"/>
          <w:marRight w:val="0"/>
          <w:marTop w:val="0"/>
          <w:marBottom w:val="0"/>
          <w:divBdr>
            <w:top w:val="none" w:sz="0" w:space="0" w:color="auto"/>
            <w:left w:val="none" w:sz="0" w:space="0" w:color="auto"/>
            <w:bottom w:val="none" w:sz="0" w:space="0" w:color="auto"/>
            <w:right w:val="none" w:sz="0" w:space="0" w:color="auto"/>
          </w:divBdr>
          <w:divsChild>
            <w:div w:id="736322451">
              <w:marLeft w:val="0"/>
              <w:marRight w:val="0"/>
              <w:marTop w:val="0"/>
              <w:marBottom w:val="0"/>
              <w:divBdr>
                <w:top w:val="none" w:sz="0" w:space="0" w:color="auto"/>
                <w:left w:val="none" w:sz="0" w:space="0" w:color="auto"/>
                <w:bottom w:val="none" w:sz="0" w:space="0" w:color="auto"/>
                <w:right w:val="none" w:sz="0" w:space="0" w:color="auto"/>
              </w:divBdr>
            </w:div>
          </w:divsChild>
        </w:div>
        <w:div w:id="395204704">
          <w:marLeft w:val="0"/>
          <w:marRight w:val="0"/>
          <w:marTop w:val="0"/>
          <w:marBottom w:val="0"/>
          <w:divBdr>
            <w:top w:val="none" w:sz="0" w:space="0" w:color="auto"/>
            <w:left w:val="none" w:sz="0" w:space="0" w:color="auto"/>
            <w:bottom w:val="none" w:sz="0" w:space="0" w:color="auto"/>
            <w:right w:val="none" w:sz="0" w:space="0" w:color="auto"/>
          </w:divBdr>
          <w:divsChild>
            <w:div w:id="48577184">
              <w:marLeft w:val="0"/>
              <w:marRight w:val="0"/>
              <w:marTop w:val="0"/>
              <w:marBottom w:val="0"/>
              <w:divBdr>
                <w:top w:val="none" w:sz="0" w:space="0" w:color="auto"/>
                <w:left w:val="none" w:sz="0" w:space="0" w:color="auto"/>
                <w:bottom w:val="none" w:sz="0" w:space="0" w:color="auto"/>
                <w:right w:val="none" w:sz="0" w:space="0" w:color="auto"/>
              </w:divBdr>
            </w:div>
          </w:divsChild>
        </w:div>
        <w:div w:id="405156018">
          <w:marLeft w:val="0"/>
          <w:marRight w:val="0"/>
          <w:marTop w:val="0"/>
          <w:marBottom w:val="0"/>
          <w:divBdr>
            <w:top w:val="none" w:sz="0" w:space="0" w:color="auto"/>
            <w:left w:val="none" w:sz="0" w:space="0" w:color="auto"/>
            <w:bottom w:val="none" w:sz="0" w:space="0" w:color="auto"/>
            <w:right w:val="none" w:sz="0" w:space="0" w:color="auto"/>
          </w:divBdr>
          <w:divsChild>
            <w:div w:id="1438787747">
              <w:marLeft w:val="0"/>
              <w:marRight w:val="0"/>
              <w:marTop w:val="0"/>
              <w:marBottom w:val="0"/>
              <w:divBdr>
                <w:top w:val="none" w:sz="0" w:space="0" w:color="auto"/>
                <w:left w:val="none" w:sz="0" w:space="0" w:color="auto"/>
                <w:bottom w:val="none" w:sz="0" w:space="0" w:color="auto"/>
                <w:right w:val="none" w:sz="0" w:space="0" w:color="auto"/>
              </w:divBdr>
            </w:div>
          </w:divsChild>
        </w:div>
        <w:div w:id="407070244">
          <w:marLeft w:val="0"/>
          <w:marRight w:val="0"/>
          <w:marTop w:val="0"/>
          <w:marBottom w:val="0"/>
          <w:divBdr>
            <w:top w:val="none" w:sz="0" w:space="0" w:color="auto"/>
            <w:left w:val="none" w:sz="0" w:space="0" w:color="auto"/>
            <w:bottom w:val="none" w:sz="0" w:space="0" w:color="auto"/>
            <w:right w:val="none" w:sz="0" w:space="0" w:color="auto"/>
          </w:divBdr>
          <w:divsChild>
            <w:div w:id="184103717">
              <w:marLeft w:val="0"/>
              <w:marRight w:val="0"/>
              <w:marTop w:val="0"/>
              <w:marBottom w:val="0"/>
              <w:divBdr>
                <w:top w:val="none" w:sz="0" w:space="0" w:color="auto"/>
                <w:left w:val="none" w:sz="0" w:space="0" w:color="auto"/>
                <w:bottom w:val="none" w:sz="0" w:space="0" w:color="auto"/>
                <w:right w:val="none" w:sz="0" w:space="0" w:color="auto"/>
              </w:divBdr>
            </w:div>
          </w:divsChild>
        </w:div>
        <w:div w:id="418645170">
          <w:marLeft w:val="0"/>
          <w:marRight w:val="0"/>
          <w:marTop w:val="0"/>
          <w:marBottom w:val="0"/>
          <w:divBdr>
            <w:top w:val="none" w:sz="0" w:space="0" w:color="auto"/>
            <w:left w:val="none" w:sz="0" w:space="0" w:color="auto"/>
            <w:bottom w:val="none" w:sz="0" w:space="0" w:color="auto"/>
            <w:right w:val="none" w:sz="0" w:space="0" w:color="auto"/>
          </w:divBdr>
          <w:divsChild>
            <w:div w:id="88435343">
              <w:marLeft w:val="0"/>
              <w:marRight w:val="0"/>
              <w:marTop w:val="0"/>
              <w:marBottom w:val="0"/>
              <w:divBdr>
                <w:top w:val="none" w:sz="0" w:space="0" w:color="auto"/>
                <w:left w:val="none" w:sz="0" w:space="0" w:color="auto"/>
                <w:bottom w:val="none" w:sz="0" w:space="0" w:color="auto"/>
                <w:right w:val="none" w:sz="0" w:space="0" w:color="auto"/>
              </w:divBdr>
            </w:div>
          </w:divsChild>
        </w:div>
        <w:div w:id="418674085">
          <w:marLeft w:val="0"/>
          <w:marRight w:val="0"/>
          <w:marTop w:val="0"/>
          <w:marBottom w:val="0"/>
          <w:divBdr>
            <w:top w:val="none" w:sz="0" w:space="0" w:color="auto"/>
            <w:left w:val="none" w:sz="0" w:space="0" w:color="auto"/>
            <w:bottom w:val="none" w:sz="0" w:space="0" w:color="auto"/>
            <w:right w:val="none" w:sz="0" w:space="0" w:color="auto"/>
          </w:divBdr>
          <w:divsChild>
            <w:div w:id="958031146">
              <w:marLeft w:val="0"/>
              <w:marRight w:val="0"/>
              <w:marTop w:val="0"/>
              <w:marBottom w:val="0"/>
              <w:divBdr>
                <w:top w:val="none" w:sz="0" w:space="0" w:color="auto"/>
                <w:left w:val="none" w:sz="0" w:space="0" w:color="auto"/>
                <w:bottom w:val="none" w:sz="0" w:space="0" w:color="auto"/>
                <w:right w:val="none" w:sz="0" w:space="0" w:color="auto"/>
              </w:divBdr>
            </w:div>
          </w:divsChild>
        </w:div>
        <w:div w:id="419446270">
          <w:marLeft w:val="0"/>
          <w:marRight w:val="0"/>
          <w:marTop w:val="0"/>
          <w:marBottom w:val="0"/>
          <w:divBdr>
            <w:top w:val="none" w:sz="0" w:space="0" w:color="auto"/>
            <w:left w:val="none" w:sz="0" w:space="0" w:color="auto"/>
            <w:bottom w:val="none" w:sz="0" w:space="0" w:color="auto"/>
            <w:right w:val="none" w:sz="0" w:space="0" w:color="auto"/>
          </w:divBdr>
          <w:divsChild>
            <w:div w:id="2101827834">
              <w:marLeft w:val="0"/>
              <w:marRight w:val="0"/>
              <w:marTop w:val="0"/>
              <w:marBottom w:val="0"/>
              <w:divBdr>
                <w:top w:val="none" w:sz="0" w:space="0" w:color="auto"/>
                <w:left w:val="none" w:sz="0" w:space="0" w:color="auto"/>
                <w:bottom w:val="none" w:sz="0" w:space="0" w:color="auto"/>
                <w:right w:val="none" w:sz="0" w:space="0" w:color="auto"/>
              </w:divBdr>
            </w:div>
          </w:divsChild>
        </w:div>
        <w:div w:id="433018703">
          <w:marLeft w:val="0"/>
          <w:marRight w:val="0"/>
          <w:marTop w:val="0"/>
          <w:marBottom w:val="0"/>
          <w:divBdr>
            <w:top w:val="none" w:sz="0" w:space="0" w:color="auto"/>
            <w:left w:val="none" w:sz="0" w:space="0" w:color="auto"/>
            <w:bottom w:val="none" w:sz="0" w:space="0" w:color="auto"/>
            <w:right w:val="none" w:sz="0" w:space="0" w:color="auto"/>
          </w:divBdr>
          <w:divsChild>
            <w:div w:id="1546142602">
              <w:marLeft w:val="0"/>
              <w:marRight w:val="0"/>
              <w:marTop w:val="0"/>
              <w:marBottom w:val="0"/>
              <w:divBdr>
                <w:top w:val="none" w:sz="0" w:space="0" w:color="auto"/>
                <w:left w:val="none" w:sz="0" w:space="0" w:color="auto"/>
                <w:bottom w:val="none" w:sz="0" w:space="0" w:color="auto"/>
                <w:right w:val="none" w:sz="0" w:space="0" w:color="auto"/>
              </w:divBdr>
            </w:div>
          </w:divsChild>
        </w:div>
        <w:div w:id="433938659">
          <w:marLeft w:val="0"/>
          <w:marRight w:val="0"/>
          <w:marTop w:val="0"/>
          <w:marBottom w:val="0"/>
          <w:divBdr>
            <w:top w:val="none" w:sz="0" w:space="0" w:color="auto"/>
            <w:left w:val="none" w:sz="0" w:space="0" w:color="auto"/>
            <w:bottom w:val="none" w:sz="0" w:space="0" w:color="auto"/>
            <w:right w:val="none" w:sz="0" w:space="0" w:color="auto"/>
          </w:divBdr>
          <w:divsChild>
            <w:div w:id="980233496">
              <w:marLeft w:val="0"/>
              <w:marRight w:val="0"/>
              <w:marTop w:val="0"/>
              <w:marBottom w:val="0"/>
              <w:divBdr>
                <w:top w:val="none" w:sz="0" w:space="0" w:color="auto"/>
                <w:left w:val="none" w:sz="0" w:space="0" w:color="auto"/>
                <w:bottom w:val="none" w:sz="0" w:space="0" w:color="auto"/>
                <w:right w:val="none" w:sz="0" w:space="0" w:color="auto"/>
              </w:divBdr>
            </w:div>
          </w:divsChild>
        </w:div>
        <w:div w:id="473180582">
          <w:marLeft w:val="0"/>
          <w:marRight w:val="0"/>
          <w:marTop w:val="0"/>
          <w:marBottom w:val="0"/>
          <w:divBdr>
            <w:top w:val="none" w:sz="0" w:space="0" w:color="auto"/>
            <w:left w:val="none" w:sz="0" w:space="0" w:color="auto"/>
            <w:bottom w:val="none" w:sz="0" w:space="0" w:color="auto"/>
            <w:right w:val="none" w:sz="0" w:space="0" w:color="auto"/>
          </w:divBdr>
          <w:divsChild>
            <w:div w:id="1360231874">
              <w:marLeft w:val="0"/>
              <w:marRight w:val="0"/>
              <w:marTop w:val="0"/>
              <w:marBottom w:val="0"/>
              <w:divBdr>
                <w:top w:val="none" w:sz="0" w:space="0" w:color="auto"/>
                <w:left w:val="none" w:sz="0" w:space="0" w:color="auto"/>
                <w:bottom w:val="none" w:sz="0" w:space="0" w:color="auto"/>
                <w:right w:val="none" w:sz="0" w:space="0" w:color="auto"/>
              </w:divBdr>
            </w:div>
          </w:divsChild>
        </w:div>
        <w:div w:id="496043289">
          <w:marLeft w:val="0"/>
          <w:marRight w:val="0"/>
          <w:marTop w:val="0"/>
          <w:marBottom w:val="0"/>
          <w:divBdr>
            <w:top w:val="none" w:sz="0" w:space="0" w:color="auto"/>
            <w:left w:val="none" w:sz="0" w:space="0" w:color="auto"/>
            <w:bottom w:val="none" w:sz="0" w:space="0" w:color="auto"/>
            <w:right w:val="none" w:sz="0" w:space="0" w:color="auto"/>
          </w:divBdr>
          <w:divsChild>
            <w:div w:id="1933662335">
              <w:marLeft w:val="0"/>
              <w:marRight w:val="0"/>
              <w:marTop w:val="0"/>
              <w:marBottom w:val="0"/>
              <w:divBdr>
                <w:top w:val="none" w:sz="0" w:space="0" w:color="auto"/>
                <w:left w:val="none" w:sz="0" w:space="0" w:color="auto"/>
                <w:bottom w:val="none" w:sz="0" w:space="0" w:color="auto"/>
                <w:right w:val="none" w:sz="0" w:space="0" w:color="auto"/>
              </w:divBdr>
            </w:div>
          </w:divsChild>
        </w:div>
        <w:div w:id="500968016">
          <w:marLeft w:val="0"/>
          <w:marRight w:val="0"/>
          <w:marTop w:val="0"/>
          <w:marBottom w:val="0"/>
          <w:divBdr>
            <w:top w:val="none" w:sz="0" w:space="0" w:color="auto"/>
            <w:left w:val="none" w:sz="0" w:space="0" w:color="auto"/>
            <w:bottom w:val="none" w:sz="0" w:space="0" w:color="auto"/>
            <w:right w:val="none" w:sz="0" w:space="0" w:color="auto"/>
          </w:divBdr>
          <w:divsChild>
            <w:div w:id="1140458510">
              <w:marLeft w:val="0"/>
              <w:marRight w:val="0"/>
              <w:marTop w:val="0"/>
              <w:marBottom w:val="0"/>
              <w:divBdr>
                <w:top w:val="none" w:sz="0" w:space="0" w:color="auto"/>
                <w:left w:val="none" w:sz="0" w:space="0" w:color="auto"/>
                <w:bottom w:val="none" w:sz="0" w:space="0" w:color="auto"/>
                <w:right w:val="none" w:sz="0" w:space="0" w:color="auto"/>
              </w:divBdr>
            </w:div>
          </w:divsChild>
        </w:div>
        <w:div w:id="505900930">
          <w:marLeft w:val="0"/>
          <w:marRight w:val="0"/>
          <w:marTop w:val="0"/>
          <w:marBottom w:val="0"/>
          <w:divBdr>
            <w:top w:val="none" w:sz="0" w:space="0" w:color="auto"/>
            <w:left w:val="none" w:sz="0" w:space="0" w:color="auto"/>
            <w:bottom w:val="none" w:sz="0" w:space="0" w:color="auto"/>
            <w:right w:val="none" w:sz="0" w:space="0" w:color="auto"/>
          </w:divBdr>
          <w:divsChild>
            <w:div w:id="468279220">
              <w:marLeft w:val="0"/>
              <w:marRight w:val="0"/>
              <w:marTop w:val="0"/>
              <w:marBottom w:val="0"/>
              <w:divBdr>
                <w:top w:val="none" w:sz="0" w:space="0" w:color="auto"/>
                <w:left w:val="none" w:sz="0" w:space="0" w:color="auto"/>
                <w:bottom w:val="none" w:sz="0" w:space="0" w:color="auto"/>
                <w:right w:val="none" w:sz="0" w:space="0" w:color="auto"/>
              </w:divBdr>
            </w:div>
          </w:divsChild>
        </w:div>
        <w:div w:id="507714264">
          <w:marLeft w:val="0"/>
          <w:marRight w:val="0"/>
          <w:marTop w:val="0"/>
          <w:marBottom w:val="0"/>
          <w:divBdr>
            <w:top w:val="none" w:sz="0" w:space="0" w:color="auto"/>
            <w:left w:val="none" w:sz="0" w:space="0" w:color="auto"/>
            <w:bottom w:val="none" w:sz="0" w:space="0" w:color="auto"/>
            <w:right w:val="none" w:sz="0" w:space="0" w:color="auto"/>
          </w:divBdr>
          <w:divsChild>
            <w:div w:id="158275526">
              <w:marLeft w:val="0"/>
              <w:marRight w:val="0"/>
              <w:marTop w:val="0"/>
              <w:marBottom w:val="0"/>
              <w:divBdr>
                <w:top w:val="none" w:sz="0" w:space="0" w:color="auto"/>
                <w:left w:val="none" w:sz="0" w:space="0" w:color="auto"/>
                <w:bottom w:val="none" w:sz="0" w:space="0" w:color="auto"/>
                <w:right w:val="none" w:sz="0" w:space="0" w:color="auto"/>
              </w:divBdr>
            </w:div>
          </w:divsChild>
        </w:div>
        <w:div w:id="509763233">
          <w:marLeft w:val="0"/>
          <w:marRight w:val="0"/>
          <w:marTop w:val="0"/>
          <w:marBottom w:val="0"/>
          <w:divBdr>
            <w:top w:val="none" w:sz="0" w:space="0" w:color="auto"/>
            <w:left w:val="none" w:sz="0" w:space="0" w:color="auto"/>
            <w:bottom w:val="none" w:sz="0" w:space="0" w:color="auto"/>
            <w:right w:val="none" w:sz="0" w:space="0" w:color="auto"/>
          </w:divBdr>
          <w:divsChild>
            <w:div w:id="304818973">
              <w:marLeft w:val="0"/>
              <w:marRight w:val="0"/>
              <w:marTop w:val="0"/>
              <w:marBottom w:val="0"/>
              <w:divBdr>
                <w:top w:val="none" w:sz="0" w:space="0" w:color="auto"/>
                <w:left w:val="none" w:sz="0" w:space="0" w:color="auto"/>
                <w:bottom w:val="none" w:sz="0" w:space="0" w:color="auto"/>
                <w:right w:val="none" w:sz="0" w:space="0" w:color="auto"/>
              </w:divBdr>
            </w:div>
          </w:divsChild>
        </w:div>
        <w:div w:id="511994991">
          <w:marLeft w:val="0"/>
          <w:marRight w:val="0"/>
          <w:marTop w:val="0"/>
          <w:marBottom w:val="0"/>
          <w:divBdr>
            <w:top w:val="none" w:sz="0" w:space="0" w:color="auto"/>
            <w:left w:val="none" w:sz="0" w:space="0" w:color="auto"/>
            <w:bottom w:val="none" w:sz="0" w:space="0" w:color="auto"/>
            <w:right w:val="none" w:sz="0" w:space="0" w:color="auto"/>
          </w:divBdr>
          <w:divsChild>
            <w:div w:id="700474656">
              <w:marLeft w:val="0"/>
              <w:marRight w:val="0"/>
              <w:marTop w:val="0"/>
              <w:marBottom w:val="0"/>
              <w:divBdr>
                <w:top w:val="none" w:sz="0" w:space="0" w:color="auto"/>
                <w:left w:val="none" w:sz="0" w:space="0" w:color="auto"/>
                <w:bottom w:val="none" w:sz="0" w:space="0" w:color="auto"/>
                <w:right w:val="none" w:sz="0" w:space="0" w:color="auto"/>
              </w:divBdr>
            </w:div>
          </w:divsChild>
        </w:div>
        <w:div w:id="512454060">
          <w:marLeft w:val="0"/>
          <w:marRight w:val="0"/>
          <w:marTop w:val="0"/>
          <w:marBottom w:val="0"/>
          <w:divBdr>
            <w:top w:val="none" w:sz="0" w:space="0" w:color="auto"/>
            <w:left w:val="none" w:sz="0" w:space="0" w:color="auto"/>
            <w:bottom w:val="none" w:sz="0" w:space="0" w:color="auto"/>
            <w:right w:val="none" w:sz="0" w:space="0" w:color="auto"/>
          </w:divBdr>
          <w:divsChild>
            <w:div w:id="2097827566">
              <w:marLeft w:val="0"/>
              <w:marRight w:val="0"/>
              <w:marTop w:val="0"/>
              <w:marBottom w:val="0"/>
              <w:divBdr>
                <w:top w:val="none" w:sz="0" w:space="0" w:color="auto"/>
                <w:left w:val="none" w:sz="0" w:space="0" w:color="auto"/>
                <w:bottom w:val="none" w:sz="0" w:space="0" w:color="auto"/>
                <w:right w:val="none" w:sz="0" w:space="0" w:color="auto"/>
              </w:divBdr>
            </w:div>
          </w:divsChild>
        </w:div>
        <w:div w:id="515995350">
          <w:marLeft w:val="0"/>
          <w:marRight w:val="0"/>
          <w:marTop w:val="0"/>
          <w:marBottom w:val="0"/>
          <w:divBdr>
            <w:top w:val="none" w:sz="0" w:space="0" w:color="auto"/>
            <w:left w:val="none" w:sz="0" w:space="0" w:color="auto"/>
            <w:bottom w:val="none" w:sz="0" w:space="0" w:color="auto"/>
            <w:right w:val="none" w:sz="0" w:space="0" w:color="auto"/>
          </w:divBdr>
          <w:divsChild>
            <w:div w:id="830829770">
              <w:marLeft w:val="0"/>
              <w:marRight w:val="0"/>
              <w:marTop w:val="0"/>
              <w:marBottom w:val="0"/>
              <w:divBdr>
                <w:top w:val="none" w:sz="0" w:space="0" w:color="auto"/>
                <w:left w:val="none" w:sz="0" w:space="0" w:color="auto"/>
                <w:bottom w:val="none" w:sz="0" w:space="0" w:color="auto"/>
                <w:right w:val="none" w:sz="0" w:space="0" w:color="auto"/>
              </w:divBdr>
            </w:div>
          </w:divsChild>
        </w:div>
        <w:div w:id="519129049">
          <w:marLeft w:val="0"/>
          <w:marRight w:val="0"/>
          <w:marTop w:val="0"/>
          <w:marBottom w:val="0"/>
          <w:divBdr>
            <w:top w:val="none" w:sz="0" w:space="0" w:color="auto"/>
            <w:left w:val="none" w:sz="0" w:space="0" w:color="auto"/>
            <w:bottom w:val="none" w:sz="0" w:space="0" w:color="auto"/>
            <w:right w:val="none" w:sz="0" w:space="0" w:color="auto"/>
          </w:divBdr>
          <w:divsChild>
            <w:div w:id="1057779954">
              <w:marLeft w:val="0"/>
              <w:marRight w:val="0"/>
              <w:marTop w:val="0"/>
              <w:marBottom w:val="0"/>
              <w:divBdr>
                <w:top w:val="none" w:sz="0" w:space="0" w:color="auto"/>
                <w:left w:val="none" w:sz="0" w:space="0" w:color="auto"/>
                <w:bottom w:val="none" w:sz="0" w:space="0" w:color="auto"/>
                <w:right w:val="none" w:sz="0" w:space="0" w:color="auto"/>
              </w:divBdr>
            </w:div>
          </w:divsChild>
        </w:div>
        <w:div w:id="521090708">
          <w:marLeft w:val="0"/>
          <w:marRight w:val="0"/>
          <w:marTop w:val="0"/>
          <w:marBottom w:val="0"/>
          <w:divBdr>
            <w:top w:val="none" w:sz="0" w:space="0" w:color="auto"/>
            <w:left w:val="none" w:sz="0" w:space="0" w:color="auto"/>
            <w:bottom w:val="none" w:sz="0" w:space="0" w:color="auto"/>
            <w:right w:val="none" w:sz="0" w:space="0" w:color="auto"/>
          </w:divBdr>
          <w:divsChild>
            <w:div w:id="1253005979">
              <w:marLeft w:val="0"/>
              <w:marRight w:val="0"/>
              <w:marTop w:val="0"/>
              <w:marBottom w:val="0"/>
              <w:divBdr>
                <w:top w:val="none" w:sz="0" w:space="0" w:color="auto"/>
                <w:left w:val="none" w:sz="0" w:space="0" w:color="auto"/>
                <w:bottom w:val="none" w:sz="0" w:space="0" w:color="auto"/>
                <w:right w:val="none" w:sz="0" w:space="0" w:color="auto"/>
              </w:divBdr>
            </w:div>
          </w:divsChild>
        </w:div>
        <w:div w:id="522279446">
          <w:marLeft w:val="0"/>
          <w:marRight w:val="0"/>
          <w:marTop w:val="0"/>
          <w:marBottom w:val="0"/>
          <w:divBdr>
            <w:top w:val="none" w:sz="0" w:space="0" w:color="auto"/>
            <w:left w:val="none" w:sz="0" w:space="0" w:color="auto"/>
            <w:bottom w:val="none" w:sz="0" w:space="0" w:color="auto"/>
            <w:right w:val="none" w:sz="0" w:space="0" w:color="auto"/>
          </w:divBdr>
          <w:divsChild>
            <w:div w:id="1597521068">
              <w:marLeft w:val="0"/>
              <w:marRight w:val="0"/>
              <w:marTop w:val="0"/>
              <w:marBottom w:val="0"/>
              <w:divBdr>
                <w:top w:val="none" w:sz="0" w:space="0" w:color="auto"/>
                <w:left w:val="none" w:sz="0" w:space="0" w:color="auto"/>
                <w:bottom w:val="none" w:sz="0" w:space="0" w:color="auto"/>
                <w:right w:val="none" w:sz="0" w:space="0" w:color="auto"/>
              </w:divBdr>
            </w:div>
          </w:divsChild>
        </w:div>
        <w:div w:id="540047250">
          <w:marLeft w:val="0"/>
          <w:marRight w:val="0"/>
          <w:marTop w:val="0"/>
          <w:marBottom w:val="0"/>
          <w:divBdr>
            <w:top w:val="none" w:sz="0" w:space="0" w:color="auto"/>
            <w:left w:val="none" w:sz="0" w:space="0" w:color="auto"/>
            <w:bottom w:val="none" w:sz="0" w:space="0" w:color="auto"/>
            <w:right w:val="none" w:sz="0" w:space="0" w:color="auto"/>
          </w:divBdr>
          <w:divsChild>
            <w:div w:id="1884555575">
              <w:marLeft w:val="0"/>
              <w:marRight w:val="0"/>
              <w:marTop w:val="0"/>
              <w:marBottom w:val="0"/>
              <w:divBdr>
                <w:top w:val="none" w:sz="0" w:space="0" w:color="auto"/>
                <w:left w:val="none" w:sz="0" w:space="0" w:color="auto"/>
                <w:bottom w:val="none" w:sz="0" w:space="0" w:color="auto"/>
                <w:right w:val="none" w:sz="0" w:space="0" w:color="auto"/>
              </w:divBdr>
            </w:div>
          </w:divsChild>
        </w:div>
        <w:div w:id="542865807">
          <w:marLeft w:val="0"/>
          <w:marRight w:val="0"/>
          <w:marTop w:val="0"/>
          <w:marBottom w:val="0"/>
          <w:divBdr>
            <w:top w:val="none" w:sz="0" w:space="0" w:color="auto"/>
            <w:left w:val="none" w:sz="0" w:space="0" w:color="auto"/>
            <w:bottom w:val="none" w:sz="0" w:space="0" w:color="auto"/>
            <w:right w:val="none" w:sz="0" w:space="0" w:color="auto"/>
          </w:divBdr>
          <w:divsChild>
            <w:div w:id="1321227367">
              <w:marLeft w:val="0"/>
              <w:marRight w:val="0"/>
              <w:marTop w:val="0"/>
              <w:marBottom w:val="0"/>
              <w:divBdr>
                <w:top w:val="none" w:sz="0" w:space="0" w:color="auto"/>
                <w:left w:val="none" w:sz="0" w:space="0" w:color="auto"/>
                <w:bottom w:val="none" w:sz="0" w:space="0" w:color="auto"/>
                <w:right w:val="none" w:sz="0" w:space="0" w:color="auto"/>
              </w:divBdr>
            </w:div>
          </w:divsChild>
        </w:div>
        <w:div w:id="554437747">
          <w:marLeft w:val="0"/>
          <w:marRight w:val="0"/>
          <w:marTop w:val="0"/>
          <w:marBottom w:val="0"/>
          <w:divBdr>
            <w:top w:val="none" w:sz="0" w:space="0" w:color="auto"/>
            <w:left w:val="none" w:sz="0" w:space="0" w:color="auto"/>
            <w:bottom w:val="none" w:sz="0" w:space="0" w:color="auto"/>
            <w:right w:val="none" w:sz="0" w:space="0" w:color="auto"/>
          </w:divBdr>
          <w:divsChild>
            <w:div w:id="343940642">
              <w:marLeft w:val="0"/>
              <w:marRight w:val="0"/>
              <w:marTop w:val="0"/>
              <w:marBottom w:val="0"/>
              <w:divBdr>
                <w:top w:val="none" w:sz="0" w:space="0" w:color="auto"/>
                <w:left w:val="none" w:sz="0" w:space="0" w:color="auto"/>
                <w:bottom w:val="none" w:sz="0" w:space="0" w:color="auto"/>
                <w:right w:val="none" w:sz="0" w:space="0" w:color="auto"/>
              </w:divBdr>
            </w:div>
          </w:divsChild>
        </w:div>
        <w:div w:id="557590601">
          <w:marLeft w:val="0"/>
          <w:marRight w:val="0"/>
          <w:marTop w:val="0"/>
          <w:marBottom w:val="0"/>
          <w:divBdr>
            <w:top w:val="none" w:sz="0" w:space="0" w:color="auto"/>
            <w:left w:val="none" w:sz="0" w:space="0" w:color="auto"/>
            <w:bottom w:val="none" w:sz="0" w:space="0" w:color="auto"/>
            <w:right w:val="none" w:sz="0" w:space="0" w:color="auto"/>
          </w:divBdr>
          <w:divsChild>
            <w:div w:id="120265370">
              <w:marLeft w:val="0"/>
              <w:marRight w:val="0"/>
              <w:marTop w:val="0"/>
              <w:marBottom w:val="0"/>
              <w:divBdr>
                <w:top w:val="none" w:sz="0" w:space="0" w:color="auto"/>
                <w:left w:val="none" w:sz="0" w:space="0" w:color="auto"/>
                <w:bottom w:val="none" w:sz="0" w:space="0" w:color="auto"/>
                <w:right w:val="none" w:sz="0" w:space="0" w:color="auto"/>
              </w:divBdr>
            </w:div>
          </w:divsChild>
        </w:div>
        <w:div w:id="560597575">
          <w:marLeft w:val="0"/>
          <w:marRight w:val="0"/>
          <w:marTop w:val="0"/>
          <w:marBottom w:val="0"/>
          <w:divBdr>
            <w:top w:val="none" w:sz="0" w:space="0" w:color="auto"/>
            <w:left w:val="none" w:sz="0" w:space="0" w:color="auto"/>
            <w:bottom w:val="none" w:sz="0" w:space="0" w:color="auto"/>
            <w:right w:val="none" w:sz="0" w:space="0" w:color="auto"/>
          </w:divBdr>
          <w:divsChild>
            <w:div w:id="1222209905">
              <w:marLeft w:val="0"/>
              <w:marRight w:val="0"/>
              <w:marTop w:val="0"/>
              <w:marBottom w:val="0"/>
              <w:divBdr>
                <w:top w:val="none" w:sz="0" w:space="0" w:color="auto"/>
                <w:left w:val="none" w:sz="0" w:space="0" w:color="auto"/>
                <w:bottom w:val="none" w:sz="0" w:space="0" w:color="auto"/>
                <w:right w:val="none" w:sz="0" w:space="0" w:color="auto"/>
              </w:divBdr>
            </w:div>
          </w:divsChild>
        </w:div>
        <w:div w:id="569079483">
          <w:marLeft w:val="0"/>
          <w:marRight w:val="0"/>
          <w:marTop w:val="0"/>
          <w:marBottom w:val="0"/>
          <w:divBdr>
            <w:top w:val="none" w:sz="0" w:space="0" w:color="auto"/>
            <w:left w:val="none" w:sz="0" w:space="0" w:color="auto"/>
            <w:bottom w:val="none" w:sz="0" w:space="0" w:color="auto"/>
            <w:right w:val="none" w:sz="0" w:space="0" w:color="auto"/>
          </w:divBdr>
          <w:divsChild>
            <w:div w:id="1538854987">
              <w:marLeft w:val="0"/>
              <w:marRight w:val="0"/>
              <w:marTop w:val="0"/>
              <w:marBottom w:val="0"/>
              <w:divBdr>
                <w:top w:val="none" w:sz="0" w:space="0" w:color="auto"/>
                <w:left w:val="none" w:sz="0" w:space="0" w:color="auto"/>
                <w:bottom w:val="none" w:sz="0" w:space="0" w:color="auto"/>
                <w:right w:val="none" w:sz="0" w:space="0" w:color="auto"/>
              </w:divBdr>
            </w:div>
          </w:divsChild>
        </w:div>
        <w:div w:id="573398333">
          <w:marLeft w:val="0"/>
          <w:marRight w:val="0"/>
          <w:marTop w:val="0"/>
          <w:marBottom w:val="0"/>
          <w:divBdr>
            <w:top w:val="none" w:sz="0" w:space="0" w:color="auto"/>
            <w:left w:val="none" w:sz="0" w:space="0" w:color="auto"/>
            <w:bottom w:val="none" w:sz="0" w:space="0" w:color="auto"/>
            <w:right w:val="none" w:sz="0" w:space="0" w:color="auto"/>
          </w:divBdr>
          <w:divsChild>
            <w:div w:id="1119762450">
              <w:marLeft w:val="0"/>
              <w:marRight w:val="0"/>
              <w:marTop w:val="0"/>
              <w:marBottom w:val="0"/>
              <w:divBdr>
                <w:top w:val="none" w:sz="0" w:space="0" w:color="auto"/>
                <w:left w:val="none" w:sz="0" w:space="0" w:color="auto"/>
                <w:bottom w:val="none" w:sz="0" w:space="0" w:color="auto"/>
                <w:right w:val="none" w:sz="0" w:space="0" w:color="auto"/>
              </w:divBdr>
            </w:div>
          </w:divsChild>
        </w:div>
        <w:div w:id="576208870">
          <w:marLeft w:val="0"/>
          <w:marRight w:val="0"/>
          <w:marTop w:val="0"/>
          <w:marBottom w:val="0"/>
          <w:divBdr>
            <w:top w:val="none" w:sz="0" w:space="0" w:color="auto"/>
            <w:left w:val="none" w:sz="0" w:space="0" w:color="auto"/>
            <w:bottom w:val="none" w:sz="0" w:space="0" w:color="auto"/>
            <w:right w:val="none" w:sz="0" w:space="0" w:color="auto"/>
          </w:divBdr>
          <w:divsChild>
            <w:div w:id="1929386317">
              <w:marLeft w:val="0"/>
              <w:marRight w:val="0"/>
              <w:marTop w:val="0"/>
              <w:marBottom w:val="0"/>
              <w:divBdr>
                <w:top w:val="none" w:sz="0" w:space="0" w:color="auto"/>
                <w:left w:val="none" w:sz="0" w:space="0" w:color="auto"/>
                <w:bottom w:val="none" w:sz="0" w:space="0" w:color="auto"/>
                <w:right w:val="none" w:sz="0" w:space="0" w:color="auto"/>
              </w:divBdr>
            </w:div>
          </w:divsChild>
        </w:div>
        <w:div w:id="583494634">
          <w:marLeft w:val="0"/>
          <w:marRight w:val="0"/>
          <w:marTop w:val="0"/>
          <w:marBottom w:val="0"/>
          <w:divBdr>
            <w:top w:val="none" w:sz="0" w:space="0" w:color="auto"/>
            <w:left w:val="none" w:sz="0" w:space="0" w:color="auto"/>
            <w:bottom w:val="none" w:sz="0" w:space="0" w:color="auto"/>
            <w:right w:val="none" w:sz="0" w:space="0" w:color="auto"/>
          </w:divBdr>
          <w:divsChild>
            <w:div w:id="16808249">
              <w:marLeft w:val="0"/>
              <w:marRight w:val="0"/>
              <w:marTop w:val="0"/>
              <w:marBottom w:val="0"/>
              <w:divBdr>
                <w:top w:val="none" w:sz="0" w:space="0" w:color="auto"/>
                <w:left w:val="none" w:sz="0" w:space="0" w:color="auto"/>
                <w:bottom w:val="none" w:sz="0" w:space="0" w:color="auto"/>
                <w:right w:val="none" w:sz="0" w:space="0" w:color="auto"/>
              </w:divBdr>
            </w:div>
          </w:divsChild>
        </w:div>
        <w:div w:id="586958873">
          <w:marLeft w:val="0"/>
          <w:marRight w:val="0"/>
          <w:marTop w:val="0"/>
          <w:marBottom w:val="0"/>
          <w:divBdr>
            <w:top w:val="none" w:sz="0" w:space="0" w:color="auto"/>
            <w:left w:val="none" w:sz="0" w:space="0" w:color="auto"/>
            <w:bottom w:val="none" w:sz="0" w:space="0" w:color="auto"/>
            <w:right w:val="none" w:sz="0" w:space="0" w:color="auto"/>
          </w:divBdr>
          <w:divsChild>
            <w:div w:id="2044213052">
              <w:marLeft w:val="0"/>
              <w:marRight w:val="0"/>
              <w:marTop w:val="0"/>
              <w:marBottom w:val="0"/>
              <w:divBdr>
                <w:top w:val="none" w:sz="0" w:space="0" w:color="auto"/>
                <w:left w:val="none" w:sz="0" w:space="0" w:color="auto"/>
                <w:bottom w:val="none" w:sz="0" w:space="0" w:color="auto"/>
                <w:right w:val="none" w:sz="0" w:space="0" w:color="auto"/>
              </w:divBdr>
            </w:div>
          </w:divsChild>
        </w:div>
        <w:div w:id="586962693">
          <w:marLeft w:val="0"/>
          <w:marRight w:val="0"/>
          <w:marTop w:val="0"/>
          <w:marBottom w:val="0"/>
          <w:divBdr>
            <w:top w:val="none" w:sz="0" w:space="0" w:color="auto"/>
            <w:left w:val="none" w:sz="0" w:space="0" w:color="auto"/>
            <w:bottom w:val="none" w:sz="0" w:space="0" w:color="auto"/>
            <w:right w:val="none" w:sz="0" w:space="0" w:color="auto"/>
          </w:divBdr>
          <w:divsChild>
            <w:div w:id="1354723166">
              <w:marLeft w:val="0"/>
              <w:marRight w:val="0"/>
              <w:marTop w:val="0"/>
              <w:marBottom w:val="0"/>
              <w:divBdr>
                <w:top w:val="none" w:sz="0" w:space="0" w:color="auto"/>
                <w:left w:val="none" w:sz="0" w:space="0" w:color="auto"/>
                <w:bottom w:val="none" w:sz="0" w:space="0" w:color="auto"/>
                <w:right w:val="none" w:sz="0" w:space="0" w:color="auto"/>
              </w:divBdr>
            </w:div>
          </w:divsChild>
        </w:div>
        <w:div w:id="596865234">
          <w:marLeft w:val="0"/>
          <w:marRight w:val="0"/>
          <w:marTop w:val="0"/>
          <w:marBottom w:val="0"/>
          <w:divBdr>
            <w:top w:val="none" w:sz="0" w:space="0" w:color="auto"/>
            <w:left w:val="none" w:sz="0" w:space="0" w:color="auto"/>
            <w:bottom w:val="none" w:sz="0" w:space="0" w:color="auto"/>
            <w:right w:val="none" w:sz="0" w:space="0" w:color="auto"/>
          </w:divBdr>
          <w:divsChild>
            <w:div w:id="738677813">
              <w:marLeft w:val="0"/>
              <w:marRight w:val="0"/>
              <w:marTop w:val="0"/>
              <w:marBottom w:val="0"/>
              <w:divBdr>
                <w:top w:val="none" w:sz="0" w:space="0" w:color="auto"/>
                <w:left w:val="none" w:sz="0" w:space="0" w:color="auto"/>
                <w:bottom w:val="none" w:sz="0" w:space="0" w:color="auto"/>
                <w:right w:val="none" w:sz="0" w:space="0" w:color="auto"/>
              </w:divBdr>
            </w:div>
          </w:divsChild>
        </w:div>
        <w:div w:id="598371405">
          <w:marLeft w:val="0"/>
          <w:marRight w:val="0"/>
          <w:marTop w:val="0"/>
          <w:marBottom w:val="0"/>
          <w:divBdr>
            <w:top w:val="none" w:sz="0" w:space="0" w:color="auto"/>
            <w:left w:val="none" w:sz="0" w:space="0" w:color="auto"/>
            <w:bottom w:val="none" w:sz="0" w:space="0" w:color="auto"/>
            <w:right w:val="none" w:sz="0" w:space="0" w:color="auto"/>
          </w:divBdr>
          <w:divsChild>
            <w:div w:id="1551847143">
              <w:marLeft w:val="0"/>
              <w:marRight w:val="0"/>
              <w:marTop w:val="0"/>
              <w:marBottom w:val="0"/>
              <w:divBdr>
                <w:top w:val="none" w:sz="0" w:space="0" w:color="auto"/>
                <w:left w:val="none" w:sz="0" w:space="0" w:color="auto"/>
                <w:bottom w:val="none" w:sz="0" w:space="0" w:color="auto"/>
                <w:right w:val="none" w:sz="0" w:space="0" w:color="auto"/>
              </w:divBdr>
            </w:div>
          </w:divsChild>
        </w:div>
        <w:div w:id="599024378">
          <w:marLeft w:val="0"/>
          <w:marRight w:val="0"/>
          <w:marTop w:val="0"/>
          <w:marBottom w:val="0"/>
          <w:divBdr>
            <w:top w:val="none" w:sz="0" w:space="0" w:color="auto"/>
            <w:left w:val="none" w:sz="0" w:space="0" w:color="auto"/>
            <w:bottom w:val="none" w:sz="0" w:space="0" w:color="auto"/>
            <w:right w:val="none" w:sz="0" w:space="0" w:color="auto"/>
          </w:divBdr>
          <w:divsChild>
            <w:div w:id="225264028">
              <w:marLeft w:val="0"/>
              <w:marRight w:val="0"/>
              <w:marTop w:val="0"/>
              <w:marBottom w:val="0"/>
              <w:divBdr>
                <w:top w:val="none" w:sz="0" w:space="0" w:color="auto"/>
                <w:left w:val="none" w:sz="0" w:space="0" w:color="auto"/>
                <w:bottom w:val="none" w:sz="0" w:space="0" w:color="auto"/>
                <w:right w:val="none" w:sz="0" w:space="0" w:color="auto"/>
              </w:divBdr>
            </w:div>
          </w:divsChild>
        </w:div>
        <w:div w:id="599994436">
          <w:marLeft w:val="0"/>
          <w:marRight w:val="0"/>
          <w:marTop w:val="0"/>
          <w:marBottom w:val="0"/>
          <w:divBdr>
            <w:top w:val="none" w:sz="0" w:space="0" w:color="auto"/>
            <w:left w:val="none" w:sz="0" w:space="0" w:color="auto"/>
            <w:bottom w:val="none" w:sz="0" w:space="0" w:color="auto"/>
            <w:right w:val="none" w:sz="0" w:space="0" w:color="auto"/>
          </w:divBdr>
          <w:divsChild>
            <w:div w:id="723918280">
              <w:marLeft w:val="0"/>
              <w:marRight w:val="0"/>
              <w:marTop w:val="0"/>
              <w:marBottom w:val="0"/>
              <w:divBdr>
                <w:top w:val="none" w:sz="0" w:space="0" w:color="auto"/>
                <w:left w:val="none" w:sz="0" w:space="0" w:color="auto"/>
                <w:bottom w:val="none" w:sz="0" w:space="0" w:color="auto"/>
                <w:right w:val="none" w:sz="0" w:space="0" w:color="auto"/>
              </w:divBdr>
            </w:div>
          </w:divsChild>
        </w:div>
        <w:div w:id="603154272">
          <w:marLeft w:val="0"/>
          <w:marRight w:val="0"/>
          <w:marTop w:val="0"/>
          <w:marBottom w:val="0"/>
          <w:divBdr>
            <w:top w:val="none" w:sz="0" w:space="0" w:color="auto"/>
            <w:left w:val="none" w:sz="0" w:space="0" w:color="auto"/>
            <w:bottom w:val="none" w:sz="0" w:space="0" w:color="auto"/>
            <w:right w:val="none" w:sz="0" w:space="0" w:color="auto"/>
          </w:divBdr>
          <w:divsChild>
            <w:div w:id="15473700">
              <w:marLeft w:val="0"/>
              <w:marRight w:val="0"/>
              <w:marTop w:val="0"/>
              <w:marBottom w:val="0"/>
              <w:divBdr>
                <w:top w:val="none" w:sz="0" w:space="0" w:color="auto"/>
                <w:left w:val="none" w:sz="0" w:space="0" w:color="auto"/>
                <w:bottom w:val="none" w:sz="0" w:space="0" w:color="auto"/>
                <w:right w:val="none" w:sz="0" w:space="0" w:color="auto"/>
              </w:divBdr>
            </w:div>
          </w:divsChild>
        </w:div>
        <w:div w:id="609092179">
          <w:marLeft w:val="0"/>
          <w:marRight w:val="0"/>
          <w:marTop w:val="0"/>
          <w:marBottom w:val="0"/>
          <w:divBdr>
            <w:top w:val="none" w:sz="0" w:space="0" w:color="auto"/>
            <w:left w:val="none" w:sz="0" w:space="0" w:color="auto"/>
            <w:bottom w:val="none" w:sz="0" w:space="0" w:color="auto"/>
            <w:right w:val="none" w:sz="0" w:space="0" w:color="auto"/>
          </w:divBdr>
          <w:divsChild>
            <w:div w:id="1535850421">
              <w:marLeft w:val="0"/>
              <w:marRight w:val="0"/>
              <w:marTop w:val="0"/>
              <w:marBottom w:val="0"/>
              <w:divBdr>
                <w:top w:val="none" w:sz="0" w:space="0" w:color="auto"/>
                <w:left w:val="none" w:sz="0" w:space="0" w:color="auto"/>
                <w:bottom w:val="none" w:sz="0" w:space="0" w:color="auto"/>
                <w:right w:val="none" w:sz="0" w:space="0" w:color="auto"/>
              </w:divBdr>
            </w:div>
          </w:divsChild>
        </w:div>
        <w:div w:id="609623964">
          <w:marLeft w:val="0"/>
          <w:marRight w:val="0"/>
          <w:marTop w:val="0"/>
          <w:marBottom w:val="0"/>
          <w:divBdr>
            <w:top w:val="none" w:sz="0" w:space="0" w:color="auto"/>
            <w:left w:val="none" w:sz="0" w:space="0" w:color="auto"/>
            <w:bottom w:val="none" w:sz="0" w:space="0" w:color="auto"/>
            <w:right w:val="none" w:sz="0" w:space="0" w:color="auto"/>
          </w:divBdr>
          <w:divsChild>
            <w:div w:id="1731532482">
              <w:marLeft w:val="0"/>
              <w:marRight w:val="0"/>
              <w:marTop w:val="0"/>
              <w:marBottom w:val="0"/>
              <w:divBdr>
                <w:top w:val="none" w:sz="0" w:space="0" w:color="auto"/>
                <w:left w:val="none" w:sz="0" w:space="0" w:color="auto"/>
                <w:bottom w:val="none" w:sz="0" w:space="0" w:color="auto"/>
                <w:right w:val="none" w:sz="0" w:space="0" w:color="auto"/>
              </w:divBdr>
            </w:div>
          </w:divsChild>
        </w:div>
        <w:div w:id="612637836">
          <w:marLeft w:val="0"/>
          <w:marRight w:val="0"/>
          <w:marTop w:val="0"/>
          <w:marBottom w:val="0"/>
          <w:divBdr>
            <w:top w:val="none" w:sz="0" w:space="0" w:color="auto"/>
            <w:left w:val="none" w:sz="0" w:space="0" w:color="auto"/>
            <w:bottom w:val="none" w:sz="0" w:space="0" w:color="auto"/>
            <w:right w:val="none" w:sz="0" w:space="0" w:color="auto"/>
          </w:divBdr>
          <w:divsChild>
            <w:div w:id="1631744566">
              <w:marLeft w:val="0"/>
              <w:marRight w:val="0"/>
              <w:marTop w:val="0"/>
              <w:marBottom w:val="0"/>
              <w:divBdr>
                <w:top w:val="none" w:sz="0" w:space="0" w:color="auto"/>
                <w:left w:val="none" w:sz="0" w:space="0" w:color="auto"/>
                <w:bottom w:val="none" w:sz="0" w:space="0" w:color="auto"/>
                <w:right w:val="none" w:sz="0" w:space="0" w:color="auto"/>
              </w:divBdr>
            </w:div>
          </w:divsChild>
        </w:div>
        <w:div w:id="613557728">
          <w:marLeft w:val="0"/>
          <w:marRight w:val="0"/>
          <w:marTop w:val="0"/>
          <w:marBottom w:val="0"/>
          <w:divBdr>
            <w:top w:val="none" w:sz="0" w:space="0" w:color="auto"/>
            <w:left w:val="none" w:sz="0" w:space="0" w:color="auto"/>
            <w:bottom w:val="none" w:sz="0" w:space="0" w:color="auto"/>
            <w:right w:val="none" w:sz="0" w:space="0" w:color="auto"/>
          </w:divBdr>
          <w:divsChild>
            <w:div w:id="1072773672">
              <w:marLeft w:val="0"/>
              <w:marRight w:val="0"/>
              <w:marTop w:val="0"/>
              <w:marBottom w:val="0"/>
              <w:divBdr>
                <w:top w:val="none" w:sz="0" w:space="0" w:color="auto"/>
                <w:left w:val="none" w:sz="0" w:space="0" w:color="auto"/>
                <w:bottom w:val="none" w:sz="0" w:space="0" w:color="auto"/>
                <w:right w:val="none" w:sz="0" w:space="0" w:color="auto"/>
              </w:divBdr>
            </w:div>
          </w:divsChild>
        </w:div>
        <w:div w:id="618492272">
          <w:marLeft w:val="0"/>
          <w:marRight w:val="0"/>
          <w:marTop w:val="0"/>
          <w:marBottom w:val="0"/>
          <w:divBdr>
            <w:top w:val="none" w:sz="0" w:space="0" w:color="auto"/>
            <w:left w:val="none" w:sz="0" w:space="0" w:color="auto"/>
            <w:bottom w:val="none" w:sz="0" w:space="0" w:color="auto"/>
            <w:right w:val="none" w:sz="0" w:space="0" w:color="auto"/>
          </w:divBdr>
          <w:divsChild>
            <w:div w:id="309134727">
              <w:marLeft w:val="0"/>
              <w:marRight w:val="0"/>
              <w:marTop w:val="0"/>
              <w:marBottom w:val="0"/>
              <w:divBdr>
                <w:top w:val="none" w:sz="0" w:space="0" w:color="auto"/>
                <w:left w:val="none" w:sz="0" w:space="0" w:color="auto"/>
                <w:bottom w:val="none" w:sz="0" w:space="0" w:color="auto"/>
                <w:right w:val="none" w:sz="0" w:space="0" w:color="auto"/>
              </w:divBdr>
            </w:div>
          </w:divsChild>
        </w:div>
        <w:div w:id="621544198">
          <w:marLeft w:val="0"/>
          <w:marRight w:val="0"/>
          <w:marTop w:val="0"/>
          <w:marBottom w:val="0"/>
          <w:divBdr>
            <w:top w:val="none" w:sz="0" w:space="0" w:color="auto"/>
            <w:left w:val="none" w:sz="0" w:space="0" w:color="auto"/>
            <w:bottom w:val="none" w:sz="0" w:space="0" w:color="auto"/>
            <w:right w:val="none" w:sz="0" w:space="0" w:color="auto"/>
          </w:divBdr>
          <w:divsChild>
            <w:div w:id="846096149">
              <w:marLeft w:val="0"/>
              <w:marRight w:val="0"/>
              <w:marTop w:val="0"/>
              <w:marBottom w:val="0"/>
              <w:divBdr>
                <w:top w:val="none" w:sz="0" w:space="0" w:color="auto"/>
                <w:left w:val="none" w:sz="0" w:space="0" w:color="auto"/>
                <w:bottom w:val="none" w:sz="0" w:space="0" w:color="auto"/>
                <w:right w:val="none" w:sz="0" w:space="0" w:color="auto"/>
              </w:divBdr>
            </w:div>
          </w:divsChild>
        </w:div>
        <w:div w:id="622078616">
          <w:marLeft w:val="0"/>
          <w:marRight w:val="0"/>
          <w:marTop w:val="0"/>
          <w:marBottom w:val="0"/>
          <w:divBdr>
            <w:top w:val="none" w:sz="0" w:space="0" w:color="auto"/>
            <w:left w:val="none" w:sz="0" w:space="0" w:color="auto"/>
            <w:bottom w:val="none" w:sz="0" w:space="0" w:color="auto"/>
            <w:right w:val="none" w:sz="0" w:space="0" w:color="auto"/>
          </w:divBdr>
          <w:divsChild>
            <w:div w:id="924802169">
              <w:marLeft w:val="0"/>
              <w:marRight w:val="0"/>
              <w:marTop w:val="0"/>
              <w:marBottom w:val="0"/>
              <w:divBdr>
                <w:top w:val="none" w:sz="0" w:space="0" w:color="auto"/>
                <w:left w:val="none" w:sz="0" w:space="0" w:color="auto"/>
                <w:bottom w:val="none" w:sz="0" w:space="0" w:color="auto"/>
                <w:right w:val="none" w:sz="0" w:space="0" w:color="auto"/>
              </w:divBdr>
            </w:div>
          </w:divsChild>
        </w:div>
        <w:div w:id="627275561">
          <w:marLeft w:val="0"/>
          <w:marRight w:val="0"/>
          <w:marTop w:val="0"/>
          <w:marBottom w:val="0"/>
          <w:divBdr>
            <w:top w:val="none" w:sz="0" w:space="0" w:color="auto"/>
            <w:left w:val="none" w:sz="0" w:space="0" w:color="auto"/>
            <w:bottom w:val="none" w:sz="0" w:space="0" w:color="auto"/>
            <w:right w:val="none" w:sz="0" w:space="0" w:color="auto"/>
          </w:divBdr>
          <w:divsChild>
            <w:div w:id="1870800953">
              <w:marLeft w:val="0"/>
              <w:marRight w:val="0"/>
              <w:marTop w:val="0"/>
              <w:marBottom w:val="0"/>
              <w:divBdr>
                <w:top w:val="none" w:sz="0" w:space="0" w:color="auto"/>
                <w:left w:val="none" w:sz="0" w:space="0" w:color="auto"/>
                <w:bottom w:val="none" w:sz="0" w:space="0" w:color="auto"/>
                <w:right w:val="none" w:sz="0" w:space="0" w:color="auto"/>
              </w:divBdr>
            </w:div>
          </w:divsChild>
        </w:div>
        <w:div w:id="627662425">
          <w:marLeft w:val="0"/>
          <w:marRight w:val="0"/>
          <w:marTop w:val="0"/>
          <w:marBottom w:val="0"/>
          <w:divBdr>
            <w:top w:val="none" w:sz="0" w:space="0" w:color="auto"/>
            <w:left w:val="none" w:sz="0" w:space="0" w:color="auto"/>
            <w:bottom w:val="none" w:sz="0" w:space="0" w:color="auto"/>
            <w:right w:val="none" w:sz="0" w:space="0" w:color="auto"/>
          </w:divBdr>
          <w:divsChild>
            <w:div w:id="806631569">
              <w:marLeft w:val="0"/>
              <w:marRight w:val="0"/>
              <w:marTop w:val="0"/>
              <w:marBottom w:val="0"/>
              <w:divBdr>
                <w:top w:val="none" w:sz="0" w:space="0" w:color="auto"/>
                <w:left w:val="none" w:sz="0" w:space="0" w:color="auto"/>
                <w:bottom w:val="none" w:sz="0" w:space="0" w:color="auto"/>
                <w:right w:val="none" w:sz="0" w:space="0" w:color="auto"/>
              </w:divBdr>
            </w:div>
          </w:divsChild>
        </w:div>
        <w:div w:id="630552210">
          <w:marLeft w:val="0"/>
          <w:marRight w:val="0"/>
          <w:marTop w:val="0"/>
          <w:marBottom w:val="0"/>
          <w:divBdr>
            <w:top w:val="none" w:sz="0" w:space="0" w:color="auto"/>
            <w:left w:val="none" w:sz="0" w:space="0" w:color="auto"/>
            <w:bottom w:val="none" w:sz="0" w:space="0" w:color="auto"/>
            <w:right w:val="none" w:sz="0" w:space="0" w:color="auto"/>
          </w:divBdr>
          <w:divsChild>
            <w:div w:id="193075977">
              <w:marLeft w:val="0"/>
              <w:marRight w:val="0"/>
              <w:marTop w:val="0"/>
              <w:marBottom w:val="0"/>
              <w:divBdr>
                <w:top w:val="none" w:sz="0" w:space="0" w:color="auto"/>
                <w:left w:val="none" w:sz="0" w:space="0" w:color="auto"/>
                <w:bottom w:val="none" w:sz="0" w:space="0" w:color="auto"/>
                <w:right w:val="none" w:sz="0" w:space="0" w:color="auto"/>
              </w:divBdr>
            </w:div>
          </w:divsChild>
        </w:div>
        <w:div w:id="638344762">
          <w:marLeft w:val="0"/>
          <w:marRight w:val="0"/>
          <w:marTop w:val="0"/>
          <w:marBottom w:val="0"/>
          <w:divBdr>
            <w:top w:val="none" w:sz="0" w:space="0" w:color="auto"/>
            <w:left w:val="none" w:sz="0" w:space="0" w:color="auto"/>
            <w:bottom w:val="none" w:sz="0" w:space="0" w:color="auto"/>
            <w:right w:val="none" w:sz="0" w:space="0" w:color="auto"/>
          </w:divBdr>
          <w:divsChild>
            <w:div w:id="656689869">
              <w:marLeft w:val="0"/>
              <w:marRight w:val="0"/>
              <w:marTop w:val="0"/>
              <w:marBottom w:val="0"/>
              <w:divBdr>
                <w:top w:val="none" w:sz="0" w:space="0" w:color="auto"/>
                <w:left w:val="none" w:sz="0" w:space="0" w:color="auto"/>
                <w:bottom w:val="none" w:sz="0" w:space="0" w:color="auto"/>
                <w:right w:val="none" w:sz="0" w:space="0" w:color="auto"/>
              </w:divBdr>
            </w:div>
          </w:divsChild>
        </w:div>
        <w:div w:id="639650104">
          <w:marLeft w:val="0"/>
          <w:marRight w:val="0"/>
          <w:marTop w:val="0"/>
          <w:marBottom w:val="0"/>
          <w:divBdr>
            <w:top w:val="none" w:sz="0" w:space="0" w:color="auto"/>
            <w:left w:val="none" w:sz="0" w:space="0" w:color="auto"/>
            <w:bottom w:val="none" w:sz="0" w:space="0" w:color="auto"/>
            <w:right w:val="none" w:sz="0" w:space="0" w:color="auto"/>
          </w:divBdr>
          <w:divsChild>
            <w:div w:id="84621600">
              <w:marLeft w:val="0"/>
              <w:marRight w:val="0"/>
              <w:marTop w:val="0"/>
              <w:marBottom w:val="0"/>
              <w:divBdr>
                <w:top w:val="none" w:sz="0" w:space="0" w:color="auto"/>
                <w:left w:val="none" w:sz="0" w:space="0" w:color="auto"/>
                <w:bottom w:val="none" w:sz="0" w:space="0" w:color="auto"/>
                <w:right w:val="none" w:sz="0" w:space="0" w:color="auto"/>
              </w:divBdr>
            </w:div>
          </w:divsChild>
        </w:div>
        <w:div w:id="639962742">
          <w:marLeft w:val="0"/>
          <w:marRight w:val="0"/>
          <w:marTop w:val="0"/>
          <w:marBottom w:val="0"/>
          <w:divBdr>
            <w:top w:val="none" w:sz="0" w:space="0" w:color="auto"/>
            <w:left w:val="none" w:sz="0" w:space="0" w:color="auto"/>
            <w:bottom w:val="none" w:sz="0" w:space="0" w:color="auto"/>
            <w:right w:val="none" w:sz="0" w:space="0" w:color="auto"/>
          </w:divBdr>
          <w:divsChild>
            <w:div w:id="1559050528">
              <w:marLeft w:val="0"/>
              <w:marRight w:val="0"/>
              <w:marTop w:val="0"/>
              <w:marBottom w:val="0"/>
              <w:divBdr>
                <w:top w:val="none" w:sz="0" w:space="0" w:color="auto"/>
                <w:left w:val="none" w:sz="0" w:space="0" w:color="auto"/>
                <w:bottom w:val="none" w:sz="0" w:space="0" w:color="auto"/>
                <w:right w:val="none" w:sz="0" w:space="0" w:color="auto"/>
              </w:divBdr>
            </w:div>
          </w:divsChild>
        </w:div>
        <w:div w:id="657731251">
          <w:marLeft w:val="0"/>
          <w:marRight w:val="0"/>
          <w:marTop w:val="0"/>
          <w:marBottom w:val="0"/>
          <w:divBdr>
            <w:top w:val="none" w:sz="0" w:space="0" w:color="auto"/>
            <w:left w:val="none" w:sz="0" w:space="0" w:color="auto"/>
            <w:bottom w:val="none" w:sz="0" w:space="0" w:color="auto"/>
            <w:right w:val="none" w:sz="0" w:space="0" w:color="auto"/>
          </w:divBdr>
          <w:divsChild>
            <w:div w:id="528028087">
              <w:marLeft w:val="0"/>
              <w:marRight w:val="0"/>
              <w:marTop w:val="0"/>
              <w:marBottom w:val="0"/>
              <w:divBdr>
                <w:top w:val="none" w:sz="0" w:space="0" w:color="auto"/>
                <w:left w:val="none" w:sz="0" w:space="0" w:color="auto"/>
                <w:bottom w:val="none" w:sz="0" w:space="0" w:color="auto"/>
                <w:right w:val="none" w:sz="0" w:space="0" w:color="auto"/>
              </w:divBdr>
            </w:div>
          </w:divsChild>
        </w:div>
        <w:div w:id="672024978">
          <w:marLeft w:val="0"/>
          <w:marRight w:val="0"/>
          <w:marTop w:val="0"/>
          <w:marBottom w:val="0"/>
          <w:divBdr>
            <w:top w:val="none" w:sz="0" w:space="0" w:color="auto"/>
            <w:left w:val="none" w:sz="0" w:space="0" w:color="auto"/>
            <w:bottom w:val="none" w:sz="0" w:space="0" w:color="auto"/>
            <w:right w:val="none" w:sz="0" w:space="0" w:color="auto"/>
          </w:divBdr>
          <w:divsChild>
            <w:div w:id="1432361500">
              <w:marLeft w:val="0"/>
              <w:marRight w:val="0"/>
              <w:marTop w:val="0"/>
              <w:marBottom w:val="0"/>
              <w:divBdr>
                <w:top w:val="none" w:sz="0" w:space="0" w:color="auto"/>
                <w:left w:val="none" w:sz="0" w:space="0" w:color="auto"/>
                <w:bottom w:val="none" w:sz="0" w:space="0" w:color="auto"/>
                <w:right w:val="none" w:sz="0" w:space="0" w:color="auto"/>
              </w:divBdr>
            </w:div>
          </w:divsChild>
        </w:div>
        <w:div w:id="672531698">
          <w:marLeft w:val="0"/>
          <w:marRight w:val="0"/>
          <w:marTop w:val="0"/>
          <w:marBottom w:val="0"/>
          <w:divBdr>
            <w:top w:val="none" w:sz="0" w:space="0" w:color="auto"/>
            <w:left w:val="none" w:sz="0" w:space="0" w:color="auto"/>
            <w:bottom w:val="none" w:sz="0" w:space="0" w:color="auto"/>
            <w:right w:val="none" w:sz="0" w:space="0" w:color="auto"/>
          </w:divBdr>
          <w:divsChild>
            <w:div w:id="1086220576">
              <w:marLeft w:val="0"/>
              <w:marRight w:val="0"/>
              <w:marTop w:val="0"/>
              <w:marBottom w:val="0"/>
              <w:divBdr>
                <w:top w:val="none" w:sz="0" w:space="0" w:color="auto"/>
                <w:left w:val="none" w:sz="0" w:space="0" w:color="auto"/>
                <w:bottom w:val="none" w:sz="0" w:space="0" w:color="auto"/>
                <w:right w:val="none" w:sz="0" w:space="0" w:color="auto"/>
              </w:divBdr>
            </w:div>
          </w:divsChild>
        </w:div>
        <w:div w:id="683703086">
          <w:marLeft w:val="0"/>
          <w:marRight w:val="0"/>
          <w:marTop w:val="0"/>
          <w:marBottom w:val="0"/>
          <w:divBdr>
            <w:top w:val="none" w:sz="0" w:space="0" w:color="auto"/>
            <w:left w:val="none" w:sz="0" w:space="0" w:color="auto"/>
            <w:bottom w:val="none" w:sz="0" w:space="0" w:color="auto"/>
            <w:right w:val="none" w:sz="0" w:space="0" w:color="auto"/>
          </w:divBdr>
          <w:divsChild>
            <w:div w:id="1535726966">
              <w:marLeft w:val="0"/>
              <w:marRight w:val="0"/>
              <w:marTop w:val="0"/>
              <w:marBottom w:val="0"/>
              <w:divBdr>
                <w:top w:val="none" w:sz="0" w:space="0" w:color="auto"/>
                <w:left w:val="none" w:sz="0" w:space="0" w:color="auto"/>
                <w:bottom w:val="none" w:sz="0" w:space="0" w:color="auto"/>
                <w:right w:val="none" w:sz="0" w:space="0" w:color="auto"/>
              </w:divBdr>
            </w:div>
          </w:divsChild>
        </w:div>
        <w:div w:id="687634354">
          <w:marLeft w:val="0"/>
          <w:marRight w:val="0"/>
          <w:marTop w:val="0"/>
          <w:marBottom w:val="0"/>
          <w:divBdr>
            <w:top w:val="none" w:sz="0" w:space="0" w:color="auto"/>
            <w:left w:val="none" w:sz="0" w:space="0" w:color="auto"/>
            <w:bottom w:val="none" w:sz="0" w:space="0" w:color="auto"/>
            <w:right w:val="none" w:sz="0" w:space="0" w:color="auto"/>
          </w:divBdr>
          <w:divsChild>
            <w:div w:id="2020892036">
              <w:marLeft w:val="0"/>
              <w:marRight w:val="0"/>
              <w:marTop w:val="0"/>
              <w:marBottom w:val="0"/>
              <w:divBdr>
                <w:top w:val="none" w:sz="0" w:space="0" w:color="auto"/>
                <w:left w:val="none" w:sz="0" w:space="0" w:color="auto"/>
                <w:bottom w:val="none" w:sz="0" w:space="0" w:color="auto"/>
                <w:right w:val="none" w:sz="0" w:space="0" w:color="auto"/>
              </w:divBdr>
            </w:div>
          </w:divsChild>
        </w:div>
        <w:div w:id="696009889">
          <w:marLeft w:val="0"/>
          <w:marRight w:val="0"/>
          <w:marTop w:val="0"/>
          <w:marBottom w:val="0"/>
          <w:divBdr>
            <w:top w:val="none" w:sz="0" w:space="0" w:color="auto"/>
            <w:left w:val="none" w:sz="0" w:space="0" w:color="auto"/>
            <w:bottom w:val="none" w:sz="0" w:space="0" w:color="auto"/>
            <w:right w:val="none" w:sz="0" w:space="0" w:color="auto"/>
          </w:divBdr>
          <w:divsChild>
            <w:div w:id="754548399">
              <w:marLeft w:val="0"/>
              <w:marRight w:val="0"/>
              <w:marTop w:val="0"/>
              <w:marBottom w:val="0"/>
              <w:divBdr>
                <w:top w:val="none" w:sz="0" w:space="0" w:color="auto"/>
                <w:left w:val="none" w:sz="0" w:space="0" w:color="auto"/>
                <w:bottom w:val="none" w:sz="0" w:space="0" w:color="auto"/>
                <w:right w:val="none" w:sz="0" w:space="0" w:color="auto"/>
              </w:divBdr>
            </w:div>
          </w:divsChild>
        </w:div>
        <w:div w:id="705906129">
          <w:marLeft w:val="0"/>
          <w:marRight w:val="0"/>
          <w:marTop w:val="0"/>
          <w:marBottom w:val="0"/>
          <w:divBdr>
            <w:top w:val="none" w:sz="0" w:space="0" w:color="auto"/>
            <w:left w:val="none" w:sz="0" w:space="0" w:color="auto"/>
            <w:bottom w:val="none" w:sz="0" w:space="0" w:color="auto"/>
            <w:right w:val="none" w:sz="0" w:space="0" w:color="auto"/>
          </w:divBdr>
          <w:divsChild>
            <w:div w:id="1272785951">
              <w:marLeft w:val="0"/>
              <w:marRight w:val="0"/>
              <w:marTop w:val="0"/>
              <w:marBottom w:val="0"/>
              <w:divBdr>
                <w:top w:val="none" w:sz="0" w:space="0" w:color="auto"/>
                <w:left w:val="none" w:sz="0" w:space="0" w:color="auto"/>
                <w:bottom w:val="none" w:sz="0" w:space="0" w:color="auto"/>
                <w:right w:val="none" w:sz="0" w:space="0" w:color="auto"/>
              </w:divBdr>
            </w:div>
          </w:divsChild>
        </w:div>
        <w:div w:id="706300232">
          <w:marLeft w:val="0"/>
          <w:marRight w:val="0"/>
          <w:marTop w:val="0"/>
          <w:marBottom w:val="0"/>
          <w:divBdr>
            <w:top w:val="none" w:sz="0" w:space="0" w:color="auto"/>
            <w:left w:val="none" w:sz="0" w:space="0" w:color="auto"/>
            <w:bottom w:val="none" w:sz="0" w:space="0" w:color="auto"/>
            <w:right w:val="none" w:sz="0" w:space="0" w:color="auto"/>
          </w:divBdr>
          <w:divsChild>
            <w:div w:id="397825645">
              <w:marLeft w:val="0"/>
              <w:marRight w:val="0"/>
              <w:marTop w:val="0"/>
              <w:marBottom w:val="0"/>
              <w:divBdr>
                <w:top w:val="none" w:sz="0" w:space="0" w:color="auto"/>
                <w:left w:val="none" w:sz="0" w:space="0" w:color="auto"/>
                <w:bottom w:val="none" w:sz="0" w:space="0" w:color="auto"/>
                <w:right w:val="none" w:sz="0" w:space="0" w:color="auto"/>
              </w:divBdr>
            </w:div>
          </w:divsChild>
        </w:div>
        <w:div w:id="708534185">
          <w:marLeft w:val="0"/>
          <w:marRight w:val="0"/>
          <w:marTop w:val="0"/>
          <w:marBottom w:val="0"/>
          <w:divBdr>
            <w:top w:val="none" w:sz="0" w:space="0" w:color="auto"/>
            <w:left w:val="none" w:sz="0" w:space="0" w:color="auto"/>
            <w:bottom w:val="none" w:sz="0" w:space="0" w:color="auto"/>
            <w:right w:val="none" w:sz="0" w:space="0" w:color="auto"/>
          </w:divBdr>
          <w:divsChild>
            <w:div w:id="1465924233">
              <w:marLeft w:val="0"/>
              <w:marRight w:val="0"/>
              <w:marTop w:val="0"/>
              <w:marBottom w:val="0"/>
              <w:divBdr>
                <w:top w:val="none" w:sz="0" w:space="0" w:color="auto"/>
                <w:left w:val="none" w:sz="0" w:space="0" w:color="auto"/>
                <w:bottom w:val="none" w:sz="0" w:space="0" w:color="auto"/>
                <w:right w:val="none" w:sz="0" w:space="0" w:color="auto"/>
              </w:divBdr>
            </w:div>
          </w:divsChild>
        </w:div>
        <w:div w:id="718093054">
          <w:marLeft w:val="0"/>
          <w:marRight w:val="0"/>
          <w:marTop w:val="0"/>
          <w:marBottom w:val="0"/>
          <w:divBdr>
            <w:top w:val="none" w:sz="0" w:space="0" w:color="auto"/>
            <w:left w:val="none" w:sz="0" w:space="0" w:color="auto"/>
            <w:bottom w:val="none" w:sz="0" w:space="0" w:color="auto"/>
            <w:right w:val="none" w:sz="0" w:space="0" w:color="auto"/>
          </w:divBdr>
          <w:divsChild>
            <w:div w:id="140317094">
              <w:marLeft w:val="0"/>
              <w:marRight w:val="0"/>
              <w:marTop w:val="0"/>
              <w:marBottom w:val="0"/>
              <w:divBdr>
                <w:top w:val="none" w:sz="0" w:space="0" w:color="auto"/>
                <w:left w:val="none" w:sz="0" w:space="0" w:color="auto"/>
                <w:bottom w:val="none" w:sz="0" w:space="0" w:color="auto"/>
                <w:right w:val="none" w:sz="0" w:space="0" w:color="auto"/>
              </w:divBdr>
            </w:div>
          </w:divsChild>
        </w:div>
        <w:div w:id="718478886">
          <w:marLeft w:val="0"/>
          <w:marRight w:val="0"/>
          <w:marTop w:val="0"/>
          <w:marBottom w:val="0"/>
          <w:divBdr>
            <w:top w:val="none" w:sz="0" w:space="0" w:color="auto"/>
            <w:left w:val="none" w:sz="0" w:space="0" w:color="auto"/>
            <w:bottom w:val="none" w:sz="0" w:space="0" w:color="auto"/>
            <w:right w:val="none" w:sz="0" w:space="0" w:color="auto"/>
          </w:divBdr>
          <w:divsChild>
            <w:div w:id="1327712562">
              <w:marLeft w:val="0"/>
              <w:marRight w:val="0"/>
              <w:marTop w:val="0"/>
              <w:marBottom w:val="0"/>
              <w:divBdr>
                <w:top w:val="none" w:sz="0" w:space="0" w:color="auto"/>
                <w:left w:val="none" w:sz="0" w:space="0" w:color="auto"/>
                <w:bottom w:val="none" w:sz="0" w:space="0" w:color="auto"/>
                <w:right w:val="none" w:sz="0" w:space="0" w:color="auto"/>
              </w:divBdr>
            </w:div>
          </w:divsChild>
        </w:div>
        <w:div w:id="730806394">
          <w:marLeft w:val="0"/>
          <w:marRight w:val="0"/>
          <w:marTop w:val="0"/>
          <w:marBottom w:val="0"/>
          <w:divBdr>
            <w:top w:val="none" w:sz="0" w:space="0" w:color="auto"/>
            <w:left w:val="none" w:sz="0" w:space="0" w:color="auto"/>
            <w:bottom w:val="none" w:sz="0" w:space="0" w:color="auto"/>
            <w:right w:val="none" w:sz="0" w:space="0" w:color="auto"/>
          </w:divBdr>
          <w:divsChild>
            <w:div w:id="710807561">
              <w:marLeft w:val="0"/>
              <w:marRight w:val="0"/>
              <w:marTop w:val="0"/>
              <w:marBottom w:val="0"/>
              <w:divBdr>
                <w:top w:val="none" w:sz="0" w:space="0" w:color="auto"/>
                <w:left w:val="none" w:sz="0" w:space="0" w:color="auto"/>
                <w:bottom w:val="none" w:sz="0" w:space="0" w:color="auto"/>
                <w:right w:val="none" w:sz="0" w:space="0" w:color="auto"/>
              </w:divBdr>
            </w:div>
          </w:divsChild>
        </w:div>
        <w:div w:id="731850512">
          <w:marLeft w:val="0"/>
          <w:marRight w:val="0"/>
          <w:marTop w:val="0"/>
          <w:marBottom w:val="0"/>
          <w:divBdr>
            <w:top w:val="none" w:sz="0" w:space="0" w:color="auto"/>
            <w:left w:val="none" w:sz="0" w:space="0" w:color="auto"/>
            <w:bottom w:val="none" w:sz="0" w:space="0" w:color="auto"/>
            <w:right w:val="none" w:sz="0" w:space="0" w:color="auto"/>
          </w:divBdr>
          <w:divsChild>
            <w:div w:id="1723213517">
              <w:marLeft w:val="0"/>
              <w:marRight w:val="0"/>
              <w:marTop w:val="0"/>
              <w:marBottom w:val="0"/>
              <w:divBdr>
                <w:top w:val="none" w:sz="0" w:space="0" w:color="auto"/>
                <w:left w:val="none" w:sz="0" w:space="0" w:color="auto"/>
                <w:bottom w:val="none" w:sz="0" w:space="0" w:color="auto"/>
                <w:right w:val="none" w:sz="0" w:space="0" w:color="auto"/>
              </w:divBdr>
            </w:div>
          </w:divsChild>
        </w:div>
        <w:div w:id="736131752">
          <w:marLeft w:val="0"/>
          <w:marRight w:val="0"/>
          <w:marTop w:val="0"/>
          <w:marBottom w:val="0"/>
          <w:divBdr>
            <w:top w:val="none" w:sz="0" w:space="0" w:color="auto"/>
            <w:left w:val="none" w:sz="0" w:space="0" w:color="auto"/>
            <w:bottom w:val="none" w:sz="0" w:space="0" w:color="auto"/>
            <w:right w:val="none" w:sz="0" w:space="0" w:color="auto"/>
          </w:divBdr>
          <w:divsChild>
            <w:div w:id="470054237">
              <w:marLeft w:val="0"/>
              <w:marRight w:val="0"/>
              <w:marTop w:val="0"/>
              <w:marBottom w:val="0"/>
              <w:divBdr>
                <w:top w:val="none" w:sz="0" w:space="0" w:color="auto"/>
                <w:left w:val="none" w:sz="0" w:space="0" w:color="auto"/>
                <w:bottom w:val="none" w:sz="0" w:space="0" w:color="auto"/>
                <w:right w:val="none" w:sz="0" w:space="0" w:color="auto"/>
              </w:divBdr>
            </w:div>
          </w:divsChild>
        </w:div>
        <w:div w:id="742411658">
          <w:marLeft w:val="0"/>
          <w:marRight w:val="0"/>
          <w:marTop w:val="0"/>
          <w:marBottom w:val="0"/>
          <w:divBdr>
            <w:top w:val="none" w:sz="0" w:space="0" w:color="auto"/>
            <w:left w:val="none" w:sz="0" w:space="0" w:color="auto"/>
            <w:bottom w:val="none" w:sz="0" w:space="0" w:color="auto"/>
            <w:right w:val="none" w:sz="0" w:space="0" w:color="auto"/>
          </w:divBdr>
          <w:divsChild>
            <w:div w:id="329873010">
              <w:marLeft w:val="0"/>
              <w:marRight w:val="0"/>
              <w:marTop w:val="0"/>
              <w:marBottom w:val="0"/>
              <w:divBdr>
                <w:top w:val="none" w:sz="0" w:space="0" w:color="auto"/>
                <w:left w:val="none" w:sz="0" w:space="0" w:color="auto"/>
                <w:bottom w:val="none" w:sz="0" w:space="0" w:color="auto"/>
                <w:right w:val="none" w:sz="0" w:space="0" w:color="auto"/>
              </w:divBdr>
            </w:div>
          </w:divsChild>
        </w:div>
        <w:div w:id="744760649">
          <w:marLeft w:val="0"/>
          <w:marRight w:val="0"/>
          <w:marTop w:val="0"/>
          <w:marBottom w:val="0"/>
          <w:divBdr>
            <w:top w:val="none" w:sz="0" w:space="0" w:color="auto"/>
            <w:left w:val="none" w:sz="0" w:space="0" w:color="auto"/>
            <w:bottom w:val="none" w:sz="0" w:space="0" w:color="auto"/>
            <w:right w:val="none" w:sz="0" w:space="0" w:color="auto"/>
          </w:divBdr>
          <w:divsChild>
            <w:div w:id="1634402909">
              <w:marLeft w:val="0"/>
              <w:marRight w:val="0"/>
              <w:marTop w:val="0"/>
              <w:marBottom w:val="0"/>
              <w:divBdr>
                <w:top w:val="none" w:sz="0" w:space="0" w:color="auto"/>
                <w:left w:val="none" w:sz="0" w:space="0" w:color="auto"/>
                <w:bottom w:val="none" w:sz="0" w:space="0" w:color="auto"/>
                <w:right w:val="none" w:sz="0" w:space="0" w:color="auto"/>
              </w:divBdr>
            </w:div>
          </w:divsChild>
        </w:div>
        <w:div w:id="754669262">
          <w:marLeft w:val="0"/>
          <w:marRight w:val="0"/>
          <w:marTop w:val="0"/>
          <w:marBottom w:val="0"/>
          <w:divBdr>
            <w:top w:val="none" w:sz="0" w:space="0" w:color="auto"/>
            <w:left w:val="none" w:sz="0" w:space="0" w:color="auto"/>
            <w:bottom w:val="none" w:sz="0" w:space="0" w:color="auto"/>
            <w:right w:val="none" w:sz="0" w:space="0" w:color="auto"/>
          </w:divBdr>
          <w:divsChild>
            <w:div w:id="796294597">
              <w:marLeft w:val="0"/>
              <w:marRight w:val="0"/>
              <w:marTop w:val="0"/>
              <w:marBottom w:val="0"/>
              <w:divBdr>
                <w:top w:val="none" w:sz="0" w:space="0" w:color="auto"/>
                <w:left w:val="none" w:sz="0" w:space="0" w:color="auto"/>
                <w:bottom w:val="none" w:sz="0" w:space="0" w:color="auto"/>
                <w:right w:val="none" w:sz="0" w:space="0" w:color="auto"/>
              </w:divBdr>
            </w:div>
          </w:divsChild>
        </w:div>
        <w:div w:id="756438452">
          <w:marLeft w:val="0"/>
          <w:marRight w:val="0"/>
          <w:marTop w:val="0"/>
          <w:marBottom w:val="0"/>
          <w:divBdr>
            <w:top w:val="none" w:sz="0" w:space="0" w:color="auto"/>
            <w:left w:val="none" w:sz="0" w:space="0" w:color="auto"/>
            <w:bottom w:val="none" w:sz="0" w:space="0" w:color="auto"/>
            <w:right w:val="none" w:sz="0" w:space="0" w:color="auto"/>
          </w:divBdr>
          <w:divsChild>
            <w:div w:id="1833373715">
              <w:marLeft w:val="0"/>
              <w:marRight w:val="0"/>
              <w:marTop w:val="0"/>
              <w:marBottom w:val="0"/>
              <w:divBdr>
                <w:top w:val="none" w:sz="0" w:space="0" w:color="auto"/>
                <w:left w:val="none" w:sz="0" w:space="0" w:color="auto"/>
                <w:bottom w:val="none" w:sz="0" w:space="0" w:color="auto"/>
                <w:right w:val="none" w:sz="0" w:space="0" w:color="auto"/>
              </w:divBdr>
            </w:div>
          </w:divsChild>
        </w:div>
        <w:div w:id="759957317">
          <w:marLeft w:val="0"/>
          <w:marRight w:val="0"/>
          <w:marTop w:val="0"/>
          <w:marBottom w:val="0"/>
          <w:divBdr>
            <w:top w:val="none" w:sz="0" w:space="0" w:color="auto"/>
            <w:left w:val="none" w:sz="0" w:space="0" w:color="auto"/>
            <w:bottom w:val="none" w:sz="0" w:space="0" w:color="auto"/>
            <w:right w:val="none" w:sz="0" w:space="0" w:color="auto"/>
          </w:divBdr>
          <w:divsChild>
            <w:div w:id="1530991875">
              <w:marLeft w:val="0"/>
              <w:marRight w:val="0"/>
              <w:marTop w:val="0"/>
              <w:marBottom w:val="0"/>
              <w:divBdr>
                <w:top w:val="none" w:sz="0" w:space="0" w:color="auto"/>
                <w:left w:val="none" w:sz="0" w:space="0" w:color="auto"/>
                <w:bottom w:val="none" w:sz="0" w:space="0" w:color="auto"/>
                <w:right w:val="none" w:sz="0" w:space="0" w:color="auto"/>
              </w:divBdr>
            </w:div>
          </w:divsChild>
        </w:div>
        <w:div w:id="765425186">
          <w:marLeft w:val="0"/>
          <w:marRight w:val="0"/>
          <w:marTop w:val="0"/>
          <w:marBottom w:val="0"/>
          <w:divBdr>
            <w:top w:val="none" w:sz="0" w:space="0" w:color="auto"/>
            <w:left w:val="none" w:sz="0" w:space="0" w:color="auto"/>
            <w:bottom w:val="none" w:sz="0" w:space="0" w:color="auto"/>
            <w:right w:val="none" w:sz="0" w:space="0" w:color="auto"/>
          </w:divBdr>
          <w:divsChild>
            <w:div w:id="893661258">
              <w:marLeft w:val="0"/>
              <w:marRight w:val="0"/>
              <w:marTop w:val="0"/>
              <w:marBottom w:val="0"/>
              <w:divBdr>
                <w:top w:val="none" w:sz="0" w:space="0" w:color="auto"/>
                <w:left w:val="none" w:sz="0" w:space="0" w:color="auto"/>
                <w:bottom w:val="none" w:sz="0" w:space="0" w:color="auto"/>
                <w:right w:val="none" w:sz="0" w:space="0" w:color="auto"/>
              </w:divBdr>
            </w:div>
          </w:divsChild>
        </w:div>
        <w:div w:id="781533043">
          <w:marLeft w:val="0"/>
          <w:marRight w:val="0"/>
          <w:marTop w:val="0"/>
          <w:marBottom w:val="0"/>
          <w:divBdr>
            <w:top w:val="none" w:sz="0" w:space="0" w:color="auto"/>
            <w:left w:val="none" w:sz="0" w:space="0" w:color="auto"/>
            <w:bottom w:val="none" w:sz="0" w:space="0" w:color="auto"/>
            <w:right w:val="none" w:sz="0" w:space="0" w:color="auto"/>
          </w:divBdr>
          <w:divsChild>
            <w:div w:id="1863936439">
              <w:marLeft w:val="0"/>
              <w:marRight w:val="0"/>
              <w:marTop w:val="0"/>
              <w:marBottom w:val="0"/>
              <w:divBdr>
                <w:top w:val="none" w:sz="0" w:space="0" w:color="auto"/>
                <w:left w:val="none" w:sz="0" w:space="0" w:color="auto"/>
                <w:bottom w:val="none" w:sz="0" w:space="0" w:color="auto"/>
                <w:right w:val="none" w:sz="0" w:space="0" w:color="auto"/>
              </w:divBdr>
            </w:div>
          </w:divsChild>
        </w:div>
        <w:div w:id="801112946">
          <w:marLeft w:val="0"/>
          <w:marRight w:val="0"/>
          <w:marTop w:val="0"/>
          <w:marBottom w:val="0"/>
          <w:divBdr>
            <w:top w:val="none" w:sz="0" w:space="0" w:color="auto"/>
            <w:left w:val="none" w:sz="0" w:space="0" w:color="auto"/>
            <w:bottom w:val="none" w:sz="0" w:space="0" w:color="auto"/>
            <w:right w:val="none" w:sz="0" w:space="0" w:color="auto"/>
          </w:divBdr>
          <w:divsChild>
            <w:div w:id="1856992832">
              <w:marLeft w:val="0"/>
              <w:marRight w:val="0"/>
              <w:marTop w:val="0"/>
              <w:marBottom w:val="0"/>
              <w:divBdr>
                <w:top w:val="none" w:sz="0" w:space="0" w:color="auto"/>
                <w:left w:val="none" w:sz="0" w:space="0" w:color="auto"/>
                <w:bottom w:val="none" w:sz="0" w:space="0" w:color="auto"/>
                <w:right w:val="none" w:sz="0" w:space="0" w:color="auto"/>
              </w:divBdr>
            </w:div>
          </w:divsChild>
        </w:div>
        <w:div w:id="803695119">
          <w:marLeft w:val="0"/>
          <w:marRight w:val="0"/>
          <w:marTop w:val="0"/>
          <w:marBottom w:val="0"/>
          <w:divBdr>
            <w:top w:val="none" w:sz="0" w:space="0" w:color="auto"/>
            <w:left w:val="none" w:sz="0" w:space="0" w:color="auto"/>
            <w:bottom w:val="none" w:sz="0" w:space="0" w:color="auto"/>
            <w:right w:val="none" w:sz="0" w:space="0" w:color="auto"/>
          </w:divBdr>
          <w:divsChild>
            <w:div w:id="716706418">
              <w:marLeft w:val="0"/>
              <w:marRight w:val="0"/>
              <w:marTop w:val="0"/>
              <w:marBottom w:val="0"/>
              <w:divBdr>
                <w:top w:val="none" w:sz="0" w:space="0" w:color="auto"/>
                <w:left w:val="none" w:sz="0" w:space="0" w:color="auto"/>
                <w:bottom w:val="none" w:sz="0" w:space="0" w:color="auto"/>
                <w:right w:val="none" w:sz="0" w:space="0" w:color="auto"/>
              </w:divBdr>
            </w:div>
          </w:divsChild>
        </w:div>
        <w:div w:id="856037515">
          <w:marLeft w:val="0"/>
          <w:marRight w:val="0"/>
          <w:marTop w:val="0"/>
          <w:marBottom w:val="0"/>
          <w:divBdr>
            <w:top w:val="none" w:sz="0" w:space="0" w:color="auto"/>
            <w:left w:val="none" w:sz="0" w:space="0" w:color="auto"/>
            <w:bottom w:val="none" w:sz="0" w:space="0" w:color="auto"/>
            <w:right w:val="none" w:sz="0" w:space="0" w:color="auto"/>
          </w:divBdr>
          <w:divsChild>
            <w:div w:id="82607538">
              <w:marLeft w:val="0"/>
              <w:marRight w:val="0"/>
              <w:marTop w:val="0"/>
              <w:marBottom w:val="0"/>
              <w:divBdr>
                <w:top w:val="none" w:sz="0" w:space="0" w:color="auto"/>
                <w:left w:val="none" w:sz="0" w:space="0" w:color="auto"/>
                <w:bottom w:val="none" w:sz="0" w:space="0" w:color="auto"/>
                <w:right w:val="none" w:sz="0" w:space="0" w:color="auto"/>
              </w:divBdr>
            </w:div>
          </w:divsChild>
        </w:div>
        <w:div w:id="875892379">
          <w:marLeft w:val="0"/>
          <w:marRight w:val="0"/>
          <w:marTop w:val="0"/>
          <w:marBottom w:val="0"/>
          <w:divBdr>
            <w:top w:val="none" w:sz="0" w:space="0" w:color="auto"/>
            <w:left w:val="none" w:sz="0" w:space="0" w:color="auto"/>
            <w:bottom w:val="none" w:sz="0" w:space="0" w:color="auto"/>
            <w:right w:val="none" w:sz="0" w:space="0" w:color="auto"/>
          </w:divBdr>
          <w:divsChild>
            <w:div w:id="1081609058">
              <w:marLeft w:val="0"/>
              <w:marRight w:val="0"/>
              <w:marTop w:val="0"/>
              <w:marBottom w:val="0"/>
              <w:divBdr>
                <w:top w:val="none" w:sz="0" w:space="0" w:color="auto"/>
                <w:left w:val="none" w:sz="0" w:space="0" w:color="auto"/>
                <w:bottom w:val="none" w:sz="0" w:space="0" w:color="auto"/>
                <w:right w:val="none" w:sz="0" w:space="0" w:color="auto"/>
              </w:divBdr>
            </w:div>
          </w:divsChild>
        </w:div>
        <w:div w:id="877398745">
          <w:marLeft w:val="0"/>
          <w:marRight w:val="0"/>
          <w:marTop w:val="0"/>
          <w:marBottom w:val="0"/>
          <w:divBdr>
            <w:top w:val="none" w:sz="0" w:space="0" w:color="auto"/>
            <w:left w:val="none" w:sz="0" w:space="0" w:color="auto"/>
            <w:bottom w:val="none" w:sz="0" w:space="0" w:color="auto"/>
            <w:right w:val="none" w:sz="0" w:space="0" w:color="auto"/>
          </w:divBdr>
          <w:divsChild>
            <w:div w:id="1918050347">
              <w:marLeft w:val="0"/>
              <w:marRight w:val="0"/>
              <w:marTop w:val="0"/>
              <w:marBottom w:val="0"/>
              <w:divBdr>
                <w:top w:val="none" w:sz="0" w:space="0" w:color="auto"/>
                <w:left w:val="none" w:sz="0" w:space="0" w:color="auto"/>
                <w:bottom w:val="none" w:sz="0" w:space="0" w:color="auto"/>
                <w:right w:val="none" w:sz="0" w:space="0" w:color="auto"/>
              </w:divBdr>
            </w:div>
          </w:divsChild>
        </w:div>
        <w:div w:id="894242861">
          <w:marLeft w:val="0"/>
          <w:marRight w:val="0"/>
          <w:marTop w:val="0"/>
          <w:marBottom w:val="0"/>
          <w:divBdr>
            <w:top w:val="none" w:sz="0" w:space="0" w:color="auto"/>
            <w:left w:val="none" w:sz="0" w:space="0" w:color="auto"/>
            <w:bottom w:val="none" w:sz="0" w:space="0" w:color="auto"/>
            <w:right w:val="none" w:sz="0" w:space="0" w:color="auto"/>
          </w:divBdr>
          <w:divsChild>
            <w:div w:id="965891703">
              <w:marLeft w:val="0"/>
              <w:marRight w:val="0"/>
              <w:marTop w:val="0"/>
              <w:marBottom w:val="0"/>
              <w:divBdr>
                <w:top w:val="none" w:sz="0" w:space="0" w:color="auto"/>
                <w:left w:val="none" w:sz="0" w:space="0" w:color="auto"/>
                <w:bottom w:val="none" w:sz="0" w:space="0" w:color="auto"/>
                <w:right w:val="none" w:sz="0" w:space="0" w:color="auto"/>
              </w:divBdr>
            </w:div>
          </w:divsChild>
        </w:div>
        <w:div w:id="895703599">
          <w:marLeft w:val="0"/>
          <w:marRight w:val="0"/>
          <w:marTop w:val="0"/>
          <w:marBottom w:val="0"/>
          <w:divBdr>
            <w:top w:val="none" w:sz="0" w:space="0" w:color="auto"/>
            <w:left w:val="none" w:sz="0" w:space="0" w:color="auto"/>
            <w:bottom w:val="none" w:sz="0" w:space="0" w:color="auto"/>
            <w:right w:val="none" w:sz="0" w:space="0" w:color="auto"/>
          </w:divBdr>
          <w:divsChild>
            <w:div w:id="565997630">
              <w:marLeft w:val="0"/>
              <w:marRight w:val="0"/>
              <w:marTop w:val="0"/>
              <w:marBottom w:val="0"/>
              <w:divBdr>
                <w:top w:val="none" w:sz="0" w:space="0" w:color="auto"/>
                <w:left w:val="none" w:sz="0" w:space="0" w:color="auto"/>
                <w:bottom w:val="none" w:sz="0" w:space="0" w:color="auto"/>
                <w:right w:val="none" w:sz="0" w:space="0" w:color="auto"/>
              </w:divBdr>
            </w:div>
          </w:divsChild>
        </w:div>
        <w:div w:id="916400139">
          <w:marLeft w:val="0"/>
          <w:marRight w:val="0"/>
          <w:marTop w:val="0"/>
          <w:marBottom w:val="0"/>
          <w:divBdr>
            <w:top w:val="none" w:sz="0" w:space="0" w:color="auto"/>
            <w:left w:val="none" w:sz="0" w:space="0" w:color="auto"/>
            <w:bottom w:val="none" w:sz="0" w:space="0" w:color="auto"/>
            <w:right w:val="none" w:sz="0" w:space="0" w:color="auto"/>
          </w:divBdr>
          <w:divsChild>
            <w:div w:id="2095396929">
              <w:marLeft w:val="0"/>
              <w:marRight w:val="0"/>
              <w:marTop w:val="0"/>
              <w:marBottom w:val="0"/>
              <w:divBdr>
                <w:top w:val="none" w:sz="0" w:space="0" w:color="auto"/>
                <w:left w:val="none" w:sz="0" w:space="0" w:color="auto"/>
                <w:bottom w:val="none" w:sz="0" w:space="0" w:color="auto"/>
                <w:right w:val="none" w:sz="0" w:space="0" w:color="auto"/>
              </w:divBdr>
            </w:div>
          </w:divsChild>
        </w:div>
        <w:div w:id="919412102">
          <w:marLeft w:val="0"/>
          <w:marRight w:val="0"/>
          <w:marTop w:val="0"/>
          <w:marBottom w:val="0"/>
          <w:divBdr>
            <w:top w:val="none" w:sz="0" w:space="0" w:color="auto"/>
            <w:left w:val="none" w:sz="0" w:space="0" w:color="auto"/>
            <w:bottom w:val="none" w:sz="0" w:space="0" w:color="auto"/>
            <w:right w:val="none" w:sz="0" w:space="0" w:color="auto"/>
          </w:divBdr>
          <w:divsChild>
            <w:div w:id="257494605">
              <w:marLeft w:val="0"/>
              <w:marRight w:val="0"/>
              <w:marTop w:val="0"/>
              <w:marBottom w:val="0"/>
              <w:divBdr>
                <w:top w:val="none" w:sz="0" w:space="0" w:color="auto"/>
                <w:left w:val="none" w:sz="0" w:space="0" w:color="auto"/>
                <w:bottom w:val="none" w:sz="0" w:space="0" w:color="auto"/>
                <w:right w:val="none" w:sz="0" w:space="0" w:color="auto"/>
              </w:divBdr>
            </w:div>
          </w:divsChild>
        </w:div>
        <w:div w:id="923031587">
          <w:marLeft w:val="0"/>
          <w:marRight w:val="0"/>
          <w:marTop w:val="0"/>
          <w:marBottom w:val="0"/>
          <w:divBdr>
            <w:top w:val="none" w:sz="0" w:space="0" w:color="auto"/>
            <w:left w:val="none" w:sz="0" w:space="0" w:color="auto"/>
            <w:bottom w:val="none" w:sz="0" w:space="0" w:color="auto"/>
            <w:right w:val="none" w:sz="0" w:space="0" w:color="auto"/>
          </w:divBdr>
          <w:divsChild>
            <w:div w:id="1527909291">
              <w:marLeft w:val="0"/>
              <w:marRight w:val="0"/>
              <w:marTop w:val="0"/>
              <w:marBottom w:val="0"/>
              <w:divBdr>
                <w:top w:val="none" w:sz="0" w:space="0" w:color="auto"/>
                <w:left w:val="none" w:sz="0" w:space="0" w:color="auto"/>
                <w:bottom w:val="none" w:sz="0" w:space="0" w:color="auto"/>
                <w:right w:val="none" w:sz="0" w:space="0" w:color="auto"/>
              </w:divBdr>
            </w:div>
          </w:divsChild>
        </w:div>
        <w:div w:id="927348622">
          <w:marLeft w:val="0"/>
          <w:marRight w:val="0"/>
          <w:marTop w:val="0"/>
          <w:marBottom w:val="0"/>
          <w:divBdr>
            <w:top w:val="none" w:sz="0" w:space="0" w:color="auto"/>
            <w:left w:val="none" w:sz="0" w:space="0" w:color="auto"/>
            <w:bottom w:val="none" w:sz="0" w:space="0" w:color="auto"/>
            <w:right w:val="none" w:sz="0" w:space="0" w:color="auto"/>
          </w:divBdr>
          <w:divsChild>
            <w:div w:id="1282958941">
              <w:marLeft w:val="0"/>
              <w:marRight w:val="0"/>
              <w:marTop w:val="0"/>
              <w:marBottom w:val="0"/>
              <w:divBdr>
                <w:top w:val="none" w:sz="0" w:space="0" w:color="auto"/>
                <w:left w:val="none" w:sz="0" w:space="0" w:color="auto"/>
                <w:bottom w:val="none" w:sz="0" w:space="0" w:color="auto"/>
                <w:right w:val="none" w:sz="0" w:space="0" w:color="auto"/>
              </w:divBdr>
            </w:div>
          </w:divsChild>
        </w:div>
        <w:div w:id="929385691">
          <w:marLeft w:val="0"/>
          <w:marRight w:val="0"/>
          <w:marTop w:val="0"/>
          <w:marBottom w:val="0"/>
          <w:divBdr>
            <w:top w:val="none" w:sz="0" w:space="0" w:color="auto"/>
            <w:left w:val="none" w:sz="0" w:space="0" w:color="auto"/>
            <w:bottom w:val="none" w:sz="0" w:space="0" w:color="auto"/>
            <w:right w:val="none" w:sz="0" w:space="0" w:color="auto"/>
          </w:divBdr>
          <w:divsChild>
            <w:div w:id="345400735">
              <w:marLeft w:val="0"/>
              <w:marRight w:val="0"/>
              <w:marTop w:val="0"/>
              <w:marBottom w:val="0"/>
              <w:divBdr>
                <w:top w:val="none" w:sz="0" w:space="0" w:color="auto"/>
                <w:left w:val="none" w:sz="0" w:space="0" w:color="auto"/>
                <w:bottom w:val="none" w:sz="0" w:space="0" w:color="auto"/>
                <w:right w:val="none" w:sz="0" w:space="0" w:color="auto"/>
              </w:divBdr>
            </w:div>
          </w:divsChild>
        </w:div>
        <w:div w:id="936643253">
          <w:marLeft w:val="0"/>
          <w:marRight w:val="0"/>
          <w:marTop w:val="0"/>
          <w:marBottom w:val="0"/>
          <w:divBdr>
            <w:top w:val="none" w:sz="0" w:space="0" w:color="auto"/>
            <w:left w:val="none" w:sz="0" w:space="0" w:color="auto"/>
            <w:bottom w:val="none" w:sz="0" w:space="0" w:color="auto"/>
            <w:right w:val="none" w:sz="0" w:space="0" w:color="auto"/>
          </w:divBdr>
          <w:divsChild>
            <w:div w:id="1209222053">
              <w:marLeft w:val="0"/>
              <w:marRight w:val="0"/>
              <w:marTop w:val="0"/>
              <w:marBottom w:val="0"/>
              <w:divBdr>
                <w:top w:val="none" w:sz="0" w:space="0" w:color="auto"/>
                <w:left w:val="none" w:sz="0" w:space="0" w:color="auto"/>
                <w:bottom w:val="none" w:sz="0" w:space="0" w:color="auto"/>
                <w:right w:val="none" w:sz="0" w:space="0" w:color="auto"/>
              </w:divBdr>
            </w:div>
          </w:divsChild>
        </w:div>
        <w:div w:id="961113569">
          <w:marLeft w:val="0"/>
          <w:marRight w:val="0"/>
          <w:marTop w:val="0"/>
          <w:marBottom w:val="0"/>
          <w:divBdr>
            <w:top w:val="none" w:sz="0" w:space="0" w:color="auto"/>
            <w:left w:val="none" w:sz="0" w:space="0" w:color="auto"/>
            <w:bottom w:val="none" w:sz="0" w:space="0" w:color="auto"/>
            <w:right w:val="none" w:sz="0" w:space="0" w:color="auto"/>
          </w:divBdr>
          <w:divsChild>
            <w:div w:id="1995407003">
              <w:marLeft w:val="0"/>
              <w:marRight w:val="0"/>
              <w:marTop w:val="0"/>
              <w:marBottom w:val="0"/>
              <w:divBdr>
                <w:top w:val="none" w:sz="0" w:space="0" w:color="auto"/>
                <w:left w:val="none" w:sz="0" w:space="0" w:color="auto"/>
                <w:bottom w:val="none" w:sz="0" w:space="0" w:color="auto"/>
                <w:right w:val="none" w:sz="0" w:space="0" w:color="auto"/>
              </w:divBdr>
            </w:div>
          </w:divsChild>
        </w:div>
        <w:div w:id="963079808">
          <w:marLeft w:val="0"/>
          <w:marRight w:val="0"/>
          <w:marTop w:val="0"/>
          <w:marBottom w:val="0"/>
          <w:divBdr>
            <w:top w:val="none" w:sz="0" w:space="0" w:color="auto"/>
            <w:left w:val="none" w:sz="0" w:space="0" w:color="auto"/>
            <w:bottom w:val="none" w:sz="0" w:space="0" w:color="auto"/>
            <w:right w:val="none" w:sz="0" w:space="0" w:color="auto"/>
          </w:divBdr>
          <w:divsChild>
            <w:div w:id="56442979">
              <w:marLeft w:val="0"/>
              <w:marRight w:val="0"/>
              <w:marTop w:val="0"/>
              <w:marBottom w:val="0"/>
              <w:divBdr>
                <w:top w:val="none" w:sz="0" w:space="0" w:color="auto"/>
                <w:left w:val="none" w:sz="0" w:space="0" w:color="auto"/>
                <w:bottom w:val="none" w:sz="0" w:space="0" w:color="auto"/>
                <w:right w:val="none" w:sz="0" w:space="0" w:color="auto"/>
              </w:divBdr>
            </w:div>
          </w:divsChild>
        </w:div>
        <w:div w:id="965741926">
          <w:marLeft w:val="0"/>
          <w:marRight w:val="0"/>
          <w:marTop w:val="0"/>
          <w:marBottom w:val="0"/>
          <w:divBdr>
            <w:top w:val="none" w:sz="0" w:space="0" w:color="auto"/>
            <w:left w:val="none" w:sz="0" w:space="0" w:color="auto"/>
            <w:bottom w:val="none" w:sz="0" w:space="0" w:color="auto"/>
            <w:right w:val="none" w:sz="0" w:space="0" w:color="auto"/>
          </w:divBdr>
          <w:divsChild>
            <w:div w:id="284625395">
              <w:marLeft w:val="0"/>
              <w:marRight w:val="0"/>
              <w:marTop w:val="0"/>
              <w:marBottom w:val="0"/>
              <w:divBdr>
                <w:top w:val="none" w:sz="0" w:space="0" w:color="auto"/>
                <w:left w:val="none" w:sz="0" w:space="0" w:color="auto"/>
                <w:bottom w:val="none" w:sz="0" w:space="0" w:color="auto"/>
                <w:right w:val="none" w:sz="0" w:space="0" w:color="auto"/>
              </w:divBdr>
            </w:div>
          </w:divsChild>
        </w:div>
        <w:div w:id="971519609">
          <w:marLeft w:val="0"/>
          <w:marRight w:val="0"/>
          <w:marTop w:val="0"/>
          <w:marBottom w:val="0"/>
          <w:divBdr>
            <w:top w:val="none" w:sz="0" w:space="0" w:color="auto"/>
            <w:left w:val="none" w:sz="0" w:space="0" w:color="auto"/>
            <w:bottom w:val="none" w:sz="0" w:space="0" w:color="auto"/>
            <w:right w:val="none" w:sz="0" w:space="0" w:color="auto"/>
          </w:divBdr>
          <w:divsChild>
            <w:div w:id="488138414">
              <w:marLeft w:val="0"/>
              <w:marRight w:val="0"/>
              <w:marTop w:val="0"/>
              <w:marBottom w:val="0"/>
              <w:divBdr>
                <w:top w:val="none" w:sz="0" w:space="0" w:color="auto"/>
                <w:left w:val="none" w:sz="0" w:space="0" w:color="auto"/>
                <w:bottom w:val="none" w:sz="0" w:space="0" w:color="auto"/>
                <w:right w:val="none" w:sz="0" w:space="0" w:color="auto"/>
              </w:divBdr>
            </w:div>
          </w:divsChild>
        </w:div>
        <w:div w:id="974917925">
          <w:marLeft w:val="0"/>
          <w:marRight w:val="0"/>
          <w:marTop w:val="0"/>
          <w:marBottom w:val="0"/>
          <w:divBdr>
            <w:top w:val="none" w:sz="0" w:space="0" w:color="auto"/>
            <w:left w:val="none" w:sz="0" w:space="0" w:color="auto"/>
            <w:bottom w:val="none" w:sz="0" w:space="0" w:color="auto"/>
            <w:right w:val="none" w:sz="0" w:space="0" w:color="auto"/>
          </w:divBdr>
          <w:divsChild>
            <w:div w:id="616179990">
              <w:marLeft w:val="0"/>
              <w:marRight w:val="0"/>
              <w:marTop w:val="0"/>
              <w:marBottom w:val="0"/>
              <w:divBdr>
                <w:top w:val="none" w:sz="0" w:space="0" w:color="auto"/>
                <w:left w:val="none" w:sz="0" w:space="0" w:color="auto"/>
                <w:bottom w:val="none" w:sz="0" w:space="0" w:color="auto"/>
                <w:right w:val="none" w:sz="0" w:space="0" w:color="auto"/>
              </w:divBdr>
            </w:div>
          </w:divsChild>
        </w:div>
        <w:div w:id="976883242">
          <w:marLeft w:val="0"/>
          <w:marRight w:val="0"/>
          <w:marTop w:val="0"/>
          <w:marBottom w:val="0"/>
          <w:divBdr>
            <w:top w:val="none" w:sz="0" w:space="0" w:color="auto"/>
            <w:left w:val="none" w:sz="0" w:space="0" w:color="auto"/>
            <w:bottom w:val="none" w:sz="0" w:space="0" w:color="auto"/>
            <w:right w:val="none" w:sz="0" w:space="0" w:color="auto"/>
          </w:divBdr>
          <w:divsChild>
            <w:div w:id="554894324">
              <w:marLeft w:val="0"/>
              <w:marRight w:val="0"/>
              <w:marTop w:val="0"/>
              <w:marBottom w:val="0"/>
              <w:divBdr>
                <w:top w:val="none" w:sz="0" w:space="0" w:color="auto"/>
                <w:left w:val="none" w:sz="0" w:space="0" w:color="auto"/>
                <w:bottom w:val="none" w:sz="0" w:space="0" w:color="auto"/>
                <w:right w:val="none" w:sz="0" w:space="0" w:color="auto"/>
              </w:divBdr>
            </w:div>
          </w:divsChild>
        </w:div>
        <w:div w:id="997003071">
          <w:marLeft w:val="0"/>
          <w:marRight w:val="0"/>
          <w:marTop w:val="0"/>
          <w:marBottom w:val="0"/>
          <w:divBdr>
            <w:top w:val="none" w:sz="0" w:space="0" w:color="auto"/>
            <w:left w:val="none" w:sz="0" w:space="0" w:color="auto"/>
            <w:bottom w:val="none" w:sz="0" w:space="0" w:color="auto"/>
            <w:right w:val="none" w:sz="0" w:space="0" w:color="auto"/>
          </w:divBdr>
          <w:divsChild>
            <w:div w:id="571736666">
              <w:marLeft w:val="0"/>
              <w:marRight w:val="0"/>
              <w:marTop w:val="0"/>
              <w:marBottom w:val="0"/>
              <w:divBdr>
                <w:top w:val="none" w:sz="0" w:space="0" w:color="auto"/>
                <w:left w:val="none" w:sz="0" w:space="0" w:color="auto"/>
                <w:bottom w:val="none" w:sz="0" w:space="0" w:color="auto"/>
                <w:right w:val="none" w:sz="0" w:space="0" w:color="auto"/>
              </w:divBdr>
            </w:div>
            <w:div w:id="741215791">
              <w:marLeft w:val="0"/>
              <w:marRight w:val="0"/>
              <w:marTop w:val="0"/>
              <w:marBottom w:val="0"/>
              <w:divBdr>
                <w:top w:val="none" w:sz="0" w:space="0" w:color="auto"/>
                <w:left w:val="none" w:sz="0" w:space="0" w:color="auto"/>
                <w:bottom w:val="none" w:sz="0" w:space="0" w:color="auto"/>
                <w:right w:val="none" w:sz="0" w:space="0" w:color="auto"/>
              </w:divBdr>
            </w:div>
          </w:divsChild>
        </w:div>
        <w:div w:id="998384892">
          <w:marLeft w:val="0"/>
          <w:marRight w:val="0"/>
          <w:marTop w:val="0"/>
          <w:marBottom w:val="0"/>
          <w:divBdr>
            <w:top w:val="none" w:sz="0" w:space="0" w:color="auto"/>
            <w:left w:val="none" w:sz="0" w:space="0" w:color="auto"/>
            <w:bottom w:val="none" w:sz="0" w:space="0" w:color="auto"/>
            <w:right w:val="none" w:sz="0" w:space="0" w:color="auto"/>
          </w:divBdr>
          <w:divsChild>
            <w:div w:id="133764519">
              <w:marLeft w:val="0"/>
              <w:marRight w:val="0"/>
              <w:marTop w:val="0"/>
              <w:marBottom w:val="0"/>
              <w:divBdr>
                <w:top w:val="none" w:sz="0" w:space="0" w:color="auto"/>
                <w:left w:val="none" w:sz="0" w:space="0" w:color="auto"/>
                <w:bottom w:val="none" w:sz="0" w:space="0" w:color="auto"/>
                <w:right w:val="none" w:sz="0" w:space="0" w:color="auto"/>
              </w:divBdr>
            </w:div>
          </w:divsChild>
        </w:div>
        <w:div w:id="1001396961">
          <w:marLeft w:val="0"/>
          <w:marRight w:val="0"/>
          <w:marTop w:val="0"/>
          <w:marBottom w:val="0"/>
          <w:divBdr>
            <w:top w:val="none" w:sz="0" w:space="0" w:color="auto"/>
            <w:left w:val="none" w:sz="0" w:space="0" w:color="auto"/>
            <w:bottom w:val="none" w:sz="0" w:space="0" w:color="auto"/>
            <w:right w:val="none" w:sz="0" w:space="0" w:color="auto"/>
          </w:divBdr>
          <w:divsChild>
            <w:div w:id="1920403738">
              <w:marLeft w:val="0"/>
              <w:marRight w:val="0"/>
              <w:marTop w:val="0"/>
              <w:marBottom w:val="0"/>
              <w:divBdr>
                <w:top w:val="none" w:sz="0" w:space="0" w:color="auto"/>
                <w:left w:val="none" w:sz="0" w:space="0" w:color="auto"/>
                <w:bottom w:val="none" w:sz="0" w:space="0" w:color="auto"/>
                <w:right w:val="none" w:sz="0" w:space="0" w:color="auto"/>
              </w:divBdr>
            </w:div>
          </w:divsChild>
        </w:div>
        <w:div w:id="1001736392">
          <w:marLeft w:val="0"/>
          <w:marRight w:val="0"/>
          <w:marTop w:val="0"/>
          <w:marBottom w:val="0"/>
          <w:divBdr>
            <w:top w:val="none" w:sz="0" w:space="0" w:color="auto"/>
            <w:left w:val="none" w:sz="0" w:space="0" w:color="auto"/>
            <w:bottom w:val="none" w:sz="0" w:space="0" w:color="auto"/>
            <w:right w:val="none" w:sz="0" w:space="0" w:color="auto"/>
          </w:divBdr>
          <w:divsChild>
            <w:div w:id="247155141">
              <w:marLeft w:val="0"/>
              <w:marRight w:val="0"/>
              <w:marTop w:val="0"/>
              <w:marBottom w:val="0"/>
              <w:divBdr>
                <w:top w:val="none" w:sz="0" w:space="0" w:color="auto"/>
                <w:left w:val="none" w:sz="0" w:space="0" w:color="auto"/>
                <w:bottom w:val="none" w:sz="0" w:space="0" w:color="auto"/>
                <w:right w:val="none" w:sz="0" w:space="0" w:color="auto"/>
              </w:divBdr>
            </w:div>
          </w:divsChild>
        </w:div>
        <w:div w:id="1015882124">
          <w:marLeft w:val="0"/>
          <w:marRight w:val="0"/>
          <w:marTop w:val="0"/>
          <w:marBottom w:val="0"/>
          <w:divBdr>
            <w:top w:val="none" w:sz="0" w:space="0" w:color="auto"/>
            <w:left w:val="none" w:sz="0" w:space="0" w:color="auto"/>
            <w:bottom w:val="none" w:sz="0" w:space="0" w:color="auto"/>
            <w:right w:val="none" w:sz="0" w:space="0" w:color="auto"/>
          </w:divBdr>
          <w:divsChild>
            <w:div w:id="814031479">
              <w:marLeft w:val="0"/>
              <w:marRight w:val="0"/>
              <w:marTop w:val="0"/>
              <w:marBottom w:val="0"/>
              <w:divBdr>
                <w:top w:val="none" w:sz="0" w:space="0" w:color="auto"/>
                <w:left w:val="none" w:sz="0" w:space="0" w:color="auto"/>
                <w:bottom w:val="none" w:sz="0" w:space="0" w:color="auto"/>
                <w:right w:val="none" w:sz="0" w:space="0" w:color="auto"/>
              </w:divBdr>
            </w:div>
          </w:divsChild>
        </w:div>
        <w:div w:id="1020163999">
          <w:marLeft w:val="0"/>
          <w:marRight w:val="0"/>
          <w:marTop w:val="0"/>
          <w:marBottom w:val="0"/>
          <w:divBdr>
            <w:top w:val="none" w:sz="0" w:space="0" w:color="auto"/>
            <w:left w:val="none" w:sz="0" w:space="0" w:color="auto"/>
            <w:bottom w:val="none" w:sz="0" w:space="0" w:color="auto"/>
            <w:right w:val="none" w:sz="0" w:space="0" w:color="auto"/>
          </w:divBdr>
          <w:divsChild>
            <w:div w:id="1574310528">
              <w:marLeft w:val="0"/>
              <w:marRight w:val="0"/>
              <w:marTop w:val="0"/>
              <w:marBottom w:val="0"/>
              <w:divBdr>
                <w:top w:val="none" w:sz="0" w:space="0" w:color="auto"/>
                <w:left w:val="none" w:sz="0" w:space="0" w:color="auto"/>
                <w:bottom w:val="none" w:sz="0" w:space="0" w:color="auto"/>
                <w:right w:val="none" w:sz="0" w:space="0" w:color="auto"/>
              </w:divBdr>
            </w:div>
          </w:divsChild>
        </w:div>
        <w:div w:id="1022590857">
          <w:marLeft w:val="0"/>
          <w:marRight w:val="0"/>
          <w:marTop w:val="0"/>
          <w:marBottom w:val="0"/>
          <w:divBdr>
            <w:top w:val="none" w:sz="0" w:space="0" w:color="auto"/>
            <w:left w:val="none" w:sz="0" w:space="0" w:color="auto"/>
            <w:bottom w:val="none" w:sz="0" w:space="0" w:color="auto"/>
            <w:right w:val="none" w:sz="0" w:space="0" w:color="auto"/>
          </w:divBdr>
          <w:divsChild>
            <w:div w:id="1724403933">
              <w:marLeft w:val="0"/>
              <w:marRight w:val="0"/>
              <w:marTop w:val="0"/>
              <w:marBottom w:val="0"/>
              <w:divBdr>
                <w:top w:val="none" w:sz="0" w:space="0" w:color="auto"/>
                <w:left w:val="none" w:sz="0" w:space="0" w:color="auto"/>
                <w:bottom w:val="none" w:sz="0" w:space="0" w:color="auto"/>
                <w:right w:val="none" w:sz="0" w:space="0" w:color="auto"/>
              </w:divBdr>
            </w:div>
          </w:divsChild>
        </w:div>
        <w:div w:id="1022971337">
          <w:marLeft w:val="0"/>
          <w:marRight w:val="0"/>
          <w:marTop w:val="0"/>
          <w:marBottom w:val="0"/>
          <w:divBdr>
            <w:top w:val="none" w:sz="0" w:space="0" w:color="auto"/>
            <w:left w:val="none" w:sz="0" w:space="0" w:color="auto"/>
            <w:bottom w:val="none" w:sz="0" w:space="0" w:color="auto"/>
            <w:right w:val="none" w:sz="0" w:space="0" w:color="auto"/>
          </w:divBdr>
          <w:divsChild>
            <w:div w:id="1480733768">
              <w:marLeft w:val="0"/>
              <w:marRight w:val="0"/>
              <w:marTop w:val="0"/>
              <w:marBottom w:val="0"/>
              <w:divBdr>
                <w:top w:val="none" w:sz="0" w:space="0" w:color="auto"/>
                <w:left w:val="none" w:sz="0" w:space="0" w:color="auto"/>
                <w:bottom w:val="none" w:sz="0" w:space="0" w:color="auto"/>
                <w:right w:val="none" w:sz="0" w:space="0" w:color="auto"/>
              </w:divBdr>
            </w:div>
          </w:divsChild>
        </w:div>
        <w:div w:id="1030908922">
          <w:marLeft w:val="0"/>
          <w:marRight w:val="0"/>
          <w:marTop w:val="0"/>
          <w:marBottom w:val="0"/>
          <w:divBdr>
            <w:top w:val="none" w:sz="0" w:space="0" w:color="auto"/>
            <w:left w:val="none" w:sz="0" w:space="0" w:color="auto"/>
            <w:bottom w:val="none" w:sz="0" w:space="0" w:color="auto"/>
            <w:right w:val="none" w:sz="0" w:space="0" w:color="auto"/>
          </w:divBdr>
          <w:divsChild>
            <w:div w:id="703486287">
              <w:marLeft w:val="0"/>
              <w:marRight w:val="0"/>
              <w:marTop w:val="0"/>
              <w:marBottom w:val="0"/>
              <w:divBdr>
                <w:top w:val="none" w:sz="0" w:space="0" w:color="auto"/>
                <w:left w:val="none" w:sz="0" w:space="0" w:color="auto"/>
                <w:bottom w:val="none" w:sz="0" w:space="0" w:color="auto"/>
                <w:right w:val="none" w:sz="0" w:space="0" w:color="auto"/>
              </w:divBdr>
            </w:div>
          </w:divsChild>
        </w:div>
        <w:div w:id="1033308455">
          <w:marLeft w:val="0"/>
          <w:marRight w:val="0"/>
          <w:marTop w:val="0"/>
          <w:marBottom w:val="0"/>
          <w:divBdr>
            <w:top w:val="none" w:sz="0" w:space="0" w:color="auto"/>
            <w:left w:val="none" w:sz="0" w:space="0" w:color="auto"/>
            <w:bottom w:val="none" w:sz="0" w:space="0" w:color="auto"/>
            <w:right w:val="none" w:sz="0" w:space="0" w:color="auto"/>
          </w:divBdr>
          <w:divsChild>
            <w:div w:id="244459518">
              <w:marLeft w:val="0"/>
              <w:marRight w:val="0"/>
              <w:marTop w:val="0"/>
              <w:marBottom w:val="0"/>
              <w:divBdr>
                <w:top w:val="none" w:sz="0" w:space="0" w:color="auto"/>
                <w:left w:val="none" w:sz="0" w:space="0" w:color="auto"/>
                <w:bottom w:val="none" w:sz="0" w:space="0" w:color="auto"/>
                <w:right w:val="none" w:sz="0" w:space="0" w:color="auto"/>
              </w:divBdr>
            </w:div>
          </w:divsChild>
        </w:div>
        <w:div w:id="1035352028">
          <w:marLeft w:val="0"/>
          <w:marRight w:val="0"/>
          <w:marTop w:val="0"/>
          <w:marBottom w:val="0"/>
          <w:divBdr>
            <w:top w:val="none" w:sz="0" w:space="0" w:color="auto"/>
            <w:left w:val="none" w:sz="0" w:space="0" w:color="auto"/>
            <w:bottom w:val="none" w:sz="0" w:space="0" w:color="auto"/>
            <w:right w:val="none" w:sz="0" w:space="0" w:color="auto"/>
          </w:divBdr>
          <w:divsChild>
            <w:div w:id="2144302433">
              <w:marLeft w:val="0"/>
              <w:marRight w:val="0"/>
              <w:marTop w:val="0"/>
              <w:marBottom w:val="0"/>
              <w:divBdr>
                <w:top w:val="none" w:sz="0" w:space="0" w:color="auto"/>
                <w:left w:val="none" w:sz="0" w:space="0" w:color="auto"/>
                <w:bottom w:val="none" w:sz="0" w:space="0" w:color="auto"/>
                <w:right w:val="none" w:sz="0" w:space="0" w:color="auto"/>
              </w:divBdr>
            </w:div>
          </w:divsChild>
        </w:div>
        <w:div w:id="1047678023">
          <w:marLeft w:val="0"/>
          <w:marRight w:val="0"/>
          <w:marTop w:val="0"/>
          <w:marBottom w:val="0"/>
          <w:divBdr>
            <w:top w:val="none" w:sz="0" w:space="0" w:color="auto"/>
            <w:left w:val="none" w:sz="0" w:space="0" w:color="auto"/>
            <w:bottom w:val="none" w:sz="0" w:space="0" w:color="auto"/>
            <w:right w:val="none" w:sz="0" w:space="0" w:color="auto"/>
          </w:divBdr>
          <w:divsChild>
            <w:div w:id="126360216">
              <w:marLeft w:val="0"/>
              <w:marRight w:val="0"/>
              <w:marTop w:val="0"/>
              <w:marBottom w:val="0"/>
              <w:divBdr>
                <w:top w:val="none" w:sz="0" w:space="0" w:color="auto"/>
                <w:left w:val="none" w:sz="0" w:space="0" w:color="auto"/>
                <w:bottom w:val="none" w:sz="0" w:space="0" w:color="auto"/>
                <w:right w:val="none" w:sz="0" w:space="0" w:color="auto"/>
              </w:divBdr>
            </w:div>
          </w:divsChild>
        </w:div>
        <w:div w:id="1059741554">
          <w:marLeft w:val="0"/>
          <w:marRight w:val="0"/>
          <w:marTop w:val="0"/>
          <w:marBottom w:val="0"/>
          <w:divBdr>
            <w:top w:val="none" w:sz="0" w:space="0" w:color="auto"/>
            <w:left w:val="none" w:sz="0" w:space="0" w:color="auto"/>
            <w:bottom w:val="none" w:sz="0" w:space="0" w:color="auto"/>
            <w:right w:val="none" w:sz="0" w:space="0" w:color="auto"/>
          </w:divBdr>
          <w:divsChild>
            <w:div w:id="1760634080">
              <w:marLeft w:val="0"/>
              <w:marRight w:val="0"/>
              <w:marTop w:val="0"/>
              <w:marBottom w:val="0"/>
              <w:divBdr>
                <w:top w:val="none" w:sz="0" w:space="0" w:color="auto"/>
                <w:left w:val="none" w:sz="0" w:space="0" w:color="auto"/>
                <w:bottom w:val="none" w:sz="0" w:space="0" w:color="auto"/>
                <w:right w:val="none" w:sz="0" w:space="0" w:color="auto"/>
              </w:divBdr>
            </w:div>
          </w:divsChild>
        </w:div>
        <w:div w:id="1061640017">
          <w:marLeft w:val="0"/>
          <w:marRight w:val="0"/>
          <w:marTop w:val="0"/>
          <w:marBottom w:val="0"/>
          <w:divBdr>
            <w:top w:val="none" w:sz="0" w:space="0" w:color="auto"/>
            <w:left w:val="none" w:sz="0" w:space="0" w:color="auto"/>
            <w:bottom w:val="none" w:sz="0" w:space="0" w:color="auto"/>
            <w:right w:val="none" w:sz="0" w:space="0" w:color="auto"/>
          </w:divBdr>
          <w:divsChild>
            <w:div w:id="1951008223">
              <w:marLeft w:val="0"/>
              <w:marRight w:val="0"/>
              <w:marTop w:val="0"/>
              <w:marBottom w:val="0"/>
              <w:divBdr>
                <w:top w:val="none" w:sz="0" w:space="0" w:color="auto"/>
                <w:left w:val="none" w:sz="0" w:space="0" w:color="auto"/>
                <w:bottom w:val="none" w:sz="0" w:space="0" w:color="auto"/>
                <w:right w:val="none" w:sz="0" w:space="0" w:color="auto"/>
              </w:divBdr>
            </w:div>
          </w:divsChild>
        </w:div>
        <w:div w:id="1066760047">
          <w:marLeft w:val="0"/>
          <w:marRight w:val="0"/>
          <w:marTop w:val="0"/>
          <w:marBottom w:val="0"/>
          <w:divBdr>
            <w:top w:val="none" w:sz="0" w:space="0" w:color="auto"/>
            <w:left w:val="none" w:sz="0" w:space="0" w:color="auto"/>
            <w:bottom w:val="none" w:sz="0" w:space="0" w:color="auto"/>
            <w:right w:val="none" w:sz="0" w:space="0" w:color="auto"/>
          </w:divBdr>
          <w:divsChild>
            <w:div w:id="417673041">
              <w:marLeft w:val="0"/>
              <w:marRight w:val="0"/>
              <w:marTop w:val="0"/>
              <w:marBottom w:val="0"/>
              <w:divBdr>
                <w:top w:val="none" w:sz="0" w:space="0" w:color="auto"/>
                <w:left w:val="none" w:sz="0" w:space="0" w:color="auto"/>
                <w:bottom w:val="none" w:sz="0" w:space="0" w:color="auto"/>
                <w:right w:val="none" w:sz="0" w:space="0" w:color="auto"/>
              </w:divBdr>
            </w:div>
          </w:divsChild>
        </w:div>
        <w:div w:id="1076896240">
          <w:marLeft w:val="0"/>
          <w:marRight w:val="0"/>
          <w:marTop w:val="0"/>
          <w:marBottom w:val="0"/>
          <w:divBdr>
            <w:top w:val="none" w:sz="0" w:space="0" w:color="auto"/>
            <w:left w:val="none" w:sz="0" w:space="0" w:color="auto"/>
            <w:bottom w:val="none" w:sz="0" w:space="0" w:color="auto"/>
            <w:right w:val="none" w:sz="0" w:space="0" w:color="auto"/>
          </w:divBdr>
          <w:divsChild>
            <w:div w:id="215361874">
              <w:marLeft w:val="0"/>
              <w:marRight w:val="0"/>
              <w:marTop w:val="0"/>
              <w:marBottom w:val="0"/>
              <w:divBdr>
                <w:top w:val="none" w:sz="0" w:space="0" w:color="auto"/>
                <w:left w:val="none" w:sz="0" w:space="0" w:color="auto"/>
                <w:bottom w:val="none" w:sz="0" w:space="0" w:color="auto"/>
                <w:right w:val="none" w:sz="0" w:space="0" w:color="auto"/>
              </w:divBdr>
            </w:div>
          </w:divsChild>
        </w:div>
        <w:div w:id="1077946144">
          <w:marLeft w:val="0"/>
          <w:marRight w:val="0"/>
          <w:marTop w:val="0"/>
          <w:marBottom w:val="0"/>
          <w:divBdr>
            <w:top w:val="none" w:sz="0" w:space="0" w:color="auto"/>
            <w:left w:val="none" w:sz="0" w:space="0" w:color="auto"/>
            <w:bottom w:val="none" w:sz="0" w:space="0" w:color="auto"/>
            <w:right w:val="none" w:sz="0" w:space="0" w:color="auto"/>
          </w:divBdr>
          <w:divsChild>
            <w:div w:id="278069603">
              <w:marLeft w:val="0"/>
              <w:marRight w:val="0"/>
              <w:marTop w:val="0"/>
              <w:marBottom w:val="0"/>
              <w:divBdr>
                <w:top w:val="none" w:sz="0" w:space="0" w:color="auto"/>
                <w:left w:val="none" w:sz="0" w:space="0" w:color="auto"/>
                <w:bottom w:val="none" w:sz="0" w:space="0" w:color="auto"/>
                <w:right w:val="none" w:sz="0" w:space="0" w:color="auto"/>
              </w:divBdr>
            </w:div>
          </w:divsChild>
        </w:div>
        <w:div w:id="1085496749">
          <w:marLeft w:val="0"/>
          <w:marRight w:val="0"/>
          <w:marTop w:val="0"/>
          <w:marBottom w:val="0"/>
          <w:divBdr>
            <w:top w:val="none" w:sz="0" w:space="0" w:color="auto"/>
            <w:left w:val="none" w:sz="0" w:space="0" w:color="auto"/>
            <w:bottom w:val="none" w:sz="0" w:space="0" w:color="auto"/>
            <w:right w:val="none" w:sz="0" w:space="0" w:color="auto"/>
          </w:divBdr>
          <w:divsChild>
            <w:div w:id="76027600">
              <w:marLeft w:val="0"/>
              <w:marRight w:val="0"/>
              <w:marTop w:val="0"/>
              <w:marBottom w:val="0"/>
              <w:divBdr>
                <w:top w:val="none" w:sz="0" w:space="0" w:color="auto"/>
                <w:left w:val="none" w:sz="0" w:space="0" w:color="auto"/>
                <w:bottom w:val="none" w:sz="0" w:space="0" w:color="auto"/>
                <w:right w:val="none" w:sz="0" w:space="0" w:color="auto"/>
              </w:divBdr>
            </w:div>
          </w:divsChild>
        </w:div>
        <w:div w:id="1099254046">
          <w:marLeft w:val="0"/>
          <w:marRight w:val="0"/>
          <w:marTop w:val="0"/>
          <w:marBottom w:val="0"/>
          <w:divBdr>
            <w:top w:val="none" w:sz="0" w:space="0" w:color="auto"/>
            <w:left w:val="none" w:sz="0" w:space="0" w:color="auto"/>
            <w:bottom w:val="none" w:sz="0" w:space="0" w:color="auto"/>
            <w:right w:val="none" w:sz="0" w:space="0" w:color="auto"/>
          </w:divBdr>
          <w:divsChild>
            <w:div w:id="1116868484">
              <w:marLeft w:val="0"/>
              <w:marRight w:val="0"/>
              <w:marTop w:val="0"/>
              <w:marBottom w:val="0"/>
              <w:divBdr>
                <w:top w:val="none" w:sz="0" w:space="0" w:color="auto"/>
                <w:left w:val="none" w:sz="0" w:space="0" w:color="auto"/>
                <w:bottom w:val="none" w:sz="0" w:space="0" w:color="auto"/>
                <w:right w:val="none" w:sz="0" w:space="0" w:color="auto"/>
              </w:divBdr>
            </w:div>
          </w:divsChild>
        </w:div>
        <w:div w:id="1099525127">
          <w:marLeft w:val="0"/>
          <w:marRight w:val="0"/>
          <w:marTop w:val="0"/>
          <w:marBottom w:val="0"/>
          <w:divBdr>
            <w:top w:val="none" w:sz="0" w:space="0" w:color="auto"/>
            <w:left w:val="none" w:sz="0" w:space="0" w:color="auto"/>
            <w:bottom w:val="none" w:sz="0" w:space="0" w:color="auto"/>
            <w:right w:val="none" w:sz="0" w:space="0" w:color="auto"/>
          </w:divBdr>
          <w:divsChild>
            <w:div w:id="169682471">
              <w:marLeft w:val="0"/>
              <w:marRight w:val="0"/>
              <w:marTop w:val="0"/>
              <w:marBottom w:val="0"/>
              <w:divBdr>
                <w:top w:val="none" w:sz="0" w:space="0" w:color="auto"/>
                <w:left w:val="none" w:sz="0" w:space="0" w:color="auto"/>
                <w:bottom w:val="none" w:sz="0" w:space="0" w:color="auto"/>
                <w:right w:val="none" w:sz="0" w:space="0" w:color="auto"/>
              </w:divBdr>
            </w:div>
          </w:divsChild>
        </w:div>
        <w:div w:id="1102795337">
          <w:marLeft w:val="0"/>
          <w:marRight w:val="0"/>
          <w:marTop w:val="0"/>
          <w:marBottom w:val="0"/>
          <w:divBdr>
            <w:top w:val="none" w:sz="0" w:space="0" w:color="auto"/>
            <w:left w:val="none" w:sz="0" w:space="0" w:color="auto"/>
            <w:bottom w:val="none" w:sz="0" w:space="0" w:color="auto"/>
            <w:right w:val="none" w:sz="0" w:space="0" w:color="auto"/>
          </w:divBdr>
          <w:divsChild>
            <w:div w:id="1712263471">
              <w:marLeft w:val="0"/>
              <w:marRight w:val="0"/>
              <w:marTop w:val="0"/>
              <w:marBottom w:val="0"/>
              <w:divBdr>
                <w:top w:val="none" w:sz="0" w:space="0" w:color="auto"/>
                <w:left w:val="none" w:sz="0" w:space="0" w:color="auto"/>
                <w:bottom w:val="none" w:sz="0" w:space="0" w:color="auto"/>
                <w:right w:val="none" w:sz="0" w:space="0" w:color="auto"/>
              </w:divBdr>
            </w:div>
          </w:divsChild>
        </w:div>
        <w:div w:id="1115292644">
          <w:marLeft w:val="0"/>
          <w:marRight w:val="0"/>
          <w:marTop w:val="0"/>
          <w:marBottom w:val="0"/>
          <w:divBdr>
            <w:top w:val="none" w:sz="0" w:space="0" w:color="auto"/>
            <w:left w:val="none" w:sz="0" w:space="0" w:color="auto"/>
            <w:bottom w:val="none" w:sz="0" w:space="0" w:color="auto"/>
            <w:right w:val="none" w:sz="0" w:space="0" w:color="auto"/>
          </w:divBdr>
          <w:divsChild>
            <w:div w:id="1468284464">
              <w:marLeft w:val="0"/>
              <w:marRight w:val="0"/>
              <w:marTop w:val="0"/>
              <w:marBottom w:val="0"/>
              <w:divBdr>
                <w:top w:val="none" w:sz="0" w:space="0" w:color="auto"/>
                <w:left w:val="none" w:sz="0" w:space="0" w:color="auto"/>
                <w:bottom w:val="none" w:sz="0" w:space="0" w:color="auto"/>
                <w:right w:val="none" w:sz="0" w:space="0" w:color="auto"/>
              </w:divBdr>
            </w:div>
          </w:divsChild>
        </w:div>
        <w:div w:id="1119765736">
          <w:marLeft w:val="0"/>
          <w:marRight w:val="0"/>
          <w:marTop w:val="0"/>
          <w:marBottom w:val="0"/>
          <w:divBdr>
            <w:top w:val="none" w:sz="0" w:space="0" w:color="auto"/>
            <w:left w:val="none" w:sz="0" w:space="0" w:color="auto"/>
            <w:bottom w:val="none" w:sz="0" w:space="0" w:color="auto"/>
            <w:right w:val="none" w:sz="0" w:space="0" w:color="auto"/>
          </w:divBdr>
          <w:divsChild>
            <w:div w:id="598148695">
              <w:marLeft w:val="0"/>
              <w:marRight w:val="0"/>
              <w:marTop w:val="0"/>
              <w:marBottom w:val="0"/>
              <w:divBdr>
                <w:top w:val="none" w:sz="0" w:space="0" w:color="auto"/>
                <w:left w:val="none" w:sz="0" w:space="0" w:color="auto"/>
                <w:bottom w:val="none" w:sz="0" w:space="0" w:color="auto"/>
                <w:right w:val="none" w:sz="0" w:space="0" w:color="auto"/>
              </w:divBdr>
            </w:div>
          </w:divsChild>
        </w:div>
        <w:div w:id="1120415708">
          <w:marLeft w:val="0"/>
          <w:marRight w:val="0"/>
          <w:marTop w:val="0"/>
          <w:marBottom w:val="0"/>
          <w:divBdr>
            <w:top w:val="none" w:sz="0" w:space="0" w:color="auto"/>
            <w:left w:val="none" w:sz="0" w:space="0" w:color="auto"/>
            <w:bottom w:val="none" w:sz="0" w:space="0" w:color="auto"/>
            <w:right w:val="none" w:sz="0" w:space="0" w:color="auto"/>
          </w:divBdr>
          <w:divsChild>
            <w:div w:id="1782528519">
              <w:marLeft w:val="0"/>
              <w:marRight w:val="0"/>
              <w:marTop w:val="0"/>
              <w:marBottom w:val="0"/>
              <w:divBdr>
                <w:top w:val="none" w:sz="0" w:space="0" w:color="auto"/>
                <w:left w:val="none" w:sz="0" w:space="0" w:color="auto"/>
                <w:bottom w:val="none" w:sz="0" w:space="0" w:color="auto"/>
                <w:right w:val="none" w:sz="0" w:space="0" w:color="auto"/>
              </w:divBdr>
            </w:div>
          </w:divsChild>
        </w:div>
        <w:div w:id="1122724715">
          <w:marLeft w:val="0"/>
          <w:marRight w:val="0"/>
          <w:marTop w:val="0"/>
          <w:marBottom w:val="0"/>
          <w:divBdr>
            <w:top w:val="none" w:sz="0" w:space="0" w:color="auto"/>
            <w:left w:val="none" w:sz="0" w:space="0" w:color="auto"/>
            <w:bottom w:val="none" w:sz="0" w:space="0" w:color="auto"/>
            <w:right w:val="none" w:sz="0" w:space="0" w:color="auto"/>
          </w:divBdr>
          <w:divsChild>
            <w:div w:id="1014652232">
              <w:marLeft w:val="0"/>
              <w:marRight w:val="0"/>
              <w:marTop w:val="0"/>
              <w:marBottom w:val="0"/>
              <w:divBdr>
                <w:top w:val="none" w:sz="0" w:space="0" w:color="auto"/>
                <w:left w:val="none" w:sz="0" w:space="0" w:color="auto"/>
                <w:bottom w:val="none" w:sz="0" w:space="0" w:color="auto"/>
                <w:right w:val="none" w:sz="0" w:space="0" w:color="auto"/>
              </w:divBdr>
            </w:div>
          </w:divsChild>
        </w:div>
        <w:div w:id="1130902100">
          <w:marLeft w:val="0"/>
          <w:marRight w:val="0"/>
          <w:marTop w:val="0"/>
          <w:marBottom w:val="0"/>
          <w:divBdr>
            <w:top w:val="none" w:sz="0" w:space="0" w:color="auto"/>
            <w:left w:val="none" w:sz="0" w:space="0" w:color="auto"/>
            <w:bottom w:val="none" w:sz="0" w:space="0" w:color="auto"/>
            <w:right w:val="none" w:sz="0" w:space="0" w:color="auto"/>
          </w:divBdr>
          <w:divsChild>
            <w:div w:id="594436208">
              <w:marLeft w:val="0"/>
              <w:marRight w:val="0"/>
              <w:marTop w:val="0"/>
              <w:marBottom w:val="0"/>
              <w:divBdr>
                <w:top w:val="none" w:sz="0" w:space="0" w:color="auto"/>
                <w:left w:val="none" w:sz="0" w:space="0" w:color="auto"/>
                <w:bottom w:val="none" w:sz="0" w:space="0" w:color="auto"/>
                <w:right w:val="none" w:sz="0" w:space="0" w:color="auto"/>
              </w:divBdr>
            </w:div>
          </w:divsChild>
        </w:div>
        <w:div w:id="1134063530">
          <w:marLeft w:val="0"/>
          <w:marRight w:val="0"/>
          <w:marTop w:val="0"/>
          <w:marBottom w:val="0"/>
          <w:divBdr>
            <w:top w:val="none" w:sz="0" w:space="0" w:color="auto"/>
            <w:left w:val="none" w:sz="0" w:space="0" w:color="auto"/>
            <w:bottom w:val="none" w:sz="0" w:space="0" w:color="auto"/>
            <w:right w:val="none" w:sz="0" w:space="0" w:color="auto"/>
          </w:divBdr>
          <w:divsChild>
            <w:div w:id="237986745">
              <w:marLeft w:val="0"/>
              <w:marRight w:val="0"/>
              <w:marTop w:val="0"/>
              <w:marBottom w:val="0"/>
              <w:divBdr>
                <w:top w:val="none" w:sz="0" w:space="0" w:color="auto"/>
                <w:left w:val="none" w:sz="0" w:space="0" w:color="auto"/>
                <w:bottom w:val="none" w:sz="0" w:space="0" w:color="auto"/>
                <w:right w:val="none" w:sz="0" w:space="0" w:color="auto"/>
              </w:divBdr>
            </w:div>
          </w:divsChild>
        </w:div>
        <w:div w:id="1136728093">
          <w:marLeft w:val="0"/>
          <w:marRight w:val="0"/>
          <w:marTop w:val="0"/>
          <w:marBottom w:val="0"/>
          <w:divBdr>
            <w:top w:val="none" w:sz="0" w:space="0" w:color="auto"/>
            <w:left w:val="none" w:sz="0" w:space="0" w:color="auto"/>
            <w:bottom w:val="none" w:sz="0" w:space="0" w:color="auto"/>
            <w:right w:val="none" w:sz="0" w:space="0" w:color="auto"/>
          </w:divBdr>
          <w:divsChild>
            <w:div w:id="437021018">
              <w:marLeft w:val="0"/>
              <w:marRight w:val="0"/>
              <w:marTop w:val="0"/>
              <w:marBottom w:val="0"/>
              <w:divBdr>
                <w:top w:val="none" w:sz="0" w:space="0" w:color="auto"/>
                <w:left w:val="none" w:sz="0" w:space="0" w:color="auto"/>
                <w:bottom w:val="none" w:sz="0" w:space="0" w:color="auto"/>
                <w:right w:val="none" w:sz="0" w:space="0" w:color="auto"/>
              </w:divBdr>
            </w:div>
          </w:divsChild>
        </w:div>
        <w:div w:id="1137722226">
          <w:marLeft w:val="0"/>
          <w:marRight w:val="0"/>
          <w:marTop w:val="0"/>
          <w:marBottom w:val="0"/>
          <w:divBdr>
            <w:top w:val="none" w:sz="0" w:space="0" w:color="auto"/>
            <w:left w:val="none" w:sz="0" w:space="0" w:color="auto"/>
            <w:bottom w:val="none" w:sz="0" w:space="0" w:color="auto"/>
            <w:right w:val="none" w:sz="0" w:space="0" w:color="auto"/>
          </w:divBdr>
          <w:divsChild>
            <w:div w:id="841360145">
              <w:marLeft w:val="0"/>
              <w:marRight w:val="0"/>
              <w:marTop w:val="0"/>
              <w:marBottom w:val="0"/>
              <w:divBdr>
                <w:top w:val="none" w:sz="0" w:space="0" w:color="auto"/>
                <w:left w:val="none" w:sz="0" w:space="0" w:color="auto"/>
                <w:bottom w:val="none" w:sz="0" w:space="0" w:color="auto"/>
                <w:right w:val="none" w:sz="0" w:space="0" w:color="auto"/>
              </w:divBdr>
            </w:div>
          </w:divsChild>
        </w:div>
        <w:div w:id="1142964686">
          <w:marLeft w:val="0"/>
          <w:marRight w:val="0"/>
          <w:marTop w:val="0"/>
          <w:marBottom w:val="0"/>
          <w:divBdr>
            <w:top w:val="none" w:sz="0" w:space="0" w:color="auto"/>
            <w:left w:val="none" w:sz="0" w:space="0" w:color="auto"/>
            <w:bottom w:val="none" w:sz="0" w:space="0" w:color="auto"/>
            <w:right w:val="none" w:sz="0" w:space="0" w:color="auto"/>
          </w:divBdr>
          <w:divsChild>
            <w:div w:id="591821254">
              <w:marLeft w:val="0"/>
              <w:marRight w:val="0"/>
              <w:marTop w:val="0"/>
              <w:marBottom w:val="0"/>
              <w:divBdr>
                <w:top w:val="none" w:sz="0" w:space="0" w:color="auto"/>
                <w:left w:val="none" w:sz="0" w:space="0" w:color="auto"/>
                <w:bottom w:val="none" w:sz="0" w:space="0" w:color="auto"/>
                <w:right w:val="none" w:sz="0" w:space="0" w:color="auto"/>
              </w:divBdr>
            </w:div>
          </w:divsChild>
        </w:div>
        <w:div w:id="1146045489">
          <w:marLeft w:val="0"/>
          <w:marRight w:val="0"/>
          <w:marTop w:val="0"/>
          <w:marBottom w:val="0"/>
          <w:divBdr>
            <w:top w:val="none" w:sz="0" w:space="0" w:color="auto"/>
            <w:left w:val="none" w:sz="0" w:space="0" w:color="auto"/>
            <w:bottom w:val="none" w:sz="0" w:space="0" w:color="auto"/>
            <w:right w:val="none" w:sz="0" w:space="0" w:color="auto"/>
          </w:divBdr>
          <w:divsChild>
            <w:div w:id="74717030">
              <w:marLeft w:val="0"/>
              <w:marRight w:val="0"/>
              <w:marTop w:val="0"/>
              <w:marBottom w:val="0"/>
              <w:divBdr>
                <w:top w:val="none" w:sz="0" w:space="0" w:color="auto"/>
                <w:left w:val="none" w:sz="0" w:space="0" w:color="auto"/>
                <w:bottom w:val="none" w:sz="0" w:space="0" w:color="auto"/>
                <w:right w:val="none" w:sz="0" w:space="0" w:color="auto"/>
              </w:divBdr>
            </w:div>
          </w:divsChild>
        </w:div>
        <w:div w:id="1155608729">
          <w:marLeft w:val="0"/>
          <w:marRight w:val="0"/>
          <w:marTop w:val="0"/>
          <w:marBottom w:val="0"/>
          <w:divBdr>
            <w:top w:val="none" w:sz="0" w:space="0" w:color="auto"/>
            <w:left w:val="none" w:sz="0" w:space="0" w:color="auto"/>
            <w:bottom w:val="none" w:sz="0" w:space="0" w:color="auto"/>
            <w:right w:val="none" w:sz="0" w:space="0" w:color="auto"/>
          </w:divBdr>
          <w:divsChild>
            <w:div w:id="935405526">
              <w:marLeft w:val="0"/>
              <w:marRight w:val="0"/>
              <w:marTop w:val="0"/>
              <w:marBottom w:val="0"/>
              <w:divBdr>
                <w:top w:val="none" w:sz="0" w:space="0" w:color="auto"/>
                <w:left w:val="none" w:sz="0" w:space="0" w:color="auto"/>
                <w:bottom w:val="none" w:sz="0" w:space="0" w:color="auto"/>
                <w:right w:val="none" w:sz="0" w:space="0" w:color="auto"/>
              </w:divBdr>
            </w:div>
          </w:divsChild>
        </w:div>
        <w:div w:id="1155948247">
          <w:marLeft w:val="0"/>
          <w:marRight w:val="0"/>
          <w:marTop w:val="0"/>
          <w:marBottom w:val="0"/>
          <w:divBdr>
            <w:top w:val="none" w:sz="0" w:space="0" w:color="auto"/>
            <w:left w:val="none" w:sz="0" w:space="0" w:color="auto"/>
            <w:bottom w:val="none" w:sz="0" w:space="0" w:color="auto"/>
            <w:right w:val="none" w:sz="0" w:space="0" w:color="auto"/>
          </w:divBdr>
          <w:divsChild>
            <w:div w:id="19935761">
              <w:marLeft w:val="0"/>
              <w:marRight w:val="0"/>
              <w:marTop w:val="0"/>
              <w:marBottom w:val="0"/>
              <w:divBdr>
                <w:top w:val="none" w:sz="0" w:space="0" w:color="auto"/>
                <w:left w:val="none" w:sz="0" w:space="0" w:color="auto"/>
                <w:bottom w:val="none" w:sz="0" w:space="0" w:color="auto"/>
                <w:right w:val="none" w:sz="0" w:space="0" w:color="auto"/>
              </w:divBdr>
            </w:div>
          </w:divsChild>
        </w:div>
        <w:div w:id="1157184621">
          <w:marLeft w:val="0"/>
          <w:marRight w:val="0"/>
          <w:marTop w:val="0"/>
          <w:marBottom w:val="0"/>
          <w:divBdr>
            <w:top w:val="none" w:sz="0" w:space="0" w:color="auto"/>
            <w:left w:val="none" w:sz="0" w:space="0" w:color="auto"/>
            <w:bottom w:val="none" w:sz="0" w:space="0" w:color="auto"/>
            <w:right w:val="none" w:sz="0" w:space="0" w:color="auto"/>
          </w:divBdr>
          <w:divsChild>
            <w:div w:id="155995980">
              <w:marLeft w:val="0"/>
              <w:marRight w:val="0"/>
              <w:marTop w:val="0"/>
              <w:marBottom w:val="0"/>
              <w:divBdr>
                <w:top w:val="none" w:sz="0" w:space="0" w:color="auto"/>
                <w:left w:val="none" w:sz="0" w:space="0" w:color="auto"/>
                <w:bottom w:val="none" w:sz="0" w:space="0" w:color="auto"/>
                <w:right w:val="none" w:sz="0" w:space="0" w:color="auto"/>
              </w:divBdr>
            </w:div>
          </w:divsChild>
        </w:div>
        <w:div w:id="1163886194">
          <w:marLeft w:val="0"/>
          <w:marRight w:val="0"/>
          <w:marTop w:val="0"/>
          <w:marBottom w:val="0"/>
          <w:divBdr>
            <w:top w:val="none" w:sz="0" w:space="0" w:color="auto"/>
            <w:left w:val="none" w:sz="0" w:space="0" w:color="auto"/>
            <w:bottom w:val="none" w:sz="0" w:space="0" w:color="auto"/>
            <w:right w:val="none" w:sz="0" w:space="0" w:color="auto"/>
          </w:divBdr>
          <w:divsChild>
            <w:div w:id="2024621086">
              <w:marLeft w:val="0"/>
              <w:marRight w:val="0"/>
              <w:marTop w:val="0"/>
              <w:marBottom w:val="0"/>
              <w:divBdr>
                <w:top w:val="none" w:sz="0" w:space="0" w:color="auto"/>
                <w:left w:val="none" w:sz="0" w:space="0" w:color="auto"/>
                <w:bottom w:val="none" w:sz="0" w:space="0" w:color="auto"/>
                <w:right w:val="none" w:sz="0" w:space="0" w:color="auto"/>
              </w:divBdr>
            </w:div>
          </w:divsChild>
        </w:div>
        <w:div w:id="1178689289">
          <w:marLeft w:val="0"/>
          <w:marRight w:val="0"/>
          <w:marTop w:val="0"/>
          <w:marBottom w:val="0"/>
          <w:divBdr>
            <w:top w:val="none" w:sz="0" w:space="0" w:color="auto"/>
            <w:left w:val="none" w:sz="0" w:space="0" w:color="auto"/>
            <w:bottom w:val="none" w:sz="0" w:space="0" w:color="auto"/>
            <w:right w:val="none" w:sz="0" w:space="0" w:color="auto"/>
          </w:divBdr>
          <w:divsChild>
            <w:div w:id="972293442">
              <w:marLeft w:val="0"/>
              <w:marRight w:val="0"/>
              <w:marTop w:val="0"/>
              <w:marBottom w:val="0"/>
              <w:divBdr>
                <w:top w:val="none" w:sz="0" w:space="0" w:color="auto"/>
                <w:left w:val="none" w:sz="0" w:space="0" w:color="auto"/>
                <w:bottom w:val="none" w:sz="0" w:space="0" w:color="auto"/>
                <w:right w:val="none" w:sz="0" w:space="0" w:color="auto"/>
              </w:divBdr>
            </w:div>
          </w:divsChild>
        </w:div>
        <w:div w:id="1179739961">
          <w:marLeft w:val="0"/>
          <w:marRight w:val="0"/>
          <w:marTop w:val="0"/>
          <w:marBottom w:val="0"/>
          <w:divBdr>
            <w:top w:val="none" w:sz="0" w:space="0" w:color="auto"/>
            <w:left w:val="none" w:sz="0" w:space="0" w:color="auto"/>
            <w:bottom w:val="none" w:sz="0" w:space="0" w:color="auto"/>
            <w:right w:val="none" w:sz="0" w:space="0" w:color="auto"/>
          </w:divBdr>
          <w:divsChild>
            <w:div w:id="673262000">
              <w:marLeft w:val="0"/>
              <w:marRight w:val="0"/>
              <w:marTop w:val="0"/>
              <w:marBottom w:val="0"/>
              <w:divBdr>
                <w:top w:val="none" w:sz="0" w:space="0" w:color="auto"/>
                <w:left w:val="none" w:sz="0" w:space="0" w:color="auto"/>
                <w:bottom w:val="none" w:sz="0" w:space="0" w:color="auto"/>
                <w:right w:val="none" w:sz="0" w:space="0" w:color="auto"/>
              </w:divBdr>
            </w:div>
          </w:divsChild>
        </w:div>
        <w:div w:id="1183399013">
          <w:marLeft w:val="0"/>
          <w:marRight w:val="0"/>
          <w:marTop w:val="0"/>
          <w:marBottom w:val="0"/>
          <w:divBdr>
            <w:top w:val="none" w:sz="0" w:space="0" w:color="auto"/>
            <w:left w:val="none" w:sz="0" w:space="0" w:color="auto"/>
            <w:bottom w:val="none" w:sz="0" w:space="0" w:color="auto"/>
            <w:right w:val="none" w:sz="0" w:space="0" w:color="auto"/>
          </w:divBdr>
          <w:divsChild>
            <w:div w:id="1178810774">
              <w:marLeft w:val="0"/>
              <w:marRight w:val="0"/>
              <w:marTop w:val="0"/>
              <w:marBottom w:val="0"/>
              <w:divBdr>
                <w:top w:val="none" w:sz="0" w:space="0" w:color="auto"/>
                <w:left w:val="none" w:sz="0" w:space="0" w:color="auto"/>
                <w:bottom w:val="none" w:sz="0" w:space="0" w:color="auto"/>
                <w:right w:val="none" w:sz="0" w:space="0" w:color="auto"/>
              </w:divBdr>
            </w:div>
          </w:divsChild>
        </w:div>
        <w:div w:id="1184782646">
          <w:marLeft w:val="0"/>
          <w:marRight w:val="0"/>
          <w:marTop w:val="0"/>
          <w:marBottom w:val="0"/>
          <w:divBdr>
            <w:top w:val="none" w:sz="0" w:space="0" w:color="auto"/>
            <w:left w:val="none" w:sz="0" w:space="0" w:color="auto"/>
            <w:bottom w:val="none" w:sz="0" w:space="0" w:color="auto"/>
            <w:right w:val="none" w:sz="0" w:space="0" w:color="auto"/>
          </w:divBdr>
          <w:divsChild>
            <w:div w:id="704715232">
              <w:marLeft w:val="0"/>
              <w:marRight w:val="0"/>
              <w:marTop w:val="0"/>
              <w:marBottom w:val="0"/>
              <w:divBdr>
                <w:top w:val="none" w:sz="0" w:space="0" w:color="auto"/>
                <w:left w:val="none" w:sz="0" w:space="0" w:color="auto"/>
                <w:bottom w:val="none" w:sz="0" w:space="0" w:color="auto"/>
                <w:right w:val="none" w:sz="0" w:space="0" w:color="auto"/>
              </w:divBdr>
            </w:div>
          </w:divsChild>
        </w:div>
        <w:div w:id="1186753900">
          <w:marLeft w:val="0"/>
          <w:marRight w:val="0"/>
          <w:marTop w:val="0"/>
          <w:marBottom w:val="0"/>
          <w:divBdr>
            <w:top w:val="none" w:sz="0" w:space="0" w:color="auto"/>
            <w:left w:val="none" w:sz="0" w:space="0" w:color="auto"/>
            <w:bottom w:val="none" w:sz="0" w:space="0" w:color="auto"/>
            <w:right w:val="none" w:sz="0" w:space="0" w:color="auto"/>
          </w:divBdr>
          <w:divsChild>
            <w:div w:id="308442799">
              <w:marLeft w:val="0"/>
              <w:marRight w:val="0"/>
              <w:marTop w:val="0"/>
              <w:marBottom w:val="0"/>
              <w:divBdr>
                <w:top w:val="none" w:sz="0" w:space="0" w:color="auto"/>
                <w:left w:val="none" w:sz="0" w:space="0" w:color="auto"/>
                <w:bottom w:val="none" w:sz="0" w:space="0" w:color="auto"/>
                <w:right w:val="none" w:sz="0" w:space="0" w:color="auto"/>
              </w:divBdr>
            </w:div>
          </w:divsChild>
        </w:div>
        <w:div w:id="1189177335">
          <w:marLeft w:val="0"/>
          <w:marRight w:val="0"/>
          <w:marTop w:val="0"/>
          <w:marBottom w:val="0"/>
          <w:divBdr>
            <w:top w:val="none" w:sz="0" w:space="0" w:color="auto"/>
            <w:left w:val="none" w:sz="0" w:space="0" w:color="auto"/>
            <w:bottom w:val="none" w:sz="0" w:space="0" w:color="auto"/>
            <w:right w:val="none" w:sz="0" w:space="0" w:color="auto"/>
          </w:divBdr>
          <w:divsChild>
            <w:div w:id="326791788">
              <w:marLeft w:val="0"/>
              <w:marRight w:val="0"/>
              <w:marTop w:val="0"/>
              <w:marBottom w:val="0"/>
              <w:divBdr>
                <w:top w:val="none" w:sz="0" w:space="0" w:color="auto"/>
                <w:left w:val="none" w:sz="0" w:space="0" w:color="auto"/>
                <w:bottom w:val="none" w:sz="0" w:space="0" w:color="auto"/>
                <w:right w:val="none" w:sz="0" w:space="0" w:color="auto"/>
              </w:divBdr>
            </w:div>
          </w:divsChild>
        </w:div>
        <w:div w:id="1196693362">
          <w:marLeft w:val="0"/>
          <w:marRight w:val="0"/>
          <w:marTop w:val="0"/>
          <w:marBottom w:val="0"/>
          <w:divBdr>
            <w:top w:val="none" w:sz="0" w:space="0" w:color="auto"/>
            <w:left w:val="none" w:sz="0" w:space="0" w:color="auto"/>
            <w:bottom w:val="none" w:sz="0" w:space="0" w:color="auto"/>
            <w:right w:val="none" w:sz="0" w:space="0" w:color="auto"/>
          </w:divBdr>
          <w:divsChild>
            <w:div w:id="965936841">
              <w:marLeft w:val="0"/>
              <w:marRight w:val="0"/>
              <w:marTop w:val="0"/>
              <w:marBottom w:val="0"/>
              <w:divBdr>
                <w:top w:val="none" w:sz="0" w:space="0" w:color="auto"/>
                <w:left w:val="none" w:sz="0" w:space="0" w:color="auto"/>
                <w:bottom w:val="none" w:sz="0" w:space="0" w:color="auto"/>
                <w:right w:val="none" w:sz="0" w:space="0" w:color="auto"/>
              </w:divBdr>
            </w:div>
          </w:divsChild>
        </w:div>
        <w:div w:id="1196698382">
          <w:marLeft w:val="0"/>
          <w:marRight w:val="0"/>
          <w:marTop w:val="0"/>
          <w:marBottom w:val="0"/>
          <w:divBdr>
            <w:top w:val="none" w:sz="0" w:space="0" w:color="auto"/>
            <w:left w:val="none" w:sz="0" w:space="0" w:color="auto"/>
            <w:bottom w:val="none" w:sz="0" w:space="0" w:color="auto"/>
            <w:right w:val="none" w:sz="0" w:space="0" w:color="auto"/>
          </w:divBdr>
          <w:divsChild>
            <w:div w:id="1658454932">
              <w:marLeft w:val="0"/>
              <w:marRight w:val="0"/>
              <w:marTop w:val="0"/>
              <w:marBottom w:val="0"/>
              <w:divBdr>
                <w:top w:val="none" w:sz="0" w:space="0" w:color="auto"/>
                <w:left w:val="none" w:sz="0" w:space="0" w:color="auto"/>
                <w:bottom w:val="none" w:sz="0" w:space="0" w:color="auto"/>
                <w:right w:val="none" w:sz="0" w:space="0" w:color="auto"/>
              </w:divBdr>
            </w:div>
          </w:divsChild>
        </w:div>
        <w:div w:id="1196768535">
          <w:marLeft w:val="0"/>
          <w:marRight w:val="0"/>
          <w:marTop w:val="0"/>
          <w:marBottom w:val="0"/>
          <w:divBdr>
            <w:top w:val="none" w:sz="0" w:space="0" w:color="auto"/>
            <w:left w:val="none" w:sz="0" w:space="0" w:color="auto"/>
            <w:bottom w:val="none" w:sz="0" w:space="0" w:color="auto"/>
            <w:right w:val="none" w:sz="0" w:space="0" w:color="auto"/>
          </w:divBdr>
          <w:divsChild>
            <w:div w:id="2089960708">
              <w:marLeft w:val="0"/>
              <w:marRight w:val="0"/>
              <w:marTop w:val="0"/>
              <w:marBottom w:val="0"/>
              <w:divBdr>
                <w:top w:val="none" w:sz="0" w:space="0" w:color="auto"/>
                <w:left w:val="none" w:sz="0" w:space="0" w:color="auto"/>
                <w:bottom w:val="none" w:sz="0" w:space="0" w:color="auto"/>
                <w:right w:val="none" w:sz="0" w:space="0" w:color="auto"/>
              </w:divBdr>
            </w:div>
          </w:divsChild>
        </w:div>
        <w:div w:id="1197695854">
          <w:marLeft w:val="0"/>
          <w:marRight w:val="0"/>
          <w:marTop w:val="0"/>
          <w:marBottom w:val="0"/>
          <w:divBdr>
            <w:top w:val="none" w:sz="0" w:space="0" w:color="auto"/>
            <w:left w:val="none" w:sz="0" w:space="0" w:color="auto"/>
            <w:bottom w:val="none" w:sz="0" w:space="0" w:color="auto"/>
            <w:right w:val="none" w:sz="0" w:space="0" w:color="auto"/>
          </w:divBdr>
          <w:divsChild>
            <w:div w:id="933168831">
              <w:marLeft w:val="0"/>
              <w:marRight w:val="0"/>
              <w:marTop w:val="0"/>
              <w:marBottom w:val="0"/>
              <w:divBdr>
                <w:top w:val="none" w:sz="0" w:space="0" w:color="auto"/>
                <w:left w:val="none" w:sz="0" w:space="0" w:color="auto"/>
                <w:bottom w:val="none" w:sz="0" w:space="0" w:color="auto"/>
                <w:right w:val="none" w:sz="0" w:space="0" w:color="auto"/>
              </w:divBdr>
            </w:div>
          </w:divsChild>
        </w:div>
        <w:div w:id="1198470844">
          <w:marLeft w:val="0"/>
          <w:marRight w:val="0"/>
          <w:marTop w:val="0"/>
          <w:marBottom w:val="0"/>
          <w:divBdr>
            <w:top w:val="none" w:sz="0" w:space="0" w:color="auto"/>
            <w:left w:val="none" w:sz="0" w:space="0" w:color="auto"/>
            <w:bottom w:val="none" w:sz="0" w:space="0" w:color="auto"/>
            <w:right w:val="none" w:sz="0" w:space="0" w:color="auto"/>
          </w:divBdr>
          <w:divsChild>
            <w:div w:id="791216967">
              <w:marLeft w:val="0"/>
              <w:marRight w:val="0"/>
              <w:marTop w:val="0"/>
              <w:marBottom w:val="0"/>
              <w:divBdr>
                <w:top w:val="none" w:sz="0" w:space="0" w:color="auto"/>
                <w:left w:val="none" w:sz="0" w:space="0" w:color="auto"/>
                <w:bottom w:val="none" w:sz="0" w:space="0" w:color="auto"/>
                <w:right w:val="none" w:sz="0" w:space="0" w:color="auto"/>
              </w:divBdr>
            </w:div>
          </w:divsChild>
        </w:div>
        <w:div w:id="1199049597">
          <w:marLeft w:val="0"/>
          <w:marRight w:val="0"/>
          <w:marTop w:val="0"/>
          <w:marBottom w:val="0"/>
          <w:divBdr>
            <w:top w:val="none" w:sz="0" w:space="0" w:color="auto"/>
            <w:left w:val="none" w:sz="0" w:space="0" w:color="auto"/>
            <w:bottom w:val="none" w:sz="0" w:space="0" w:color="auto"/>
            <w:right w:val="none" w:sz="0" w:space="0" w:color="auto"/>
          </w:divBdr>
          <w:divsChild>
            <w:div w:id="1561477924">
              <w:marLeft w:val="0"/>
              <w:marRight w:val="0"/>
              <w:marTop w:val="0"/>
              <w:marBottom w:val="0"/>
              <w:divBdr>
                <w:top w:val="none" w:sz="0" w:space="0" w:color="auto"/>
                <w:left w:val="none" w:sz="0" w:space="0" w:color="auto"/>
                <w:bottom w:val="none" w:sz="0" w:space="0" w:color="auto"/>
                <w:right w:val="none" w:sz="0" w:space="0" w:color="auto"/>
              </w:divBdr>
            </w:div>
          </w:divsChild>
        </w:div>
        <w:div w:id="1207066324">
          <w:marLeft w:val="0"/>
          <w:marRight w:val="0"/>
          <w:marTop w:val="0"/>
          <w:marBottom w:val="0"/>
          <w:divBdr>
            <w:top w:val="none" w:sz="0" w:space="0" w:color="auto"/>
            <w:left w:val="none" w:sz="0" w:space="0" w:color="auto"/>
            <w:bottom w:val="none" w:sz="0" w:space="0" w:color="auto"/>
            <w:right w:val="none" w:sz="0" w:space="0" w:color="auto"/>
          </w:divBdr>
          <w:divsChild>
            <w:div w:id="1147429857">
              <w:marLeft w:val="0"/>
              <w:marRight w:val="0"/>
              <w:marTop w:val="0"/>
              <w:marBottom w:val="0"/>
              <w:divBdr>
                <w:top w:val="none" w:sz="0" w:space="0" w:color="auto"/>
                <w:left w:val="none" w:sz="0" w:space="0" w:color="auto"/>
                <w:bottom w:val="none" w:sz="0" w:space="0" w:color="auto"/>
                <w:right w:val="none" w:sz="0" w:space="0" w:color="auto"/>
              </w:divBdr>
            </w:div>
          </w:divsChild>
        </w:div>
        <w:div w:id="1209730625">
          <w:marLeft w:val="0"/>
          <w:marRight w:val="0"/>
          <w:marTop w:val="0"/>
          <w:marBottom w:val="0"/>
          <w:divBdr>
            <w:top w:val="none" w:sz="0" w:space="0" w:color="auto"/>
            <w:left w:val="none" w:sz="0" w:space="0" w:color="auto"/>
            <w:bottom w:val="none" w:sz="0" w:space="0" w:color="auto"/>
            <w:right w:val="none" w:sz="0" w:space="0" w:color="auto"/>
          </w:divBdr>
          <w:divsChild>
            <w:div w:id="405684090">
              <w:marLeft w:val="0"/>
              <w:marRight w:val="0"/>
              <w:marTop w:val="0"/>
              <w:marBottom w:val="0"/>
              <w:divBdr>
                <w:top w:val="none" w:sz="0" w:space="0" w:color="auto"/>
                <w:left w:val="none" w:sz="0" w:space="0" w:color="auto"/>
                <w:bottom w:val="none" w:sz="0" w:space="0" w:color="auto"/>
                <w:right w:val="none" w:sz="0" w:space="0" w:color="auto"/>
              </w:divBdr>
            </w:div>
          </w:divsChild>
        </w:div>
        <w:div w:id="1217856963">
          <w:marLeft w:val="0"/>
          <w:marRight w:val="0"/>
          <w:marTop w:val="0"/>
          <w:marBottom w:val="0"/>
          <w:divBdr>
            <w:top w:val="none" w:sz="0" w:space="0" w:color="auto"/>
            <w:left w:val="none" w:sz="0" w:space="0" w:color="auto"/>
            <w:bottom w:val="none" w:sz="0" w:space="0" w:color="auto"/>
            <w:right w:val="none" w:sz="0" w:space="0" w:color="auto"/>
          </w:divBdr>
          <w:divsChild>
            <w:div w:id="1645620833">
              <w:marLeft w:val="0"/>
              <w:marRight w:val="0"/>
              <w:marTop w:val="0"/>
              <w:marBottom w:val="0"/>
              <w:divBdr>
                <w:top w:val="none" w:sz="0" w:space="0" w:color="auto"/>
                <w:left w:val="none" w:sz="0" w:space="0" w:color="auto"/>
                <w:bottom w:val="none" w:sz="0" w:space="0" w:color="auto"/>
                <w:right w:val="none" w:sz="0" w:space="0" w:color="auto"/>
              </w:divBdr>
            </w:div>
          </w:divsChild>
        </w:div>
        <w:div w:id="1220022091">
          <w:marLeft w:val="0"/>
          <w:marRight w:val="0"/>
          <w:marTop w:val="0"/>
          <w:marBottom w:val="0"/>
          <w:divBdr>
            <w:top w:val="none" w:sz="0" w:space="0" w:color="auto"/>
            <w:left w:val="none" w:sz="0" w:space="0" w:color="auto"/>
            <w:bottom w:val="none" w:sz="0" w:space="0" w:color="auto"/>
            <w:right w:val="none" w:sz="0" w:space="0" w:color="auto"/>
          </w:divBdr>
          <w:divsChild>
            <w:div w:id="688720034">
              <w:marLeft w:val="0"/>
              <w:marRight w:val="0"/>
              <w:marTop w:val="0"/>
              <w:marBottom w:val="0"/>
              <w:divBdr>
                <w:top w:val="none" w:sz="0" w:space="0" w:color="auto"/>
                <w:left w:val="none" w:sz="0" w:space="0" w:color="auto"/>
                <w:bottom w:val="none" w:sz="0" w:space="0" w:color="auto"/>
                <w:right w:val="none" w:sz="0" w:space="0" w:color="auto"/>
              </w:divBdr>
            </w:div>
          </w:divsChild>
        </w:div>
        <w:div w:id="1222786146">
          <w:marLeft w:val="0"/>
          <w:marRight w:val="0"/>
          <w:marTop w:val="0"/>
          <w:marBottom w:val="0"/>
          <w:divBdr>
            <w:top w:val="none" w:sz="0" w:space="0" w:color="auto"/>
            <w:left w:val="none" w:sz="0" w:space="0" w:color="auto"/>
            <w:bottom w:val="none" w:sz="0" w:space="0" w:color="auto"/>
            <w:right w:val="none" w:sz="0" w:space="0" w:color="auto"/>
          </w:divBdr>
          <w:divsChild>
            <w:div w:id="2043821376">
              <w:marLeft w:val="0"/>
              <w:marRight w:val="0"/>
              <w:marTop w:val="0"/>
              <w:marBottom w:val="0"/>
              <w:divBdr>
                <w:top w:val="none" w:sz="0" w:space="0" w:color="auto"/>
                <w:left w:val="none" w:sz="0" w:space="0" w:color="auto"/>
                <w:bottom w:val="none" w:sz="0" w:space="0" w:color="auto"/>
                <w:right w:val="none" w:sz="0" w:space="0" w:color="auto"/>
              </w:divBdr>
            </w:div>
          </w:divsChild>
        </w:div>
        <w:div w:id="1227301319">
          <w:marLeft w:val="0"/>
          <w:marRight w:val="0"/>
          <w:marTop w:val="0"/>
          <w:marBottom w:val="0"/>
          <w:divBdr>
            <w:top w:val="none" w:sz="0" w:space="0" w:color="auto"/>
            <w:left w:val="none" w:sz="0" w:space="0" w:color="auto"/>
            <w:bottom w:val="none" w:sz="0" w:space="0" w:color="auto"/>
            <w:right w:val="none" w:sz="0" w:space="0" w:color="auto"/>
          </w:divBdr>
          <w:divsChild>
            <w:div w:id="13003925">
              <w:marLeft w:val="0"/>
              <w:marRight w:val="0"/>
              <w:marTop w:val="0"/>
              <w:marBottom w:val="0"/>
              <w:divBdr>
                <w:top w:val="none" w:sz="0" w:space="0" w:color="auto"/>
                <w:left w:val="none" w:sz="0" w:space="0" w:color="auto"/>
                <w:bottom w:val="none" w:sz="0" w:space="0" w:color="auto"/>
                <w:right w:val="none" w:sz="0" w:space="0" w:color="auto"/>
              </w:divBdr>
            </w:div>
          </w:divsChild>
        </w:div>
        <w:div w:id="1227959585">
          <w:marLeft w:val="0"/>
          <w:marRight w:val="0"/>
          <w:marTop w:val="0"/>
          <w:marBottom w:val="0"/>
          <w:divBdr>
            <w:top w:val="none" w:sz="0" w:space="0" w:color="auto"/>
            <w:left w:val="none" w:sz="0" w:space="0" w:color="auto"/>
            <w:bottom w:val="none" w:sz="0" w:space="0" w:color="auto"/>
            <w:right w:val="none" w:sz="0" w:space="0" w:color="auto"/>
          </w:divBdr>
          <w:divsChild>
            <w:div w:id="665942850">
              <w:marLeft w:val="0"/>
              <w:marRight w:val="0"/>
              <w:marTop w:val="0"/>
              <w:marBottom w:val="0"/>
              <w:divBdr>
                <w:top w:val="none" w:sz="0" w:space="0" w:color="auto"/>
                <w:left w:val="none" w:sz="0" w:space="0" w:color="auto"/>
                <w:bottom w:val="none" w:sz="0" w:space="0" w:color="auto"/>
                <w:right w:val="none" w:sz="0" w:space="0" w:color="auto"/>
              </w:divBdr>
            </w:div>
          </w:divsChild>
        </w:div>
        <w:div w:id="1230339692">
          <w:marLeft w:val="0"/>
          <w:marRight w:val="0"/>
          <w:marTop w:val="0"/>
          <w:marBottom w:val="0"/>
          <w:divBdr>
            <w:top w:val="none" w:sz="0" w:space="0" w:color="auto"/>
            <w:left w:val="none" w:sz="0" w:space="0" w:color="auto"/>
            <w:bottom w:val="none" w:sz="0" w:space="0" w:color="auto"/>
            <w:right w:val="none" w:sz="0" w:space="0" w:color="auto"/>
          </w:divBdr>
          <w:divsChild>
            <w:div w:id="412316962">
              <w:marLeft w:val="0"/>
              <w:marRight w:val="0"/>
              <w:marTop w:val="0"/>
              <w:marBottom w:val="0"/>
              <w:divBdr>
                <w:top w:val="none" w:sz="0" w:space="0" w:color="auto"/>
                <w:left w:val="none" w:sz="0" w:space="0" w:color="auto"/>
                <w:bottom w:val="none" w:sz="0" w:space="0" w:color="auto"/>
                <w:right w:val="none" w:sz="0" w:space="0" w:color="auto"/>
              </w:divBdr>
            </w:div>
          </w:divsChild>
        </w:div>
        <w:div w:id="1235896949">
          <w:marLeft w:val="0"/>
          <w:marRight w:val="0"/>
          <w:marTop w:val="0"/>
          <w:marBottom w:val="0"/>
          <w:divBdr>
            <w:top w:val="none" w:sz="0" w:space="0" w:color="auto"/>
            <w:left w:val="none" w:sz="0" w:space="0" w:color="auto"/>
            <w:bottom w:val="none" w:sz="0" w:space="0" w:color="auto"/>
            <w:right w:val="none" w:sz="0" w:space="0" w:color="auto"/>
          </w:divBdr>
          <w:divsChild>
            <w:div w:id="1591501799">
              <w:marLeft w:val="0"/>
              <w:marRight w:val="0"/>
              <w:marTop w:val="0"/>
              <w:marBottom w:val="0"/>
              <w:divBdr>
                <w:top w:val="none" w:sz="0" w:space="0" w:color="auto"/>
                <w:left w:val="none" w:sz="0" w:space="0" w:color="auto"/>
                <w:bottom w:val="none" w:sz="0" w:space="0" w:color="auto"/>
                <w:right w:val="none" w:sz="0" w:space="0" w:color="auto"/>
              </w:divBdr>
            </w:div>
          </w:divsChild>
        </w:div>
        <w:div w:id="1236546383">
          <w:marLeft w:val="0"/>
          <w:marRight w:val="0"/>
          <w:marTop w:val="0"/>
          <w:marBottom w:val="0"/>
          <w:divBdr>
            <w:top w:val="none" w:sz="0" w:space="0" w:color="auto"/>
            <w:left w:val="none" w:sz="0" w:space="0" w:color="auto"/>
            <w:bottom w:val="none" w:sz="0" w:space="0" w:color="auto"/>
            <w:right w:val="none" w:sz="0" w:space="0" w:color="auto"/>
          </w:divBdr>
          <w:divsChild>
            <w:div w:id="3434298">
              <w:marLeft w:val="0"/>
              <w:marRight w:val="0"/>
              <w:marTop w:val="0"/>
              <w:marBottom w:val="0"/>
              <w:divBdr>
                <w:top w:val="none" w:sz="0" w:space="0" w:color="auto"/>
                <w:left w:val="none" w:sz="0" w:space="0" w:color="auto"/>
                <w:bottom w:val="none" w:sz="0" w:space="0" w:color="auto"/>
                <w:right w:val="none" w:sz="0" w:space="0" w:color="auto"/>
              </w:divBdr>
            </w:div>
          </w:divsChild>
        </w:div>
        <w:div w:id="1246768477">
          <w:marLeft w:val="0"/>
          <w:marRight w:val="0"/>
          <w:marTop w:val="0"/>
          <w:marBottom w:val="0"/>
          <w:divBdr>
            <w:top w:val="none" w:sz="0" w:space="0" w:color="auto"/>
            <w:left w:val="none" w:sz="0" w:space="0" w:color="auto"/>
            <w:bottom w:val="none" w:sz="0" w:space="0" w:color="auto"/>
            <w:right w:val="none" w:sz="0" w:space="0" w:color="auto"/>
          </w:divBdr>
          <w:divsChild>
            <w:div w:id="127171538">
              <w:marLeft w:val="0"/>
              <w:marRight w:val="0"/>
              <w:marTop w:val="0"/>
              <w:marBottom w:val="0"/>
              <w:divBdr>
                <w:top w:val="none" w:sz="0" w:space="0" w:color="auto"/>
                <w:left w:val="none" w:sz="0" w:space="0" w:color="auto"/>
                <w:bottom w:val="none" w:sz="0" w:space="0" w:color="auto"/>
                <w:right w:val="none" w:sz="0" w:space="0" w:color="auto"/>
              </w:divBdr>
            </w:div>
          </w:divsChild>
        </w:div>
        <w:div w:id="1284194539">
          <w:marLeft w:val="0"/>
          <w:marRight w:val="0"/>
          <w:marTop w:val="0"/>
          <w:marBottom w:val="0"/>
          <w:divBdr>
            <w:top w:val="none" w:sz="0" w:space="0" w:color="auto"/>
            <w:left w:val="none" w:sz="0" w:space="0" w:color="auto"/>
            <w:bottom w:val="none" w:sz="0" w:space="0" w:color="auto"/>
            <w:right w:val="none" w:sz="0" w:space="0" w:color="auto"/>
          </w:divBdr>
          <w:divsChild>
            <w:div w:id="1263732471">
              <w:marLeft w:val="0"/>
              <w:marRight w:val="0"/>
              <w:marTop w:val="0"/>
              <w:marBottom w:val="0"/>
              <w:divBdr>
                <w:top w:val="none" w:sz="0" w:space="0" w:color="auto"/>
                <w:left w:val="none" w:sz="0" w:space="0" w:color="auto"/>
                <w:bottom w:val="none" w:sz="0" w:space="0" w:color="auto"/>
                <w:right w:val="none" w:sz="0" w:space="0" w:color="auto"/>
              </w:divBdr>
            </w:div>
          </w:divsChild>
        </w:div>
        <w:div w:id="1293251036">
          <w:marLeft w:val="0"/>
          <w:marRight w:val="0"/>
          <w:marTop w:val="0"/>
          <w:marBottom w:val="0"/>
          <w:divBdr>
            <w:top w:val="none" w:sz="0" w:space="0" w:color="auto"/>
            <w:left w:val="none" w:sz="0" w:space="0" w:color="auto"/>
            <w:bottom w:val="none" w:sz="0" w:space="0" w:color="auto"/>
            <w:right w:val="none" w:sz="0" w:space="0" w:color="auto"/>
          </w:divBdr>
          <w:divsChild>
            <w:div w:id="1225336356">
              <w:marLeft w:val="0"/>
              <w:marRight w:val="0"/>
              <w:marTop w:val="0"/>
              <w:marBottom w:val="0"/>
              <w:divBdr>
                <w:top w:val="none" w:sz="0" w:space="0" w:color="auto"/>
                <w:left w:val="none" w:sz="0" w:space="0" w:color="auto"/>
                <w:bottom w:val="none" w:sz="0" w:space="0" w:color="auto"/>
                <w:right w:val="none" w:sz="0" w:space="0" w:color="auto"/>
              </w:divBdr>
            </w:div>
          </w:divsChild>
        </w:div>
        <w:div w:id="1309895646">
          <w:marLeft w:val="0"/>
          <w:marRight w:val="0"/>
          <w:marTop w:val="0"/>
          <w:marBottom w:val="0"/>
          <w:divBdr>
            <w:top w:val="none" w:sz="0" w:space="0" w:color="auto"/>
            <w:left w:val="none" w:sz="0" w:space="0" w:color="auto"/>
            <w:bottom w:val="none" w:sz="0" w:space="0" w:color="auto"/>
            <w:right w:val="none" w:sz="0" w:space="0" w:color="auto"/>
          </w:divBdr>
          <w:divsChild>
            <w:div w:id="1853839151">
              <w:marLeft w:val="0"/>
              <w:marRight w:val="0"/>
              <w:marTop w:val="0"/>
              <w:marBottom w:val="0"/>
              <w:divBdr>
                <w:top w:val="none" w:sz="0" w:space="0" w:color="auto"/>
                <w:left w:val="none" w:sz="0" w:space="0" w:color="auto"/>
                <w:bottom w:val="none" w:sz="0" w:space="0" w:color="auto"/>
                <w:right w:val="none" w:sz="0" w:space="0" w:color="auto"/>
              </w:divBdr>
            </w:div>
          </w:divsChild>
        </w:div>
        <w:div w:id="1310205351">
          <w:marLeft w:val="0"/>
          <w:marRight w:val="0"/>
          <w:marTop w:val="0"/>
          <w:marBottom w:val="0"/>
          <w:divBdr>
            <w:top w:val="none" w:sz="0" w:space="0" w:color="auto"/>
            <w:left w:val="none" w:sz="0" w:space="0" w:color="auto"/>
            <w:bottom w:val="none" w:sz="0" w:space="0" w:color="auto"/>
            <w:right w:val="none" w:sz="0" w:space="0" w:color="auto"/>
          </w:divBdr>
          <w:divsChild>
            <w:div w:id="1777872244">
              <w:marLeft w:val="0"/>
              <w:marRight w:val="0"/>
              <w:marTop w:val="0"/>
              <w:marBottom w:val="0"/>
              <w:divBdr>
                <w:top w:val="none" w:sz="0" w:space="0" w:color="auto"/>
                <w:left w:val="none" w:sz="0" w:space="0" w:color="auto"/>
                <w:bottom w:val="none" w:sz="0" w:space="0" w:color="auto"/>
                <w:right w:val="none" w:sz="0" w:space="0" w:color="auto"/>
              </w:divBdr>
            </w:div>
          </w:divsChild>
        </w:div>
        <w:div w:id="1317803045">
          <w:marLeft w:val="0"/>
          <w:marRight w:val="0"/>
          <w:marTop w:val="0"/>
          <w:marBottom w:val="0"/>
          <w:divBdr>
            <w:top w:val="none" w:sz="0" w:space="0" w:color="auto"/>
            <w:left w:val="none" w:sz="0" w:space="0" w:color="auto"/>
            <w:bottom w:val="none" w:sz="0" w:space="0" w:color="auto"/>
            <w:right w:val="none" w:sz="0" w:space="0" w:color="auto"/>
          </w:divBdr>
        </w:div>
        <w:div w:id="1328363027">
          <w:marLeft w:val="0"/>
          <w:marRight w:val="0"/>
          <w:marTop w:val="0"/>
          <w:marBottom w:val="0"/>
          <w:divBdr>
            <w:top w:val="none" w:sz="0" w:space="0" w:color="auto"/>
            <w:left w:val="none" w:sz="0" w:space="0" w:color="auto"/>
            <w:bottom w:val="none" w:sz="0" w:space="0" w:color="auto"/>
            <w:right w:val="none" w:sz="0" w:space="0" w:color="auto"/>
          </w:divBdr>
          <w:divsChild>
            <w:div w:id="339698450">
              <w:marLeft w:val="0"/>
              <w:marRight w:val="0"/>
              <w:marTop w:val="0"/>
              <w:marBottom w:val="0"/>
              <w:divBdr>
                <w:top w:val="none" w:sz="0" w:space="0" w:color="auto"/>
                <w:left w:val="none" w:sz="0" w:space="0" w:color="auto"/>
                <w:bottom w:val="none" w:sz="0" w:space="0" w:color="auto"/>
                <w:right w:val="none" w:sz="0" w:space="0" w:color="auto"/>
              </w:divBdr>
            </w:div>
          </w:divsChild>
        </w:div>
        <w:div w:id="1338342887">
          <w:marLeft w:val="0"/>
          <w:marRight w:val="0"/>
          <w:marTop w:val="0"/>
          <w:marBottom w:val="0"/>
          <w:divBdr>
            <w:top w:val="none" w:sz="0" w:space="0" w:color="auto"/>
            <w:left w:val="none" w:sz="0" w:space="0" w:color="auto"/>
            <w:bottom w:val="none" w:sz="0" w:space="0" w:color="auto"/>
            <w:right w:val="none" w:sz="0" w:space="0" w:color="auto"/>
          </w:divBdr>
          <w:divsChild>
            <w:div w:id="1494299884">
              <w:marLeft w:val="0"/>
              <w:marRight w:val="0"/>
              <w:marTop w:val="0"/>
              <w:marBottom w:val="0"/>
              <w:divBdr>
                <w:top w:val="none" w:sz="0" w:space="0" w:color="auto"/>
                <w:left w:val="none" w:sz="0" w:space="0" w:color="auto"/>
                <w:bottom w:val="none" w:sz="0" w:space="0" w:color="auto"/>
                <w:right w:val="none" w:sz="0" w:space="0" w:color="auto"/>
              </w:divBdr>
            </w:div>
          </w:divsChild>
        </w:div>
        <w:div w:id="1361398622">
          <w:marLeft w:val="0"/>
          <w:marRight w:val="0"/>
          <w:marTop w:val="0"/>
          <w:marBottom w:val="0"/>
          <w:divBdr>
            <w:top w:val="none" w:sz="0" w:space="0" w:color="auto"/>
            <w:left w:val="none" w:sz="0" w:space="0" w:color="auto"/>
            <w:bottom w:val="none" w:sz="0" w:space="0" w:color="auto"/>
            <w:right w:val="none" w:sz="0" w:space="0" w:color="auto"/>
          </w:divBdr>
          <w:divsChild>
            <w:div w:id="1641379550">
              <w:marLeft w:val="0"/>
              <w:marRight w:val="0"/>
              <w:marTop w:val="0"/>
              <w:marBottom w:val="0"/>
              <w:divBdr>
                <w:top w:val="none" w:sz="0" w:space="0" w:color="auto"/>
                <w:left w:val="none" w:sz="0" w:space="0" w:color="auto"/>
                <w:bottom w:val="none" w:sz="0" w:space="0" w:color="auto"/>
                <w:right w:val="none" w:sz="0" w:space="0" w:color="auto"/>
              </w:divBdr>
            </w:div>
          </w:divsChild>
        </w:div>
        <w:div w:id="1369723630">
          <w:marLeft w:val="0"/>
          <w:marRight w:val="0"/>
          <w:marTop w:val="0"/>
          <w:marBottom w:val="0"/>
          <w:divBdr>
            <w:top w:val="none" w:sz="0" w:space="0" w:color="auto"/>
            <w:left w:val="none" w:sz="0" w:space="0" w:color="auto"/>
            <w:bottom w:val="none" w:sz="0" w:space="0" w:color="auto"/>
            <w:right w:val="none" w:sz="0" w:space="0" w:color="auto"/>
          </w:divBdr>
          <w:divsChild>
            <w:div w:id="1726446316">
              <w:marLeft w:val="0"/>
              <w:marRight w:val="0"/>
              <w:marTop w:val="0"/>
              <w:marBottom w:val="0"/>
              <w:divBdr>
                <w:top w:val="none" w:sz="0" w:space="0" w:color="auto"/>
                <w:left w:val="none" w:sz="0" w:space="0" w:color="auto"/>
                <w:bottom w:val="none" w:sz="0" w:space="0" w:color="auto"/>
                <w:right w:val="none" w:sz="0" w:space="0" w:color="auto"/>
              </w:divBdr>
            </w:div>
          </w:divsChild>
        </w:div>
        <w:div w:id="1399399324">
          <w:marLeft w:val="0"/>
          <w:marRight w:val="0"/>
          <w:marTop w:val="0"/>
          <w:marBottom w:val="0"/>
          <w:divBdr>
            <w:top w:val="none" w:sz="0" w:space="0" w:color="auto"/>
            <w:left w:val="none" w:sz="0" w:space="0" w:color="auto"/>
            <w:bottom w:val="none" w:sz="0" w:space="0" w:color="auto"/>
            <w:right w:val="none" w:sz="0" w:space="0" w:color="auto"/>
          </w:divBdr>
          <w:divsChild>
            <w:div w:id="257645106">
              <w:marLeft w:val="0"/>
              <w:marRight w:val="0"/>
              <w:marTop w:val="0"/>
              <w:marBottom w:val="0"/>
              <w:divBdr>
                <w:top w:val="none" w:sz="0" w:space="0" w:color="auto"/>
                <w:left w:val="none" w:sz="0" w:space="0" w:color="auto"/>
                <w:bottom w:val="none" w:sz="0" w:space="0" w:color="auto"/>
                <w:right w:val="none" w:sz="0" w:space="0" w:color="auto"/>
              </w:divBdr>
            </w:div>
          </w:divsChild>
        </w:div>
        <w:div w:id="1401174442">
          <w:marLeft w:val="0"/>
          <w:marRight w:val="0"/>
          <w:marTop w:val="0"/>
          <w:marBottom w:val="0"/>
          <w:divBdr>
            <w:top w:val="none" w:sz="0" w:space="0" w:color="auto"/>
            <w:left w:val="none" w:sz="0" w:space="0" w:color="auto"/>
            <w:bottom w:val="none" w:sz="0" w:space="0" w:color="auto"/>
            <w:right w:val="none" w:sz="0" w:space="0" w:color="auto"/>
          </w:divBdr>
          <w:divsChild>
            <w:div w:id="280311060">
              <w:marLeft w:val="0"/>
              <w:marRight w:val="0"/>
              <w:marTop w:val="0"/>
              <w:marBottom w:val="0"/>
              <w:divBdr>
                <w:top w:val="none" w:sz="0" w:space="0" w:color="auto"/>
                <w:left w:val="none" w:sz="0" w:space="0" w:color="auto"/>
                <w:bottom w:val="none" w:sz="0" w:space="0" w:color="auto"/>
                <w:right w:val="none" w:sz="0" w:space="0" w:color="auto"/>
              </w:divBdr>
            </w:div>
          </w:divsChild>
        </w:div>
        <w:div w:id="1411737907">
          <w:marLeft w:val="0"/>
          <w:marRight w:val="0"/>
          <w:marTop w:val="0"/>
          <w:marBottom w:val="0"/>
          <w:divBdr>
            <w:top w:val="none" w:sz="0" w:space="0" w:color="auto"/>
            <w:left w:val="none" w:sz="0" w:space="0" w:color="auto"/>
            <w:bottom w:val="none" w:sz="0" w:space="0" w:color="auto"/>
            <w:right w:val="none" w:sz="0" w:space="0" w:color="auto"/>
          </w:divBdr>
          <w:divsChild>
            <w:div w:id="1903901869">
              <w:marLeft w:val="0"/>
              <w:marRight w:val="0"/>
              <w:marTop w:val="0"/>
              <w:marBottom w:val="0"/>
              <w:divBdr>
                <w:top w:val="none" w:sz="0" w:space="0" w:color="auto"/>
                <w:left w:val="none" w:sz="0" w:space="0" w:color="auto"/>
                <w:bottom w:val="none" w:sz="0" w:space="0" w:color="auto"/>
                <w:right w:val="none" w:sz="0" w:space="0" w:color="auto"/>
              </w:divBdr>
            </w:div>
          </w:divsChild>
        </w:div>
        <w:div w:id="1413552260">
          <w:marLeft w:val="0"/>
          <w:marRight w:val="0"/>
          <w:marTop w:val="0"/>
          <w:marBottom w:val="0"/>
          <w:divBdr>
            <w:top w:val="none" w:sz="0" w:space="0" w:color="auto"/>
            <w:left w:val="none" w:sz="0" w:space="0" w:color="auto"/>
            <w:bottom w:val="none" w:sz="0" w:space="0" w:color="auto"/>
            <w:right w:val="none" w:sz="0" w:space="0" w:color="auto"/>
          </w:divBdr>
          <w:divsChild>
            <w:div w:id="1560900321">
              <w:marLeft w:val="0"/>
              <w:marRight w:val="0"/>
              <w:marTop w:val="0"/>
              <w:marBottom w:val="0"/>
              <w:divBdr>
                <w:top w:val="none" w:sz="0" w:space="0" w:color="auto"/>
                <w:left w:val="none" w:sz="0" w:space="0" w:color="auto"/>
                <w:bottom w:val="none" w:sz="0" w:space="0" w:color="auto"/>
                <w:right w:val="none" w:sz="0" w:space="0" w:color="auto"/>
              </w:divBdr>
            </w:div>
          </w:divsChild>
        </w:div>
        <w:div w:id="1419718783">
          <w:marLeft w:val="0"/>
          <w:marRight w:val="0"/>
          <w:marTop w:val="0"/>
          <w:marBottom w:val="0"/>
          <w:divBdr>
            <w:top w:val="none" w:sz="0" w:space="0" w:color="auto"/>
            <w:left w:val="none" w:sz="0" w:space="0" w:color="auto"/>
            <w:bottom w:val="none" w:sz="0" w:space="0" w:color="auto"/>
            <w:right w:val="none" w:sz="0" w:space="0" w:color="auto"/>
          </w:divBdr>
          <w:divsChild>
            <w:div w:id="1972514411">
              <w:marLeft w:val="0"/>
              <w:marRight w:val="0"/>
              <w:marTop w:val="0"/>
              <w:marBottom w:val="0"/>
              <w:divBdr>
                <w:top w:val="none" w:sz="0" w:space="0" w:color="auto"/>
                <w:left w:val="none" w:sz="0" w:space="0" w:color="auto"/>
                <w:bottom w:val="none" w:sz="0" w:space="0" w:color="auto"/>
                <w:right w:val="none" w:sz="0" w:space="0" w:color="auto"/>
              </w:divBdr>
            </w:div>
          </w:divsChild>
        </w:div>
        <w:div w:id="1424380958">
          <w:marLeft w:val="0"/>
          <w:marRight w:val="0"/>
          <w:marTop w:val="0"/>
          <w:marBottom w:val="0"/>
          <w:divBdr>
            <w:top w:val="none" w:sz="0" w:space="0" w:color="auto"/>
            <w:left w:val="none" w:sz="0" w:space="0" w:color="auto"/>
            <w:bottom w:val="none" w:sz="0" w:space="0" w:color="auto"/>
            <w:right w:val="none" w:sz="0" w:space="0" w:color="auto"/>
          </w:divBdr>
          <w:divsChild>
            <w:div w:id="1453326522">
              <w:marLeft w:val="0"/>
              <w:marRight w:val="0"/>
              <w:marTop w:val="0"/>
              <w:marBottom w:val="0"/>
              <w:divBdr>
                <w:top w:val="none" w:sz="0" w:space="0" w:color="auto"/>
                <w:left w:val="none" w:sz="0" w:space="0" w:color="auto"/>
                <w:bottom w:val="none" w:sz="0" w:space="0" w:color="auto"/>
                <w:right w:val="none" w:sz="0" w:space="0" w:color="auto"/>
              </w:divBdr>
            </w:div>
          </w:divsChild>
        </w:div>
        <w:div w:id="1424760703">
          <w:marLeft w:val="0"/>
          <w:marRight w:val="0"/>
          <w:marTop w:val="0"/>
          <w:marBottom w:val="0"/>
          <w:divBdr>
            <w:top w:val="none" w:sz="0" w:space="0" w:color="auto"/>
            <w:left w:val="none" w:sz="0" w:space="0" w:color="auto"/>
            <w:bottom w:val="none" w:sz="0" w:space="0" w:color="auto"/>
            <w:right w:val="none" w:sz="0" w:space="0" w:color="auto"/>
          </w:divBdr>
          <w:divsChild>
            <w:div w:id="4946868">
              <w:marLeft w:val="0"/>
              <w:marRight w:val="0"/>
              <w:marTop w:val="0"/>
              <w:marBottom w:val="0"/>
              <w:divBdr>
                <w:top w:val="none" w:sz="0" w:space="0" w:color="auto"/>
                <w:left w:val="none" w:sz="0" w:space="0" w:color="auto"/>
                <w:bottom w:val="none" w:sz="0" w:space="0" w:color="auto"/>
                <w:right w:val="none" w:sz="0" w:space="0" w:color="auto"/>
              </w:divBdr>
            </w:div>
          </w:divsChild>
        </w:div>
        <w:div w:id="1431318447">
          <w:marLeft w:val="0"/>
          <w:marRight w:val="0"/>
          <w:marTop w:val="0"/>
          <w:marBottom w:val="0"/>
          <w:divBdr>
            <w:top w:val="none" w:sz="0" w:space="0" w:color="auto"/>
            <w:left w:val="none" w:sz="0" w:space="0" w:color="auto"/>
            <w:bottom w:val="none" w:sz="0" w:space="0" w:color="auto"/>
            <w:right w:val="none" w:sz="0" w:space="0" w:color="auto"/>
          </w:divBdr>
          <w:divsChild>
            <w:div w:id="597982085">
              <w:marLeft w:val="0"/>
              <w:marRight w:val="0"/>
              <w:marTop w:val="0"/>
              <w:marBottom w:val="0"/>
              <w:divBdr>
                <w:top w:val="none" w:sz="0" w:space="0" w:color="auto"/>
                <w:left w:val="none" w:sz="0" w:space="0" w:color="auto"/>
                <w:bottom w:val="none" w:sz="0" w:space="0" w:color="auto"/>
                <w:right w:val="none" w:sz="0" w:space="0" w:color="auto"/>
              </w:divBdr>
            </w:div>
          </w:divsChild>
        </w:div>
        <w:div w:id="1437941806">
          <w:marLeft w:val="0"/>
          <w:marRight w:val="0"/>
          <w:marTop w:val="0"/>
          <w:marBottom w:val="0"/>
          <w:divBdr>
            <w:top w:val="none" w:sz="0" w:space="0" w:color="auto"/>
            <w:left w:val="none" w:sz="0" w:space="0" w:color="auto"/>
            <w:bottom w:val="none" w:sz="0" w:space="0" w:color="auto"/>
            <w:right w:val="none" w:sz="0" w:space="0" w:color="auto"/>
          </w:divBdr>
          <w:divsChild>
            <w:div w:id="1102342347">
              <w:marLeft w:val="0"/>
              <w:marRight w:val="0"/>
              <w:marTop w:val="0"/>
              <w:marBottom w:val="0"/>
              <w:divBdr>
                <w:top w:val="none" w:sz="0" w:space="0" w:color="auto"/>
                <w:left w:val="none" w:sz="0" w:space="0" w:color="auto"/>
                <w:bottom w:val="none" w:sz="0" w:space="0" w:color="auto"/>
                <w:right w:val="none" w:sz="0" w:space="0" w:color="auto"/>
              </w:divBdr>
            </w:div>
          </w:divsChild>
        </w:div>
        <w:div w:id="1450516138">
          <w:marLeft w:val="0"/>
          <w:marRight w:val="0"/>
          <w:marTop w:val="0"/>
          <w:marBottom w:val="0"/>
          <w:divBdr>
            <w:top w:val="none" w:sz="0" w:space="0" w:color="auto"/>
            <w:left w:val="none" w:sz="0" w:space="0" w:color="auto"/>
            <w:bottom w:val="none" w:sz="0" w:space="0" w:color="auto"/>
            <w:right w:val="none" w:sz="0" w:space="0" w:color="auto"/>
          </w:divBdr>
          <w:divsChild>
            <w:div w:id="742486580">
              <w:marLeft w:val="0"/>
              <w:marRight w:val="0"/>
              <w:marTop w:val="0"/>
              <w:marBottom w:val="0"/>
              <w:divBdr>
                <w:top w:val="none" w:sz="0" w:space="0" w:color="auto"/>
                <w:left w:val="none" w:sz="0" w:space="0" w:color="auto"/>
                <w:bottom w:val="none" w:sz="0" w:space="0" w:color="auto"/>
                <w:right w:val="none" w:sz="0" w:space="0" w:color="auto"/>
              </w:divBdr>
            </w:div>
          </w:divsChild>
        </w:div>
        <w:div w:id="1450903228">
          <w:marLeft w:val="0"/>
          <w:marRight w:val="0"/>
          <w:marTop w:val="0"/>
          <w:marBottom w:val="0"/>
          <w:divBdr>
            <w:top w:val="none" w:sz="0" w:space="0" w:color="auto"/>
            <w:left w:val="none" w:sz="0" w:space="0" w:color="auto"/>
            <w:bottom w:val="none" w:sz="0" w:space="0" w:color="auto"/>
            <w:right w:val="none" w:sz="0" w:space="0" w:color="auto"/>
          </w:divBdr>
          <w:divsChild>
            <w:div w:id="1788281101">
              <w:marLeft w:val="0"/>
              <w:marRight w:val="0"/>
              <w:marTop w:val="0"/>
              <w:marBottom w:val="0"/>
              <w:divBdr>
                <w:top w:val="none" w:sz="0" w:space="0" w:color="auto"/>
                <w:left w:val="none" w:sz="0" w:space="0" w:color="auto"/>
                <w:bottom w:val="none" w:sz="0" w:space="0" w:color="auto"/>
                <w:right w:val="none" w:sz="0" w:space="0" w:color="auto"/>
              </w:divBdr>
            </w:div>
          </w:divsChild>
        </w:div>
        <w:div w:id="1464231340">
          <w:marLeft w:val="0"/>
          <w:marRight w:val="0"/>
          <w:marTop w:val="0"/>
          <w:marBottom w:val="0"/>
          <w:divBdr>
            <w:top w:val="none" w:sz="0" w:space="0" w:color="auto"/>
            <w:left w:val="none" w:sz="0" w:space="0" w:color="auto"/>
            <w:bottom w:val="none" w:sz="0" w:space="0" w:color="auto"/>
            <w:right w:val="none" w:sz="0" w:space="0" w:color="auto"/>
          </w:divBdr>
          <w:divsChild>
            <w:div w:id="1648777047">
              <w:marLeft w:val="0"/>
              <w:marRight w:val="0"/>
              <w:marTop w:val="0"/>
              <w:marBottom w:val="0"/>
              <w:divBdr>
                <w:top w:val="none" w:sz="0" w:space="0" w:color="auto"/>
                <w:left w:val="none" w:sz="0" w:space="0" w:color="auto"/>
                <w:bottom w:val="none" w:sz="0" w:space="0" w:color="auto"/>
                <w:right w:val="none" w:sz="0" w:space="0" w:color="auto"/>
              </w:divBdr>
            </w:div>
          </w:divsChild>
        </w:div>
        <w:div w:id="1464345664">
          <w:marLeft w:val="0"/>
          <w:marRight w:val="0"/>
          <w:marTop w:val="0"/>
          <w:marBottom w:val="0"/>
          <w:divBdr>
            <w:top w:val="none" w:sz="0" w:space="0" w:color="auto"/>
            <w:left w:val="none" w:sz="0" w:space="0" w:color="auto"/>
            <w:bottom w:val="none" w:sz="0" w:space="0" w:color="auto"/>
            <w:right w:val="none" w:sz="0" w:space="0" w:color="auto"/>
          </w:divBdr>
          <w:divsChild>
            <w:div w:id="1782338601">
              <w:marLeft w:val="0"/>
              <w:marRight w:val="0"/>
              <w:marTop w:val="0"/>
              <w:marBottom w:val="0"/>
              <w:divBdr>
                <w:top w:val="none" w:sz="0" w:space="0" w:color="auto"/>
                <w:left w:val="none" w:sz="0" w:space="0" w:color="auto"/>
                <w:bottom w:val="none" w:sz="0" w:space="0" w:color="auto"/>
                <w:right w:val="none" w:sz="0" w:space="0" w:color="auto"/>
              </w:divBdr>
            </w:div>
          </w:divsChild>
        </w:div>
        <w:div w:id="1468930867">
          <w:marLeft w:val="0"/>
          <w:marRight w:val="0"/>
          <w:marTop w:val="0"/>
          <w:marBottom w:val="0"/>
          <w:divBdr>
            <w:top w:val="none" w:sz="0" w:space="0" w:color="auto"/>
            <w:left w:val="none" w:sz="0" w:space="0" w:color="auto"/>
            <w:bottom w:val="none" w:sz="0" w:space="0" w:color="auto"/>
            <w:right w:val="none" w:sz="0" w:space="0" w:color="auto"/>
          </w:divBdr>
          <w:divsChild>
            <w:div w:id="1707097792">
              <w:marLeft w:val="0"/>
              <w:marRight w:val="0"/>
              <w:marTop w:val="0"/>
              <w:marBottom w:val="0"/>
              <w:divBdr>
                <w:top w:val="none" w:sz="0" w:space="0" w:color="auto"/>
                <w:left w:val="none" w:sz="0" w:space="0" w:color="auto"/>
                <w:bottom w:val="none" w:sz="0" w:space="0" w:color="auto"/>
                <w:right w:val="none" w:sz="0" w:space="0" w:color="auto"/>
              </w:divBdr>
            </w:div>
          </w:divsChild>
        </w:div>
        <w:div w:id="1470899664">
          <w:marLeft w:val="0"/>
          <w:marRight w:val="0"/>
          <w:marTop w:val="0"/>
          <w:marBottom w:val="0"/>
          <w:divBdr>
            <w:top w:val="none" w:sz="0" w:space="0" w:color="auto"/>
            <w:left w:val="none" w:sz="0" w:space="0" w:color="auto"/>
            <w:bottom w:val="none" w:sz="0" w:space="0" w:color="auto"/>
            <w:right w:val="none" w:sz="0" w:space="0" w:color="auto"/>
          </w:divBdr>
          <w:divsChild>
            <w:div w:id="2081513100">
              <w:marLeft w:val="0"/>
              <w:marRight w:val="0"/>
              <w:marTop w:val="0"/>
              <w:marBottom w:val="0"/>
              <w:divBdr>
                <w:top w:val="none" w:sz="0" w:space="0" w:color="auto"/>
                <w:left w:val="none" w:sz="0" w:space="0" w:color="auto"/>
                <w:bottom w:val="none" w:sz="0" w:space="0" w:color="auto"/>
                <w:right w:val="none" w:sz="0" w:space="0" w:color="auto"/>
              </w:divBdr>
            </w:div>
          </w:divsChild>
        </w:div>
        <w:div w:id="1470971855">
          <w:marLeft w:val="0"/>
          <w:marRight w:val="0"/>
          <w:marTop w:val="0"/>
          <w:marBottom w:val="0"/>
          <w:divBdr>
            <w:top w:val="none" w:sz="0" w:space="0" w:color="auto"/>
            <w:left w:val="none" w:sz="0" w:space="0" w:color="auto"/>
            <w:bottom w:val="none" w:sz="0" w:space="0" w:color="auto"/>
            <w:right w:val="none" w:sz="0" w:space="0" w:color="auto"/>
          </w:divBdr>
          <w:divsChild>
            <w:div w:id="1189562809">
              <w:marLeft w:val="0"/>
              <w:marRight w:val="0"/>
              <w:marTop w:val="0"/>
              <w:marBottom w:val="0"/>
              <w:divBdr>
                <w:top w:val="none" w:sz="0" w:space="0" w:color="auto"/>
                <w:left w:val="none" w:sz="0" w:space="0" w:color="auto"/>
                <w:bottom w:val="none" w:sz="0" w:space="0" w:color="auto"/>
                <w:right w:val="none" w:sz="0" w:space="0" w:color="auto"/>
              </w:divBdr>
            </w:div>
          </w:divsChild>
        </w:div>
        <w:div w:id="1474717623">
          <w:marLeft w:val="0"/>
          <w:marRight w:val="0"/>
          <w:marTop w:val="0"/>
          <w:marBottom w:val="0"/>
          <w:divBdr>
            <w:top w:val="none" w:sz="0" w:space="0" w:color="auto"/>
            <w:left w:val="none" w:sz="0" w:space="0" w:color="auto"/>
            <w:bottom w:val="none" w:sz="0" w:space="0" w:color="auto"/>
            <w:right w:val="none" w:sz="0" w:space="0" w:color="auto"/>
          </w:divBdr>
          <w:divsChild>
            <w:div w:id="775101327">
              <w:marLeft w:val="0"/>
              <w:marRight w:val="0"/>
              <w:marTop w:val="0"/>
              <w:marBottom w:val="0"/>
              <w:divBdr>
                <w:top w:val="none" w:sz="0" w:space="0" w:color="auto"/>
                <w:left w:val="none" w:sz="0" w:space="0" w:color="auto"/>
                <w:bottom w:val="none" w:sz="0" w:space="0" w:color="auto"/>
                <w:right w:val="none" w:sz="0" w:space="0" w:color="auto"/>
              </w:divBdr>
            </w:div>
          </w:divsChild>
        </w:div>
        <w:div w:id="1475247848">
          <w:marLeft w:val="0"/>
          <w:marRight w:val="0"/>
          <w:marTop w:val="0"/>
          <w:marBottom w:val="0"/>
          <w:divBdr>
            <w:top w:val="none" w:sz="0" w:space="0" w:color="auto"/>
            <w:left w:val="none" w:sz="0" w:space="0" w:color="auto"/>
            <w:bottom w:val="none" w:sz="0" w:space="0" w:color="auto"/>
            <w:right w:val="none" w:sz="0" w:space="0" w:color="auto"/>
          </w:divBdr>
          <w:divsChild>
            <w:div w:id="236717612">
              <w:marLeft w:val="0"/>
              <w:marRight w:val="0"/>
              <w:marTop w:val="0"/>
              <w:marBottom w:val="0"/>
              <w:divBdr>
                <w:top w:val="none" w:sz="0" w:space="0" w:color="auto"/>
                <w:left w:val="none" w:sz="0" w:space="0" w:color="auto"/>
                <w:bottom w:val="none" w:sz="0" w:space="0" w:color="auto"/>
                <w:right w:val="none" w:sz="0" w:space="0" w:color="auto"/>
              </w:divBdr>
            </w:div>
          </w:divsChild>
        </w:div>
        <w:div w:id="1487012706">
          <w:marLeft w:val="0"/>
          <w:marRight w:val="0"/>
          <w:marTop w:val="0"/>
          <w:marBottom w:val="0"/>
          <w:divBdr>
            <w:top w:val="none" w:sz="0" w:space="0" w:color="auto"/>
            <w:left w:val="none" w:sz="0" w:space="0" w:color="auto"/>
            <w:bottom w:val="none" w:sz="0" w:space="0" w:color="auto"/>
            <w:right w:val="none" w:sz="0" w:space="0" w:color="auto"/>
          </w:divBdr>
          <w:divsChild>
            <w:div w:id="2134249452">
              <w:marLeft w:val="0"/>
              <w:marRight w:val="0"/>
              <w:marTop w:val="0"/>
              <w:marBottom w:val="0"/>
              <w:divBdr>
                <w:top w:val="none" w:sz="0" w:space="0" w:color="auto"/>
                <w:left w:val="none" w:sz="0" w:space="0" w:color="auto"/>
                <w:bottom w:val="none" w:sz="0" w:space="0" w:color="auto"/>
                <w:right w:val="none" w:sz="0" w:space="0" w:color="auto"/>
              </w:divBdr>
            </w:div>
          </w:divsChild>
        </w:div>
        <w:div w:id="1487430413">
          <w:marLeft w:val="0"/>
          <w:marRight w:val="0"/>
          <w:marTop w:val="0"/>
          <w:marBottom w:val="0"/>
          <w:divBdr>
            <w:top w:val="none" w:sz="0" w:space="0" w:color="auto"/>
            <w:left w:val="none" w:sz="0" w:space="0" w:color="auto"/>
            <w:bottom w:val="none" w:sz="0" w:space="0" w:color="auto"/>
            <w:right w:val="none" w:sz="0" w:space="0" w:color="auto"/>
          </w:divBdr>
          <w:divsChild>
            <w:div w:id="1684895064">
              <w:marLeft w:val="0"/>
              <w:marRight w:val="0"/>
              <w:marTop w:val="0"/>
              <w:marBottom w:val="0"/>
              <w:divBdr>
                <w:top w:val="none" w:sz="0" w:space="0" w:color="auto"/>
                <w:left w:val="none" w:sz="0" w:space="0" w:color="auto"/>
                <w:bottom w:val="none" w:sz="0" w:space="0" w:color="auto"/>
                <w:right w:val="none" w:sz="0" w:space="0" w:color="auto"/>
              </w:divBdr>
            </w:div>
          </w:divsChild>
        </w:div>
        <w:div w:id="1489898868">
          <w:marLeft w:val="0"/>
          <w:marRight w:val="0"/>
          <w:marTop w:val="0"/>
          <w:marBottom w:val="0"/>
          <w:divBdr>
            <w:top w:val="none" w:sz="0" w:space="0" w:color="auto"/>
            <w:left w:val="none" w:sz="0" w:space="0" w:color="auto"/>
            <w:bottom w:val="none" w:sz="0" w:space="0" w:color="auto"/>
            <w:right w:val="none" w:sz="0" w:space="0" w:color="auto"/>
          </w:divBdr>
          <w:divsChild>
            <w:div w:id="833299798">
              <w:marLeft w:val="0"/>
              <w:marRight w:val="0"/>
              <w:marTop w:val="0"/>
              <w:marBottom w:val="0"/>
              <w:divBdr>
                <w:top w:val="none" w:sz="0" w:space="0" w:color="auto"/>
                <w:left w:val="none" w:sz="0" w:space="0" w:color="auto"/>
                <w:bottom w:val="none" w:sz="0" w:space="0" w:color="auto"/>
                <w:right w:val="none" w:sz="0" w:space="0" w:color="auto"/>
              </w:divBdr>
            </w:div>
          </w:divsChild>
        </w:div>
        <w:div w:id="1494908704">
          <w:marLeft w:val="0"/>
          <w:marRight w:val="0"/>
          <w:marTop w:val="0"/>
          <w:marBottom w:val="0"/>
          <w:divBdr>
            <w:top w:val="none" w:sz="0" w:space="0" w:color="auto"/>
            <w:left w:val="none" w:sz="0" w:space="0" w:color="auto"/>
            <w:bottom w:val="none" w:sz="0" w:space="0" w:color="auto"/>
            <w:right w:val="none" w:sz="0" w:space="0" w:color="auto"/>
          </w:divBdr>
          <w:divsChild>
            <w:div w:id="1367607162">
              <w:marLeft w:val="0"/>
              <w:marRight w:val="0"/>
              <w:marTop w:val="0"/>
              <w:marBottom w:val="0"/>
              <w:divBdr>
                <w:top w:val="none" w:sz="0" w:space="0" w:color="auto"/>
                <w:left w:val="none" w:sz="0" w:space="0" w:color="auto"/>
                <w:bottom w:val="none" w:sz="0" w:space="0" w:color="auto"/>
                <w:right w:val="none" w:sz="0" w:space="0" w:color="auto"/>
              </w:divBdr>
            </w:div>
          </w:divsChild>
        </w:div>
        <w:div w:id="1502432941">
          <w:marLeft w:val="0"/>
          <w:marRight w:val="0"/>
          <w:marTop w:val="0"/>
          <w:marBottom w:val="0"/>
          <w:divBdr>
            <w:top w:val="none" w:sz="0" w:space="0" w:color="auto"/>
            <w:left w:val="none" w:sz="0" w:space="0" w:color="auto"/>
            <w:bottom w:val="none" w:sz="0" w:space="0" w:color="auto"/>
            <w:right w:val="none" w:sz="0" w:space="0" w:color="auto"/>
          </w:divBdr>
          <w:divsChild>
            <w:div w:id="1467891889">
              <w:marLeft w:val="0"/>
              <w:marRight w:val="0"/>
              <w:marTop w:val="0"/>
              <w:marBottom w:val="0"/>
              <w:divBdr>
                <w:top w:val="none" w:sz="0" w:space="0" w:color="auto"/>
                <w:left w:val="none" w:sz="0" w:space="0" w:color="auto"/>
                <w:bottom w:val="none" w:sz="0" w:space="0" w:color="auto"/>
                <w:right w:val="none" w:sz="0" w:space="0" w:color="auto"/>
              </w:divBdr>
            </w:div>
          </w:divsChild>
        </w:div>
        <w:div w:id="1511918816">
          <w:marLeft w:val="0"/>
          <w:marRight w:val="0"/>
          <w:marTop w:val="0"/>
          <w:marBottom w:val="0"/>
          <w:divBdr>
            <w:top w:val="none" w:sz="0" w:space="0" w:color="auto"/>
            <w:left w:val="none" w:sz="0" w:space="0" w:color="auto"/>
            <w:bottom w:val="none" w:sz="0" w:space="0" w:color="auto"/>
            <w:right w:val="none" w:sz="0" w:space="0" w:color="auto"/>
          </w:divBdr>
          <w:divsChild>
            <w:div w:id="729964426">
              <w:marLeft w:val="0"/>
              <w:marRight w:val="0"/>
              <w:marTop w:val="0"/>
              <w:marBottom w:val="0"/>
              <w:divBdr>
                <w:top w:val="none" w:sz="0" w:space="0" w:color="auto"/>
                <w:left w:val="none" w:sz="0" w:space="0" w:color="auto"/>
                <w:bottom w:val="none" w:sz="0" w:space="0" w:color="auto"/>
                <w:right w:val="none" w:sz="0" w:space="0" w:color="auto"/>
              </w:divBdr>
            </w:div>
          </w:divsChild>
        </w:div>
        <w:div w:id="1527792540">
          <w:marLeft w:val="0"/>
          <w:marRight w:val="0"/>
          <w:marTop w:val="0"/>
          <w:marBottom w:val="0"/>
          <w:divBdr>
            <w:top w:val="none" w:sz="0" w:space="0" w:color="auto"/>
            <w:left w:val="none" w:sz="0" w:space="0" w:color="auto"/>
            <w:bottom w:val="none" w:sz="0" w:space="0" w:color="auto"/>
            <w:right w:val="none" w:sz="0" w:space="0" w:color="auto"/>
          </w:divBdr>
          <w:divsChild>
            <w:div w:id="726341489">
              <w:marLeft w:val="0"/>
              <w:marRight w:val="0"/>
              <w:marTop w:val="0"/>
              <w:marBottom w:val="0"/>
              <w:divBdr>
                <w:top w:val="none" w:sz="0" w:space="0" w:color="auto"/>
                <w:left w:val="none" w:sz="0" w:space="0" w:color="auto"/>
                <w:bottom w:val="none" w:sz="0" w:space="0" w:color="auto"/>
                <w:right w:val="none" w:sz="0" w:space="0" w:color="auto"/>
              </w:divBdr>
            </w:div>
          </w:divsChild>
        </w:div>
        <w:div w:id="1527938863">
          <w:marLeft w:val="0"/>
          <w:marRight w:val="0"/>
          <w:marTop w:val="0"/>
          <w:marBottom w:val="0"/>
          <w:divBdr>
            <w:top w:val="none" w:sz="0" w:space="0" w:color="auto"/>
            <w:left w:val="none" w:sz="0" w:space="0" w:color="auto"/>
            <w:bottom w:val="none" w:sz="0" w:space="0" w:color="auto"/>
            <w:right w:val="none" w:sz="0" w:space="0" w:color="auto"/>
          </w:divBdr>
          <w:divsChild>
            <w:div w:id="452332010">
              <w:marLeft w:val="0"/>
              <w:marRight w:val="0"/>
              <w:marTop w:val="0"/>
              <w:marBottom w:val="0"/>
              <w:divBdr>
                <w:top w:val="none" w:sz="0" w:space="0" w:color="auto"/>
                <w:left w:val="none" w:sz="0" w:space="0" w:color="auto"/>
                <w:bottom w:val="none" w:sz="0" w:space="0" w:color="auto"/>
                <w:right w:val="none" w:sz="0" w:space="0" w:color="auto"/>
              </w:divBdr>
            </w:div>
          </w:divsChild>
        </w:div>
        <w:div w:id="1534658525">
          <w:marLeft w:val="0"/>
          <w:marRight w:val="0"/>
          <w:marTop w:val="0"/>
          <w:marBottom w:val="0"/>
          <w:divBdr>
            <w:top w:val="none" w:sz="0" w:space="0" w:color="auto"/>
            <w:left w:val="none" w:sz="0" w:space="0" w:color="auto"/>
            <w:bottom w:val="none" w:sz="0" w:space="0" w:color="auto"/>
            <w:right w:val="none" w:sz="0" w:space="0" w:color="auto"/>
          </w:divBdr>
          <w:divsChild>
            <w:div w:id="1120297940">
              <w:marLeft w:val="0"/>
              <w:marRight w:val="0"/>
              <w:marTop w:val="0"/>
              <w:marBottom w:val="0"/>
              <w:divBdr>
                <w:top w:val="none" w:sz="0" w:space="0" w:color="auto"/>
                <w:left w:val="none" w:sz="0" w:space="0" w:color="auto"/>
                <w:bottom w:val="none" w:sz="0" w:space="0" w:color="auto"/>
                <w:right w:val="none" w:sz="0" w:space="0" w:color="auto"/>
              </w:divBdr>
            </w:div>
          </w:divsChild>
        </w:div>
        <w:div w:id="1539316798">
          <w:marLeft w:val="0"/>
          <w:marRight w:val="0"/>
          <w:marTop w:val="0"/>
          <w:marBottom w:val="0"/>
          <w:divBdr>
            <w:top w:val="none" w:sz="0" w:space="0" w:color="auto"/>
            <w:left w:val="none" w:sz="0" w:space="0" w:color="auto"/>
            <w:bottom w:val="none" w:sz="0" w:space="0" w:color="auto"/>
            <w:right w:val="none" w:sz="0" w:space="0" w:color="auto"/>
          </w:divBdr>
          <w:divsChild>
            <w:div w:id="1671562846">
              <w:marLeft w:val="0"/>
              <w:marRight w:val="0"/>
              <w:marTop w:val="0"/>
              <w:marBottom w:val="0"/>
              <w:divBdr>
                <w:top w:val="none" w:sz="0" w:space="0" w:color="auto"/>
                <w:left w:val="none" w:sz="0" w:space="0" w:color="auto"/>
                <w:bottom w:val="none" w:sz="0" w:space="0" w:color="auto"/>
                <w:right w:val="none" w:sz="0" w:space="0" w:color="auto"/>
              </w:divBdr>
            </w:div>
          </w:divsChild>
        </w:div>
        <w:div w:id="1552185837">
          <w:marLeft w:val="0"/>
          <w:marRight w:val="0"/>
          <w:marTop w:val="0"/>
          <w:marBottom w:val="0"/>
          <w:divBdr>
            <w:top w:val="none" w:sz="0" w:space="0" w:color="auto"/>
            <w:left w:val="none" w:sz="0" w:space="0" w:color="auto"/>
            <w:bottom w:val="none" w:sz="0" w:space="0" w:color="auto"/>
            <w:right w:val="none" w:sz="0" w:space="0" w:color="auto"/>
          </w:divBdr>
          <w:divsChild>
            <w:div w:id="1637444191">
              <w:marLeft w:val="0"/>
              <w:marRight w:val="0"/>
              <w:marTop w:val="0"/>
              <w:marBottom w:val="0"/>
              <w:divBdr>
                <w:top w:val="none" w:sz="0" w:space="0" w:color="auto"/>
                <w:left w:val="none" w:sz="0" w:space="0" w:color="auto"/>
                <w:bottom w:val="none" w:sz="0" w:space="0" w:color="auto"/>
                <w:right w:val="none" w:sz="0" w:space="0" w:color="auto"/>
              </w:divBdr>
            </w:div>
          </w:divsChild>
        </w:div>
        <w:div w:id="1560438654">
          <w:marLeft w:val="0"/>
          <w:marRight w:val="0"/>
          <w:marTop w:val="0"/>
          <w:marBottom w:val="0"/>
          <w:divBdr>
            <w:top w:val="none" w:sz="0" w:space="0" w:color="auto"/>
            <w:left w:val="none" w:sz="0" w:space="0" w:color="auto"/>
            <w:bottom w:val="none" w:sz="0" w:space="0" w:color="auto"/>
            <w:right w:val="none" w:sz="0" w:space="0" w:color="auto"/>
          </w:divBdr>
          <w:divsChild>
            <w:div w:id="2118139367">
              <w:marLeft w:val="0"/>
              <w:marRight w:val="0"/>
              <w:marTop w:val="0"/>
              <w:marBottom w:val="0"/>
              <w:divBdr>
                <w:top w:val="none" w:sz="0" w:space="0" w:color="auto"/>
                <w:left w:val="none" w:sz="0" w:space="0" w:color="auto"/>
                <w:bottom w:val="none" w:sz="0" w:space="0" w:color="auto"/>
                <w:right w:val="none" w:sz="0" w:space="0" w:color="auto"/>
              </w:divBdr>
            </w:div>
          </w:divsChild>
        </w:div>
        <w:div w:id="1562520797">
          <w:marLeft w:val="0"/>
          <w:marRight w:val="0"/>
          <w:marTop w:val="0"/>
          <w:marBottom w:val="0"/>
          <w:divBdr>
            <w:top w:val="none" w:sz="0" w:space="0" w:color="auto"/>
            <w:left w:val="none" w:sz="0" w:space="0" w:color="auto"/>
            <w:bottom w:val="none" w:sz="0" w:space="0" w:color="auto"/>
            <w:right w:val="none" w:sz="0" w:space="0" w:color="auto"/>
          </w:divBdr>
          <w:divsChild>
            <w:div w:id="1247107614">
              <w:marLeft w:val="0"/>
              <w:marRight w:val="0"/>
              <w:marTop w:val="0"/>
              <w:marBottom w:val="0"/>
              <w:divBdr>
                <w:top w:val="none" w:sz="0" w:space="0" w:color="auto"/>
                <w:left w:val="none" w:sz="0" w:space="0" w:color="auto"/>
                <w:bottom w:val="none" w:sz="0" w:space="0" w:color="auto"/>
                <w:right w:val="none" w:sz="0" w:space="0" w:color="auto"/>
              </w:divBdr>
            </w:div>
          </w:divsChild>
        </w:div>
        <w:div w:id="1564636593">
          <w:marLeft w:val="0"/>
          <w:marRight w:val="0"/>
          <w:marTop w:val="0"/>
          <w:marBottom w:val="0"/>
          <w:divBdr>
            <w:top w:val="none" w:sz="0" w:space="0" w:color="auto"/>
            <w:left w:val="none" w:sz="0" w:space="0" w:color="auto"/>
            <w:bottom w:val="none" w:sz="0" w:space="0" w:color="auto"/>
            <w:right w:val="none" w:sz="0" w:space="0" w:color="auto"/>
          </w:divBdr>
          <w:divsChild>
            <w:div w:id="979189680">
              <w:marLeft w:val="0"/>
              <w:marRight w:val="0"/>
              <w:marTop w:val="0"/>
              <w:marBottom w:val="0"/>
              <w:divBdr>
                <w:top w:val="none" w:sz="0" w:space="0" w:color="auto"/>
                <w:left w:val="none" w:sz="0" w:space="0" w:color="auto"/>
                <w:bottom w:val="none" w:sz="0" w:space="0" w:color="auto"/>
                <w:right w:val="none" w:sz="0" w:space="0" w:color="auto"/>
              </w:divBdr>
            </w:div>
          </w:divsChild>
        </w:div>
        <w:div w:id="1568177650">
          <w:marLeft w:val="0"/>
          <w:marRight w:val="0"/>
          <w:marTop w:val="0"/>
          <w:marBottom w:val="0"/>
          <w:divBdr>
            <w:top w:val="none" w:sz="0" w:space="0" w:color="auto"/>
            <w:left w:val="none" w:sz="0" w:space="0" w:color="auto"/>
            <w:bottom w:val="none" w:sz="0" w:space="0" w:color="auto"/>
            <w:right w:val="none" w:sz="0" w:space="0" w:color="auto"/>
          </w:divBdr>
          <w:divsChild>
            <w:div w:id="1380713361">
              <w:marLeft w:val="0"/>
              <w:marRight w:val="0"/>
              <w:marTop w:val="0"/>
              <w:marBottom w:val="0"/>
              <w:divBdr>
                <w:top w:val="none" w:sz="0" w:space="0" w:color="auto"/>
                <w:left w:val="none" w:sz="0" w:space="0" w:color="auto"/>
                <w:bottom w:val="none" w:sz="0" w:space="0" w:color="auto"/>
                <w:right w:val="none" w:sz="0" w:space="0" w:color="auto"/>
              </w:divBdr>
            </w:div>
          </w:divsChild>
        </w:div>
        <w:div w:id="1583679452">
          <w:marLeft w:val="0"/>
          <w:marRight w:val="0"/>
          <w:marTop w:val="0"/>
          <w:marBottom w:val="0"/>
          <w:divBdr>
            <w:top w:val="none" w:sz="0" w:space="0" w:color="auto"/>
            <w:left w:val="none" w:sz="0" w:space="0" w:color="auto"/>
            <w:bottom w:val="none" w:sz="0" w:space="0" w:color="auto"/>
            <w:right w:val="none" w:sz="0" w:space="0" w:color="auto"/>
          </w:divBdr>
          <w:divsChild>
            <w:div w:id="262416633">
              <w:marLeft w:val="0"/>
              <w:marRight w:val="0"/>
              <w:marTop w:val="0"/>
              <w:marBottom w:val="0"/>
              <w:divBdr>
                <w:top w:val="none" w:sz="0" w:space="0" w:color="auto"/>
                <w:left w:val="none" w:sz="0" w:space="0" w:color="auto"/>
                <w:bottom w:val="none" w:sz="0" w:space="0" w:color="auto"/>
                <w:right w:val="none" w:sz="0" w:space="0" w:color="auto"/>
              </w:divBdr>
            </w:div>
          </w:divsChild>
        </w:div>
        <w:div w:id="1586724535">
          <w:marLeft w:val="0"/>
          <w:marRight w:val="0"/>
          <w:marTop w:val="0"/>
          <w:marBottom w:val="0"/>
          <w:divBdr>
            <w:top w:val="none" w:sz="0" w:space="0" w:color="auto"/>
            <w:left w:val="none" w:sz="0" w:space="0" w:color="auto"/>
            <w:bottom w:val="none" w:sz="0" w:space="0" w:color="auto"/>
            <w:right w:val="none" w:sz="0" w:space="0" w:color="auto"/>
          </w:divBdr>
          <w:divsChild>
            <w:div w:id="1391420325">
              <w:marLeft w:val="0"/>
              <w:marRight w:val="0"/>
              <w:marTop w:val="0"/>
              <w:marBottom w:val="0"/>
              <w:divBdr>
                <w:top w:val="none" w:sz="0" w:space="0" w:color="auto"/>
                <w:left w:val="none" w:sz="0" w:space="0" w:color="auto"/>
                <w:bottom w:val="none" w:sz="0" w:space="0" w:color="auto"/>
                <w:right w:val="none" w:sz="0" w:space="0" w:color="auto"/>
              </w:divBdr>
            </w:div>
          </w:divsChild>
        </w:div>
        <w:div w:id="1592467736">
          <w:marLeft w:val="0"/>
          <w:marRight w:val="0"/>
          <w:marTop w:val="0"/>
          <w:marBottom w:val="0"/>
          <w:divBdr>
            <w:top w:val="none" w:sz="0" w:space="0" w:color="auto"/>
            <w:left w:val="none" w:sz="0" w:space="0" w:color="auto"/>
            <w:bottom w:val="none" w:sz="0" w:space="0" w:color="auto"/>
            <w:right w:val="none" w:sz="0" w:space="0" w:color="auto"/>
          </w:divBdr>
          <w:divsChild>
            <w:div w:id="2028678500">
              <w:marLeft w:val="0"/>
              <w:marRight w:val="0"/>
              <w:marTop w:val="0"/>
              <w:marBottom w:val="0"/>
              <w:divBdr>
                <w:top w:val="none" w:sz="0" w:space="0" w:color="auto"/>
                <w:left w:val="none" w:sz="0" w:space="0" w:color="auto"/>
                <w:bottom w:val="none" w:sz="0" w:space="0" w:color="auto"/>
                <w:right w:val="none" w:sz="0" w:space="0" w:color="auto"/>
              </w:divBdr>
            </w:div>
          </w:divsChild>
        </w:div>
        <w:div w:id="1599484346">
          <w:marLeft w:val="0"/>
          <w:marRight w:val="0"/>
          <w:marTop w:val="0"/>
          <w:marBottom w:val="0"/>
          <w:divBdr>
            <w:top w:val="none" w:sz="0" w:space="0" w:color="auto"/>
            <w:left w:val="none" w:sz="0" w:space="0" w:color="auto"/>
            <w:bottom w:val="none" w:sz="0" w:space="0" w:color="auto"/>
            <w:right w:val="none" w:sz="0" w:space="0" w:color="auto"/>
          </w:divBdr>
          <w:divsChild>
            <w:div w:id="78722848">
              <w:marLeft w:val="0"/>
              <w:marRight w:val="0"/>
              <w:marTop w:val="0"/>
              <w:marBottom w:val="0"/>
              <w:divBdr>
                <w:top w:val="none" w:sz="0" w:space="0" w:color="auto"/>
                <w:left w:val="none" w:sz="0" w:space="0" w:color="auto"/>
                <w:bottom w:val="none" w:sz="0" w:space="0" w:color="auto"/>
                <w:right w:val="none" w:sz="0" w:space="0" w:color="auto"/>
              </w:divBdr>
            </w:div>
          </w:divsChild>
        </w:div>
        <w:div w:id="1604652268">
          <w:marLeft w:val="0"/>
          <w:marRight w:val="0"/>
          <w:marTop w:val="0"/>
          <w:marBottom w:val="0"/>
          <w:divBdr>
            <w:top w:val="none" w:sz="0" w:space="0" w:color="auto"/>
            <w:left w:val="none" w:sz="0" w:space="0" w:color="auto"/>
            <w:bottom w:val="none" w:sz="0" w:space="0" w:color="auto"/>
            <w:right w:val="none" w:sz="0" w:space="0" w:color="auto"/>
          </w:divBdr>
          <w:divsChild>
            <w:div w:id="1330475725">
              <w:marLeft w:val="0"/>
              <w:marRight w:val="0"/>
              <w:marTop w:val="0"/>
              <w:marBottom w:val="0"/>
              <w:divBdr>
                <w:top w:val="none" w:sz="0" w:space="0" w:color="auto"/>
                <w:left w:val="none" w:sz="0" w:space="0" w:color="auto"/>
                <w:bottom w:val="none" w:sz="0" w:space="0" w:color="auto"/>
                <w:right w:val="none" w:sz="0" w:space="0" w:color="auto"/>
              </w:divBdr>
            </w:div>
          </w:divsChild>
        </w:div>
        <w:div w:id="1610429270">
          <w:marLeft w:val="0"/>
          <w:marRight w:val="0"/>
          <w:marTop w:val="0"/>
          <w:marBottom w:val="0"/>
          <w:divBdr>
            <w:top w:val="none" w:sz="0" w:space="0" w:color="auto"/>
            <w:left w:val="none" w:sz="0" w:space="0" w:color="auto"/>
            <w:bottom w:val="none" w:sz="0" w:space="0" w:color="auto"/>
            <w:right w:val="none" w:sz="0" w:space="0" w:color="auto"/>
          </w:divBdr>
          <w:divsChild>
            <w:div w:id="523137511">
              <w:marLeft w:val="0"/>
              <w:marRight w:val="0"/>
              <w:marTop w:val="0"/>
              <w:marBottom w:val="0"/>
              <w:divBdr>
                <w:top w:val="none" w:sz="0" w:space="0" w:color="auto"/>
                <w:left w:val="none" w:sz="0" w:space="0" w:color="auto"/>
                <w:bottom w:val="none" w:sz="0" w:space="0" w:color="auto"/>
                <w:right w:val="none" w:sz="0" w:space="0" w:color="auto"/>
              </w:divBdr>
            </w:div>
          </w:divsChild>
        </w:div>
        <w:div w:id="1622152708">
          <w:marLeft w:val="0"/>
          <w:marRight w:val="0"/>
          <w:marTop w:val="0"/>
          <w:marBottom w:val="0"/>
          <w:divBdr>
            <w:top w:val="none" w:sz="0" w:space="0" w:color="auto"/>
            <w:left w:val="none" w:sz="0" w:space="0" w:color="auto"/>
            <w:bottom w:val="none" w:sz="0" w:space="0" w:color="auto"/>
            <w:right w:val="none" w:sz="0" w:space="0" w:color="auto"/>
          </w:divBdr>
          <w:divsChild>
            <w:div w:id="1938368904">
              <w:marLeft w:val="0"/>
              <w:marRight w:val="0"/>
              <w:marTop w:val="0"/>
              <w:marBottom w:val="0"/>
              <w:divBdr>
                <w:top w:val="none" w:sz="0" w:space="0" w:color="auto"/>
                <w:left w:val="none" w:sz="0" w:space="0" w:color="auto"/>
                <w:bottom w:val="none" w:sz="0" w:space="0" w:color="auto"/>
                <w:right w:val="none" w:sz="0" w:space="0" w:color="auto"/>
              </w:divBdr>
            </w:div>
          </w:divsChild>
        </w:div>
        <w:div w:id="1626345718">
          <w:marLeft w:val="0"/>
          <w:marRight w:val="0"/>
          <w:marTop w:val="0"/>
          <w:marBottom w:val="0"/>
          <w:divBdr>
            <w:top w:val="none" w:sz="0" w:space="0" w:color="auto"/>
            <w:left w:val="none" w:sz="0" w:space="0" w:color="auto"/>
            <w:bottom w:val="none" w:sz="0" w:space="0" w:color="auto"/>
            <w:right w:val="none" w:sz="0" w:space="0" w:color="auto"/>
          </w:divBdr>
          <w:divsChild>
            <w:div w:id="1481577326">
              <w:marLeft w:val="0"/>
              <w:marRight w:val="0"/>
              <w:marTop w:val="0"/>
              <w:marBottom w:val="0"/>
              <w:divBdr>
                <w:top w:val="none" w:sz="0" w:space="0" w:color="auto"/>
                <w:left w:val="none" w:sz="0" w:space="0" w:color="auto"/>
                <w:bottom w:val="none" w:sz="0" w:space="0" w:color="auto"/>
                <w:right w:val="none" w:sz="0" w:space="0" w:color="auto"/>
              </w:divBdr>
            </w:div>
          </w:divsChild>
        </w:div>
        <w:div w:id="1631595821">
          <w:marLeft w:val="0"/>
          <w:marRight w:val="0"/>
          <w:marTop w:val="0"/>
          <w:marBottom w:val="0"/>
          <w:divBdr>
            <w:top w:val="none" w:sz="0" w:space="0" w:color="auto"/>
            <w:left w:val="none" w:sz="0" w:space="0" w:color="auto"/>
            <w:bottom w:val="none" w:sz="0" w:space="0" w:color="auto"/>
            <w:right w:val="none" w:sz="0" w:space="0" w:color="auto"/>
          </w:divBdr>
          <w:divsChild>
            <w:div w:id="1917667716">
              <w:marLeft w:val="0"/>
              <w:marRight w:val="0"/>
              <w:marTop w:val="0"/>
              <w:marBottom w:val="0"/>
              <w:divBdr>
                <w:top w:val="none" w:sz="0" w:space="0" w:color="auto"/>
                <w:left w:val="none" w:sz="0" w:space="0" w:color="auto"/>
                <w:bottom w:val="none" w:sz="0" w:space="0" w:color="auto"/>
                <w:right w:val="none" w:sz="0" w:space="0" w:color="auto"/>
              </w:divBdr>
            </w:div>
          </w:divsChild>
        </w:div>
        <w:div w:id="1646937087">
          <w:marLeft w:val="0"/>
          <w:marRight w:val="0"/>
          <w:marTop w:val="0"/>
          <w:marBottom w:val="0"/>
          <w:divBdr>
            <w:top w:val="none" w:sz="0" w:space="0" w:color="auto"/>
            <w:left w:val="none" w:sz="0" w:space="0" w:color="auto"/>
            <w:bottom w:val="none" w:sz="0" w:space="0" w:color="auto"/>
            <w:right w:val="none" w:sz="0" w:space="0" w:color="auto"/>
          </w:divBdr>
          <w:divsChild>
            <w:div w:id="37365318">
              <w:marLeft w:val="0"/>
              <w:marRight w:val="0"/>
              <w:marTop w:val="0"/>
              <w:marBottom w:val="0"/>
              <w:divBdr>
                <w:top w:val="none" w:sz="0" w:space="0" w:color="auto"/>
                <w:left w:val="none" w:sz="0" w:space="0" w:color="auto"/>
                <w:bottom w:val="none" w:sz="0" w:space="0" w:color="auto"/>
                <w:right w:val="none" w:sz="0" w:space="0" w:color="auto"/>
              </w:divBdr>
            </w:div>
          </w:divsChild>
        </w:div>
        <w:div w:id="1656033974">
          <w:marLeft w:val="0"/>
          <w:marRight w:val="0"/>
          <w:marTop w:val="0"/>
          <w:marBottom w:val="0"/>
          <w:divBdr>
            <w:top w:val="none" w:sz="0" w:space="0" w:color="auto"/>
            <w:left w:val="none" w:sz="0" w:space="0" w:color="auto"/>
            <w:bottom w:val="none" w:sz="0" w:space="0" w:color="auto"/>
            <w:right w:val="none" w:sz="0" w:space="0" w:color="auto"/>
          </w:divBdr>
          <w:divsChild>
            <w:div w:id="650331126">
              <w:marLeft w:val="0"/>
              <w:marRight w:val="0"/>
              <w:marTop w:val="0"/>
              <w:marBottom w:val="0"/>
              <w:divBdr>
                <w:top w:val="none" w:sz="0" w:space="0" w:color="auto"/>
                <w:left w:val="none" w:sz="0" w:space="0" w:color="auto"/>
                <w:bottom w:val="none" w:sz="0" w:space="0" w:color="auto"/>
                <w:right w:val="none" w:sz="0" w:space="0" w:color="auto"/>
              </w:divBdr>
            </w:div>
          </w:divsChild>
        </w:div>
        <w:div w:id="1670788297">
          <w:marLeft w:val="0"/>
          <w:marRight w:val="0"/>
          <w:marTop w:val="0"/>
          <w:marBottom w:val="0"/>
          <w:divBdr>
            <w:top w:val="none" w:sz="0" w:space="0" w:color="auto"/>
            <w:left w:val="none" w:sz="0" w:space="0" w:color="auto"/>
            <w:bottom w:val="none" w:sz="0" w:space="0" w:color="auto"/>
            <w:right w:val="none" w:sz="0" w:space="0" w:color="auto"/>
          </w:divBdr>
          <w:divsChild>
            <w:div w:id="70007261">
              <w:marLeft w:val="0"/>
              <w:marRight w:val="0"/>
              <w:marTop w:val="0"/>
              <w:marBottom w:val="0"/>
              <w:divBdr>
                <w:top w:val="none" w:sz="0" w:space="0" w:color="auto"/>
                <w:left w:val="none" w:sz="0" w:space="0" w:color="auto"/>
                <w:bottom w:val="none" w:sz="0" w:space="0" w:color="auto"/>
                <w:right w:val="none" w:sz="0" w:space="0" w:color="auto"/>
              </w:divBdr>
            </w:div>
          </w:divsChild>
        </w:div>
        <w:div w:id="1682125811">
          <w:marLeft w:val="0"/>
          <w:marRight w:val="0"/>
          <w:marTop w:val="0"/>
          <w:marBottom w:val="0"/>
          <w:divBdr>
            <w:top w:val="none" w:sz="0" w:space="0" w:color="auto"/>
            <w:left w:val="none" w:sz="0" w:space="0" w:color="auto"/>
            <w:bottom w:val="none" w:sz="0" w:space="0" w:color="auto"/>
            <w:right w:val="none" w:sz="0" w:space="0" w:color="auto"/>
          </w:divBdr>
          <w:divsChild>
            <w:div w:id="1803573257">
              <w:marLeft w:val="0"/>
              <w:marRight w:val="0"/>
              <w:marTop w:val="0"/>
              <w:marBottom w:val="0"/>
              <w:divBdr>
                <w:top w:val="none" w:sz="0" w:space="0" w:color="auto"/>
                <w:left w:val="none" w:sz="0" w:space="0" w:color="auto"/>
                <w:bottom w:val="none" w:sz="0" w:space="0" w:color="auto"/>
                <w:right w:val="none" w:sz="0" w:space="0" w:color="auto"/>
              </w:divBdr>
            </w:div>
          </w:divsChild>
        </w:div>
        <w:div w:id="1685667349">
          <w:marLeft w:val="0"/>
          <w:marRight w:val="0"/>
          <w:marTop w:val="0"/>
          <w:marBottom w:val="0"/>
          <w:divBdr>
            <w:top w:val="none" w:sz="0" w:space="0" w:color="auto"/>
            <w:left w:val="none" w:sz="0" w:space="0" w:color="auto"/>
            <w:bottom w:val="none" w:sz="0" w:space="0" w:color="auto"/>
            <w:right w:val="none" w:sz="0" w:space="0" w:color="auto"/>
          </w:divBdr>
          <w:divsChild>
            <w:div w:id="1830169916">
              <w:marLeft w:val="0"/>
              <w:marRight w:val="0"/>
              <w:marTop w:val="0"/>
              <w:marBottom w:val="0"/>
              <w:divBdr>
                <w:top w:val="none" w:sz="0" w:space="0" w:color="auto"/>
                <w:left w:val="none" w:sz="0" w:space="0" w:color="auto"/>
                <w:bottom w:val="none" w:sz="0" w:space="0" w:color="auto"/>
                <w:right w:val="none" w:sz="0" w:space="0" w:color="auto"/>
              </w:divBdr>
            </w:div>
          </w:divsChild>
        </w:div>
        <w:div w:id="1686859918">
          <w:marLeft w:val="0"/>
          <w:marRight w:val="0"/>
          <w:marTop w:val="0"/>
          <w:marBottom w:val="0"/>
          <w:divBdr>
            <w:top w:val="none" w:sz="0" w:space="0" w:color="auto"/>
            <w:left w:val="none" w:sz="0" w:space="0" w:color="auto"/>
            <w:bottom w:val="none" w:sz="0" w:space="0" w:color="auto"/>
            <w:right w:val="none" w:sz="0" w:space="0" w:color="auto"/>
          </w:divBdr>
          <w:divsChild>
            <w:div w:id="979385778">
              <w:marLeft w:val="0"/>
              <w:marRight w:val="0"/>
              <w:marTop w:val="0"/>
              <w:marBottom w:val="0"/>
              <w:divBdr>
                <w:top w:val="none" w:sz="0" w:space="0" w:color="auto"/>
                <w:left w:val="none" w:sz="0" w:space="0" w:color="auto"/>
                <w:bottom w:val="none" w:sz="0" w:space="0" w:color="auto"/>
                <w:right w:val="none" w:sz="0" w:space="0" w:color="auto"/>
              </w:divBdr>
            </w:div>
          </w:divsChild>
        </w:div>
        <w:div w:id="1696270995">
          <w:marLeft w:val="0"/>
          <w:marRight w:val="0"/>
          <w:marTop w:val="0"/>
          <w:marBottom w:val="0"/>
          <w:divBdr>
            <w:top w:val="none" w:sz="0" w:space="0" w:color="auto"/>
            <w:left w:val="none" w:sz="0" w:space="0" w:color="auto"/>
            <w:bottom w:val="none" w:sz="0" w:space="0" w:color="auto"/>
            <w:right w:val="none" w:sz="0" w:space="0" w:color="auto"/>
          </w:divBdr>
          <w:divsChild>
            <w:div w:id="2081906060">
              <w:marLeft w:val="0"/>
              <w:marRight w:val="0"/>
              <w:marTop w:val="0"/>
              <w:marBottom w:val="0"/>
              <w:divBdr>
                <w:top w:val="none" w:sz="0" w:space="0" w:color="auto"/>
                <w:left w:val="none" w:sz="0" w:space="0" w:color="auto"/>
                <w:bottom w:val="none" w:sz="0" w:space="0" w:color="auto"/>
                <w:right w:val="none" w:sz="0" w:space="0" w:color="auto"/>
              </w:divBdr>
            </w:div>
          </w:divsChild>
        </w:div>
        <w:div w:id="1698389121">
          <w:marLeft w:val="0"/>
          <w:marRight w:val="0"/>
          <w:marTop w:val="0"/>
          <w:marBottom w:val="0"/>
          <w:divBdr>
            <w:top w:val="none" w:sz="0" w:space="0" w:color="auto"/>
            <w:left w:val="none" w:sz="0" w:space="0" w:color="auto"/>
            <w:bottom w:val="none" w:sz="0" w:space="0" w:color="auto"/>
            <w:right w:val="none" w:sz="0" w:space="0" w:color="auto"/>
          </w:divBdr>
          <w:divsChild>
            <w:div w:id="1148127705">
              <w:marLeft w:val="0"/>
              <w:marRight w:val="0"/>
              <w:marTop w:val="0"/>
              <w:marBottom w:val="0"/>
              <w:divBdr>
                <w:top w:val="none" w:sz="0" w:space="0" w:color="auto"/>
                <w:left w:val="none" w:sz="0" w:space="0" w:color="auto"/>
                <w:bottom w:val="none" w:sz="0" w:space="0" w:color="auto"/>
                <w:right w:val="none" w:sz="0" w:space="0" w:color="auto"/>
              </w:divBdr>
            </w:div>
          </w:divsChild>
        </w:div>
        <w:div w:id="1699349308">
          <w:marLeft w:val="0"/>
          <w:marRight w:val="0"/>
          <w:marTop w:val="0"/>
          <w:marBottom w:val="0"/>
          <w:divBdr>
            <w:top w:val="none" w:sz="0" w:space="0" w:color="auto"/>
            <w:left w:val="none" w:sz="0" w:space="0" w:color="auto"/>
            <w:bottom w:val="none" w:sz="0" w:space="0" w:color="auto"/>
            <w:right w:val="none" w:sz="0" w:space="0" w:color="auto"/>
          </w:divBdr>
          <w:divsChild>
            <w:div w:id="1958487976">
              <w:marLeft w:val="0"/>
              <w:marRight w:val="0"/>
              <w:marTop w:val="0"/>
              <w:marBottom w:val="0"/>
              <w:divBdr>
                <w:top w:val="none" w:sz="0" w:space="0" w:color="auto"/>
                <w:left w:val="none" w:sz="0" w:space="0" w:color="auto"/>
                <w:bottom w:val="none" w:sz="0" w:space="0" w:color="auto"/>
                <w:right w:val="none" w:sz="0" w:space="0" w:color="auto"/>
              </w:divBdr>
            </w:div>
          </w:divsChild>
        </w:div>
        <w:div w:id="1702783062">
          <w:marLeft w:val="0"/>
          <w:marRight w:val="0"/>
          <w:marTop w:val="0"/>
          <w:marBottom w:val="0"/>
          <w:divBdr>
            <w:top w:val="none" w:sz="0" w:space="0" w:color="auto"/>
            <w:left w:val="none" w:sz="0" w:space="0" w:color="auto"/>
            <w:bottom w:val="none" w:sz="0" w:space="0" w:color="auto"/>
            <w:right w:val="none" w:sz="0" w:space="0" w:color="auto"/>
          </w:divBdr>
          <w:divsChild>
            <w:div w:id="836533159">
              <w:marLeft w:val="0"/>
              <w:marRight w:val="0"/>
              <w:marTop w:val="0"/>
              <w:marBottom w:val="0"/>
              <w:divBdr>
                <w:top w:val="none" w:sz="0" w:space="0" w:color="auto"/>
                <w:left w:val="none" w:sz="0" w:space="0" w:color="auto"/>
                <w:bottom w:val="none" w:sz="0" w:space="0" w:color="auto"/>
                <w:right w:val="none" w:sz="0" w:space="0" w:color="auto"/>
              </w:divBdr>
            </w:div>
          </w:divsChild>
        </w:div>
        <w:div w:id="1703239021">
          <w:marLeft w:val="0"/>
          <w:marRight w:val="0"/>
          <w:marTop w:val="0"/>
          <w:marBottom w:val="0"/>
          <w:divBdr>
            <w:top w:val="none" w:sz="0" w:space="0" w:color="auto"/>
            <w:left w:val="none" w:sz="0" w:space="0" w:color="auto"/>
            <w:bottom w:val="none" w:sz="0" w:space="0" w:color="auto"/>
            <w:right w:val="none" w:sz="0" w:space="0" w:color="auto"/>
          </w:divBdr>
          <w:divsChild>
            <w:div w:id="1275596320">
              <w:marLeft w:val="0"/>
              <w:marRight w:val="0"/>
              <w:marTop w:val="0"/>
              <w:marBottom w:val="0"/>
              <w:divBdr>
                <w:top w:val="none" w:sz="0" w:space="0" w:color="auto"/>
                <w:left w:val="none" w:sz="0" w:space="0" w:color="auto"/>
                <w:bottom w:val="none" w:sz="0" w:space="0" w:color="auto"/>
                <w:right w:val="none" w:sz="0" w:space="0" w:color="auto"/>
              </w:divBdr>
            </w:div>
          </w:divsChild>
        </w:div>
        <w:div w:id="1717854005">
          <w:marLeft w:val="0"/>
          <w:marRight w:val="0"/>
          <w:marTop w:val="0"/>
          <w:marBottom w:val="0"/>
          <w:divBdr>
            <w:top w:val="none" w:sz="0" w:space="0" w:color="auto"/>
            <w:left w:val="none" w:sz="0" w:space="0" w:color="auto"/>
            <w:bottom w:val="none" w:sz="0" w:space="0" w:color="auto"/>
            <w:right w:val="none" w:sz="0" w:space="0" w:color="auto"/>
          </w:divBdr>
          <w:divsChild>
            <w:div w:id="702512399">
              <w:marLeft w:val="0"/>
              <w:marRight w:val="0"/>
              <w:marTop w:val="0"/>
              <w:marBottom w:val="0"/>
              <w:divBdr>
                <w:top w:val="none" w:sz="0" w:space="0" w:color="auto"/>
                <w:left w:val="none" w:sz="0" w:space="0" w:color="auto"/>
                <w:bottom w:val="none" w:sz="0" w:space="0" w:color="auto"/>
                <w:right w:val="none" w:sz="0" w:space="0" w:color="auto"/>
              </w:divBdr>
            </w:div>
          </w:divsChild>
        </w:div>
        <w:div w:id="1718160014">
          <w:marLeft w:val="0"/>
          <w:marRight w:val="0"/>
          <w:marTop w:val="0"/>
          <w:marBottom w:val="0"/>
          <w:divBdr>
            <w:top w:val="none" w:sz="0" w:space="0" w:color="auto"/>
            <w:left w:val="none" w:sz="0" w:space="0" w:color="auto"/>
            <w:bottom w:val="none" w:sz="0" w:space="0" w:color="auto"/>
            <w:right w:val="none" w:sz="0" w:space="0" w:color="auto"/>
          </w:divBdr>
          <w:divsChild>
            <w:div w:id="551577907">
              <w:marLeft w:val="0"/>
              <w:marRight w:val="0"/>
              <w:marTop w:val="0"/>
              <w:marBottom w:val="0"/>
              <w:divBdr>
                <w:top w:val="none" w:sz="0" w:space="0" w:color="auto"/>
                <w:left w:val="none" w:sz="0" w:space="0" w:color="auto"/>
                <w:bottom w:val="none" w:sz="0" w:space="0" w:color="auto"/>
                <w:right w:val="none" w:sz="0" w:space="0" w:color="auto"/>
              </w:divBdr>
            </w:div>
          </w:divsChild>
        </w:div>
        <w:div w:id="1723283990">
          <w:marLeft w:val="0"/>
          <w:marRight w:val="0"/>
          <w:marTop w:val="0"/>
          <w:marBottom w:val="0"/>
          <w:divBdr>
            <w:top w:val="none" w:sz="0" w:space="0" w:color="auto"/>
            <w:left w:val="none" w:sz="0" w:space="0" w:color="auto"/>
            <w:bottom w:val="none" w:sz="0" w:space="0" w:color="auto"/>
            <w:right w:val="none" w:sz="0" w:space="0" w:color="auto"/>
          </w:divBdr>
          <w:divsChild>
            <w:div w:id="103698954">
              <w:marLeft w:val="0"/>
              <w:marRight w:val="0"/>
              <w:marTop w:val="0"/>
              <w:marBottom w:val="0"/>
              <w:divBdr>
                <w:top w:val="none" w:sz="0" w:space="0" w:color="auto"/>
                <w:left w:val="none" w:sz="0" w:space="0" w:color="auto"/>
                <w:bottom w:val="none" w:sz="0" w:space="0" w:color="auto"/>
                <w:right w:val="none" w:sz="0" w:space="0" w:color="auto"/>
              </w:divBdr>
            </w:div>
          </w:divsChild>
        </w:div>
        <w:div w:id="1727024694">
          <w:marLeft w:val="0"/>
          <w:marRight w:val="0"/>
          <w:marTop w:val="0"/>
          <w:marBottom w:val="0"/>
          <w:divBdr>
            <w:top w:val="none" w:sz="0" w:space="0" w:color="auto"/>
            <w:left w:val="none" w:sz="0" w:space="0" w:color="auto"/>
            <w:bottom w:val="none" w:sz="0" w:space="0" w:color="auto"/>
            <w:right w:val="none" w:sz="0" w:space="0" w:color="auto"/>
          </w:divBdr>
          <w:divsChild>
            <w:div w:id="2053844307">
              <w:marLeft w:val="0"/>
              <w:marRight w:val="0"/>
              <w:marTop w:val="0"/>
              <w:marBottom w:val="0"/>
              <w:divBdr>
                <w:top w:val="none" w:sz="0" w:space="0" w:color="auto"/>
                <w:left w:val="none" w:sz="0" w:space="0" w:color="auto"/>
                <w:bottom w:val="none" w:sz="0" w:space="0" w:color="auto"/>
                <w:right w:val="none" w:sz="0" w:space="0" w:color="auto"/>
              </w:divBdr>
            </w:div>
          </w:divsChild>
        </w:div>
        <w:div w:id="1727140625">
          <w:marLeft w:val="0"/>
          <w:marRight w:val="0"/>
          <w:marTop w:val="0"/>
          <w:marBottom w:val="0"/>
          <w:divBdr>
            <w:top w:val="none" w:sz="0" w:space="0" w:color="auto"/>
            <w:left w:val="none" w:sz="0" w:space="0" w:color="auto"/>
            <w:bottom w:val="none" w:sz="0" w:space="0" w:color="auto"/>
            <w:right w:val="none" w:sz="0" w:space="0" w:color="auto"/>
          </w:divBdr>
          <w:divsChild>
            <w:div w:id="899172720">
              <w:marLeft w:val="0"/>
              <w:marRight w:val="0"/>
              <w:marTop w:val="0"/>
              <w:marBottom w:val="0"/>
              <w:divBdr>
                <w:top w:val="none" w:sz="0" w:space="0" w:color="auto"/>
                <w:left w:val="none" w:sz="0" w:space="0" w:color="auto"/>
                <w:bottom w:val="none" w:sz="0" w:space="0" w:color="auto"/>
                <w:right w:val="none" w:sz="0" w:space="0" w:color="auto"/>
              </w:divBdr>
            </w:div>
          </w:divsChild>
        </w:div>
        <w:div w:id="1729839921">
          <w:marLeft w:val="0"/>
          <w:marRight w:val="0"/>
          <w:marTop w:val="0"/>
          <w:marBottom w:val="0"/>
          <w:divBdr>
            <w:top w:val="none" w:sz="0" w:space="0" w:color="auto"/>
            <w:left w:val="none" w:sz="0" w:space="0" w:color="auto"/>
            <w:bottom w:val="none" w:sz="0" w:space="0" w:color="auto"/>
            <w:right w:val="none" w:sz="0" w:space="0" w:color="auto"/>
          </w:divBdr>
          <w:divsChild>
            <w:div w:id="532306593">
              <w:marLeft w:val="0"/>
              <w:marRight w:val="0"/>
              <w:marTop w:val="0"/>
              <w:marBottom w:val="0"/>
              <w:divBdr>
                <w:top w:val="none" w:sz="0" w:space="0" w:color="auto"/>
                <w:left w:val="none" w:sz="0" w:space="0" w:color="auto"/>
                <w:bottom w:val="none" w:sz="0" w:space="0" w:color="auto"/>
                <w:right w:val="none" w:sz="0" w:space="0" w:color="auto"/>
              </w:divBdr>
            </w:div>
          </w:divsChild>
        </w:div>
        <w:div w:id="1762675622">
          <w:marLeft w:val="0"/>
          <w:marRight w:val="0"/>
          <w:marTop w:val="0"/>
          <w:marBottom w:val="0"/>
          <w:divBdr>
            <w:top w:val="none" w:sz="0" w:space="0" w:color="auto"/>
            <w:left w:val="none" w:sz="0" w:space="0" w:color="auto"/>
            <w:bottom w:val="none" w:sz="0" w:space="0" w:color="auto"/>
            <w:right w:val="none" w:sz="0" w:space="0" w:color="auto"/>
          </w:divBdr>
          <w:divsChild>
            <w:div w:id="1493713500">
              <w:marLeft w:val="0"/>
              <w:marRight w:val="0"/>
              <w:marTop w:val="0"/>
              <w:marBottom w:val="0"/>
              <w:divBdr>
                <w:top w:val="none" w:sz="0" w:space="0" w:color="auto"/>
                <w:left w:val="none" w:sz="0" w:space="0" w:color="auto"/>
                <w:bottom w:val="none" w:sz="0" w:space="0" w:color="auto"/>
                <w:right w:val="none" w:sz="0" w:space="0" w:color="auto"/>
              </w:divBdr>
            </w:div>
          </w:divsChild>
        </w:div>
        <w:div w:id="1773358230">
          <w:marLeft w:val="0"/>
          <w:marRight w:val="0"/>
          <w:marTop w:val="0"/>
          <w:marBottom w:val="0"/>
          <w:divBdr>
            <w:top w:val="none" w:sz="0" w:space="0" w:color="auto"/>
            <w:left w:val="none" w:sz="0" w:space="0" w:color="auto"/>
            <w:bottom w:val="none" w:sz="0" w:space="0" w:color="auto"/>
            <w:right w:val="none" w:sz="0" w:space="0" w:color="auto"/>
          </w:divBdr>
          <w:divsChild>
            <w:div w:id="1518958249">
              <w:marLeft w:val="0"/>
              <w:marRight w:val="0"/>
              <w:marTop w:val="0"/>
              <w:marBottom w:val="0"/>
              <w:divBdr>
                <w:top w:val="none" w:sz="0" w:space="0" w:color="auto"/>
                <w:left w:val="none" w:sz="0" w:space="0" w:color="auto"/>
                <w:bottom w:val="none" w:sz="0" w:space="0" w:color="auto"/>
                <w:right w:val="none" w:sz="0" w:space="0" w:color="auto"/>
              </w:divBdr>
            </w:div>
          </w:divsChild>
        </w:div>
        <w:div w:id="1779062633">
          <w:marLeft w:val="0"/>
          <w:marRight w:val="0"/>
          <w:marTop w:val="0"/>
          <w:marBottom w:val="0"/>
          <w:divBdr>
            <w:top w:val="none" w:sz="0" w:space="0" w:color="auto"/>
            <w:left w:val="none" w:sz="0" w:space="0" w:color="auto"/>
            <w:bottom w:val="none" w:sz="0" w:space="0" w:color="auto"/>
            <w:right w:val="none" w:sz="0" w:space="0" w:color="auto"/>
          </w:divBdr>
          <w:divsChild>
            <w:div w:id="1962104447">
              <w:marLeft w:val="0"/>
              <w:marRight w:val="0"/>
              <w:marTop w:val="0"/>
              <w:marBottom w:val="0"/>
              <w:divBdr>
                <w:top w:val="none" w:sz="0" w:space="0" w:color="auto"/>
                <w:left w:val="none" w:sz="0" w:space="0" w:color="auto"/>
                <w:bottom w:val="none" w:sz="0" w:space="0" w:color="auto"/>
                <w:right w:val="none" w:sz="0" w:space="0" w:color="auto"/>
              </w:divBdr>
            </w:div>
          </w:divsChild>
        </w:div>
        <w:div w:id="1787969356">
          <w:marLeft w:val="0"/>
          <w:marRight w:val="0"/>
          <w:marTop w:val="0"/>
          <w:marBottom w:val="0"/>
          <w:divBdr>
            <w:top w:val="none" w:sz="0" w:space="0" w:color="auto"/>
            <w:left w:val="none" w:sz="0" w:space="0" w:color="auto"/>
            <w:bottom w:val="none" w:sz="0" w:space="0" w:color="auto"/>
            <w:right w:val="none" w:sz="0" w:space="0" w:color="auto"/>
          </w:divBdr>
          <w:divsChild>
            <w:div w:id="1314872910">
              <w:marLeft w:val="0"/>
              <w:marRight w:val="0"/>
              <w:marTop w:val="0"/>
              <w:marBottom w:val="0"/>
              <w:divBdr>
                <w:top w:val="none" w:sz="0" w:space="0" w:color="auto"/>
                <w:left w:val="none" w:sz="0" w:space="0" w:color="auto"/>
                <w:bottom w:val="none" w:sz="0" w:space="0" w:color="auto"/>
                <w:right w:val="none" w:sz="0" w:space="0" w:color="auto"/>
              </w:divBdr>
            </w:div>
            <w:div w:id="2082631806">
              <w:marLeft w:val="0"/>
              <w:marRight w:val="0"/>
              <w:marTop w:val="0"/>
              <w:marBottom w:val="0"/>
              <w:divBdr>
                <w:top w:val="none" w:sz="0" w:space="0" w:color="auto"/>
                <w:left w:val="none" w:sz="0" w:space="0" w:color="auto"/>
                <w:bottom w:val="none" w:sz="0" w:space="0" w:color="auto"/>
                <w:right w:val="none" w:sz="0" w:space="0" w:color="auto"/>
              </w:divBdr>
            </w:div>
          </w:divsChild>
        </w:div>
        <w:div w:id="1788544189">
          <w:marLeft w:val="0"/>
          <w:marRight w:val="0"/>
          <w:marTop w:val="0"/>
          <w:marBottom w:val="0"/>
          <w:divBdr>
            <w:top w:val="none" w:sz="0" w:space="0" w:color="auto"/>
            <w:left w:val="none" w:sz="0" w:space="0" w:color="auto"/>
            <w:bottom w:val="none" w:sz="0" w:space="0" w:color="auto"/>
            <w:right w:val="none" w:sz="0" w:space="0" w:color="auto"/>
          </w:divBdr>
          <w:divsChild>
            <w:div w:id="268203719">
              <w:marLeft w:val="0"/>
              <w:marRight w:val="0"/>
              <w:marTop w:val="0"/>
              <w:marBottom w:val="0"/>
              <w:divBdr>
                <w:top w:val="none" w:sz="0" w:space="0" w:color="auto"/>
                <w:left w:val="none" w:sz="0" w:space="0" w:color="auto"/>
                <w:bottom w:val="none" w:sz="0" w:space="0" w:color="auto"/>
                <w:right w:val="none" w:sz="0" w:space="0" w:color="auto"/>
              </w:divBdr>
            </w:div>
          </w:divsChild>
        </w:div>
        <w:div w:id="1788770431">
          <w:marLeft w:val="0"/>
          <w:marRight w:val="0"/>
          <w:marTop w:val="0"/>
          <w:marBottom w:val="0"/>
          <w:divBdr>
            <w:top w:val="none" w:sz="0" w:space="0" w:color="auto"/>
            <w:left w:val="none" w:sz="0" w:space="0" w:color="auto"/>
            <w:bottom w:val="none" w:sz="0" w:space="0" w:color="auto"/>
            <w:right w:val="none" w:sz="0" w:space="0" w:color="auto"/>
          </w:divBdr>
        </w:div>
        <w:div w:id="1793396623">
          <w:marLeft w:val="0"/>
          <w:marRight w:val="0"/>
          <w:marTop w:val="0"/>
          <w:marBottom w:val="0"/>
          <w:divBdr>
            <w:top w:val="none" w:sz="0" w:space="0" w:color="auto"/>
            <w:left w:val="none" w:sz="0" w:space="0" w:color="auto"/>
            <w:bottom w:val="none" w:sz="0" w:space="0" w:color="auto"/>
            <w:right w:val="none" w:sz="0" w:space="0" w:color="auto"/>
          </w:divBdr>
          <w:divsChild>
            <w:div w:id="1855338896">
              <w:marLeft w:val="0"/>
              <w:marRight w:val="0"/>
              <w:marTop w:val="0"/>
              <w:marBottom w:val="0"/>
              <w:divBdr>
                <w:top w:val="none" w:sz="0" w:space="0" w:color="auto"/>
                <w:left w:val="none" w:sz="0" w:space="0" w:color="auto"/>
                <w:bottom w:val="none" w:sz="0" w:space="0" w:color="auto"/>
                <w:right w:val="none" w:sz="0" w:space="0" w:color="auto"/>
              </w:divBdr>
            </w:div>
          </w:divsChild>
        </w:div>
        <w:div w:id="1797211234">
          <w:marLeft w:val="0"/>
          <w:marRight w:val="0"/>
          <w:marTop w:val="0"/>
          <w:marBottom w:val="0"/>
          <w:divBdr>
            <w:top w:val="none" w:sz="0" w:space="0" w:color="auto"/>
            <w:left w:val="none" w:sz="0" w:space="0" w:color="auto"/>
            <w:bottom w:val="none" w:sz="0" w:space="0" w:color="auto"/>
            <w:right w:val="none" w:sz="0" w:space="0" w:color="auto"/>
          </w:divBdr>
          <w:divsChild>
            <w:div w:id="882251910">
              <w:marLeft w:val="0"/>
              <w:marRight w:val="0"/>
              <w:marTop w:val="0"/>
              <w:marBottom w:val="0"/>
              <w:divBdr>
                <w:top w:val="none" w:sz="0" w:space="0" w:color="auto"/>
                <w:left w:val="none" w:sz="0" w:space="0" w:color="auto"/>
                <w:bottom w:val="none" w:sz="0" w:space="0" w:color="auto"/>
                <w:right w:val="none" w:sz="0" w:space="0" w:color="auto"/>
              </w:divBdr>
            </w:div>
            <w:div w:id="1054623110">
              <w:marLeft w:val="0"/>
              <w:marRight w:val="0"/>
              <w:marTop w:val="0"/>
              <w:marBottom w:val="0"/>
              <w:divBdr>
                <w:top w:val="none" w:sz="0" w:space="0" w:color="auto"/>
                <w:left w:val="none" w:sz="0" w:space="0" w:color="auto"/>
                <w:bottom w:val="none" w:sz="0" w:space="0" w:color="auto"/>
                <w:right w:val="none" w:sz="0" w:space="0" w:color="auto"/>
              </w:divBdr>
            </w:div>
          </w:divsChild>
        </w:div>
        <w:div w:id="1797485868">
          <w:marLeft w:val="0"/>
          <w:marRight w:val="0"/>
          <w:marTop w:val="0"/>
          <w:marBottom w:val="0"/>
          <w:divBdr>
            <w:top w:val="none" w:sz="0" w:space="0" w:color="auto"/>
            <w:left w:val="none" w:sz="0" w:space="0" w:color="auto"/>
            <w:bottom w:val="none" w:sz="0" w:space="0" w:color="auto"/>
            <w:right w:val="none" w:sz="0" w:space="0" w:color="auto"/>
          </w:divBdr>
          <w:divsChild>
            <w:div w:id="1016811718">
              <w:marLeft w:val="0"/>
              <w:marRight w:val="0"/>
              <w:marTop w:val="0"/>
              <w:marBottom w:val="0"/>
              <w:divBdr>
                <w:top w:val="none" w:sz="0" w:space="0" w:color="auto"/>
                <w:left w:val="none" w:sz="0" w:space="0" w:color="auto"/>
                <w:bottom w:val="none" w:sz="0" w:space="0" w:color="auto"/>
                <w:right w:val="none" w:sz="0" w:space="0" w:color="auto"/>
              </w:divBdr>
            </w:div>
          </w:divsChild>
        </w:div>
        <w:div w:id="1799911489">
          <w:marLeft w:val="0"/>
          <w:marRight w:val="0"/>
          <w:marTop w:val="0"/>
          <w:marBottom w:val="0"/>
          <w:divBdr>
            <w:top w:val="none" w:sz="0" w:space="0" w:color="auto"/>
            <w:left w:val="none" w:sz="0" w:space="0" w:color="auto"/>
            <w:bottom w:val="none" w:sz="0" w:space="0" w:color="auto"/>
            <w:right w:val="none" w:sz="0" w:space="0" w:color="auto"/>
          </w:divBdr>
          <w:divsChild>
            <w:div w:id="2025862734">
              <w:marLeft w:val="0"/>
              <w:marRight w:val="0"/>
              <w:marTop w:val="0"/>
              <w:marBottom w:val="0"/>
              <w:divBdr>
                <w:top w:val="none" w:sz="0" w:space="0" w:color="auto"/>
                <w:left w:val="none" w:sz="0" w:space="0" w:color="auto"/>
                <w:bottom w:val="none" w:sz="0" w:space="0" w:color="auto"/>
                <w:right w:val="none" w:sz="0" w:space="0" w:color="auto"/>
              </w:divBdr>
            </w:div>
          </w:divsChild>
        </w:div>
        <w:div w:id="1802109844">
          <w:marLeft w:val="0"/>
          <w:marRight w:val="0"/>
          <w:marTop w:val="0"/>
          <w:marBottom w:val="0"/>
          <w:divBdr>
            <w:top w:val="none" w:sz="0" w:space="0" w:color="auto"/>
            <w:left w:val="none" w:sz="0" w:space="0" w:color="auto"/>
            <w:bottom w:val="none" w:sz="0" w:space="0" w:color="auto"/>
            <w:right w:val="none" w:sz="0" w:space="0" w:color="auto"/>
          </w:divBdr>
          <w:divsChild>
            <w:div w:id="24141033">
              <w:marLeft w:val="0"/>
              <w:marRight w:val="0"/>
              <w:marTop w:val="0"/>
              <w:marBottom w:val="0"/>
              <w:divBdr>
                <w:top w:val="none" w:sz="0" w:space="0" w:color="auto"/>
                <w:left w:val="none" w:sz="0" w:space="0" w:color="auto"/>
                <w:bottom w:val="none" w:sz="0" w:space="0" w:color="auto"/>
                <w:right w:val="none" w:sz="0" w:space="0" w:color="auto"/>
              </w:divBdr>
            </w:div>
          </w:divsChild>
        </w:div>
        <w:div w:id="1809392168">
          <w:marLeft w:val="0"/>
          <w:marRight w:val="0"/>
          <w:marTop w:val="0"/>
          <w:marBottom w:val="0"/>
          <w:divBdr>
            <w:top w:val="none" w:sz="0" w:space="0" w:color="auto"/>
            <w:left w:val="none" w:sz="0" w:space="0" w:color="auto"/>
            <w:bottom w:val="none" w:sz="0" w:space="0" w:color="auto"/>
            <w:right w:val="none" w:sz="0" w:space="0" w:color="auto"/>
          </w:divBdr>
          <w:divsChild>
            <w:div w:id="645359112">
              <w:marLeft w:val="0"/>
              <w:marRight w:val="0"/>
              <w:marTop w:val="0"/>
              <w:marBottom w:val="0"/>
              <w:divBdr>
                <w:top w:val="none" w:sz="0" w:space="0" w:color="auto"/>
                <w:left w:val="none" w:sz="0" w:space="0" w:color="auto"/>
                <w:bottom w:val="none" w:sz="0" w:space="0" w:color="auto"/>
                <w:right w:val="none" w:sz="0" w:space="0" w:color="auto"/>
              </w:divBdr>
            </w:div>
          </w:divsChild>
        </w:div>
        <w:div w:id="1813712347">
          <w:marLeft w:val="0"/>
          <w:marRight w:val="0"/>
          <w:marTop w:val="0"/>
          <w:marBottom w:val="0"/>
          <w:divBdr>
            <w:top w:val="none" w:sz="0" w:space="0" w:color="auto"/>
            <w:left w:val="none" w:sz="0" w:space="0" w:color="auto"/>
            <w:bottom w:val="none" w:sz="0" w:space="0" w:color="auto"/>
            <w:right w:val="none" w:sz="0" w:space="0" w:color="auto"/>
          </w:divBdr>
          <w:divsChild>
            <w:div w:id="885795739">
              <w:marLeft w:val="0"/>
              <w:marRight w:val="0"/>
              <w:marTop w:val="0"/>
              <w:marBottom w:val="0"/>
              <w:divBdr>
                <w:top w:val="none" w:sz="0" w:space="0" w:color="auto"/>
                <w:left w:val="none" w:sz="0" w:space="0" w:color="auto"/>
                <w:bottom w:val="none" w:sz="0" w:space="0" w:color="auto"/>
                <w:right w:val="none" w:sz="0" w:space="0" w:color="auto"/>
              </w:divBdr>
            </w:div>
          </w:divsChild>
        </w:div>
        <w:div w:id="1816603358">
          <w:marLeft w:val="0"/>
          <w:marRight w:val="0"/>
          <w:marTop w:val="0"/>
          <w:marBottom w:val="0"/>
          <w:divBdr>
            <w:top w:val="none" w:sz="0" w:space="0" w:color="auto"/>
            <w:left w:val="none" w:sz="0" w:space="0" w:color="auto"/>
            <w:bottom w:val="none" w:sz="0" w:space="0" w:color="auto"/>
            <w:right w:val="none" w:sz="0" w:space="0" w:color="auto"/>
          </w:divBdr>
          <w:divsChild>
            <w:div w:id="929463698">
              <w:marLeft w:val="0"/>
              <w:marRight w:val="0"/>
              <w:marTop w:val="0"/>
              <w:marBottom w:val="0"/>
              <w:divBdr>
                <w:top w:val="none" w:sz="0" w:space="0" w:color="auto"/>
                <w:left w:val="none" w:sz="0" w:space="0" w:color="auto"/>
                <w:bottom w:val="none" w:sz="0" w:space="0" w:color="auto"/>
                <w:right w:val="none" w:sz="0" w:space="0" w:color="auto"/>
              </w:divBdr>
            </w:div>
          </w:divsChild>
        </w:div>
        <w:div w:id="1819834430">
          <w:marLeft w:val="0"/>
          <w:marRight w:val="0"/>
          <w:marTop w:val="0"/>
          <w:marBottom w:val="0"/>
          <w:divBdr>
            <w:top w:val="none" w:sz="0" w:space="0" w:color="auto"/>
            <w:left w:val="none" w:sz="0" w:space="0" w:color="auto"/>
            <w:bottom w:val="none" w:sz="0" w:space="0" w:color="auto"/>
            <w:right w:val="none" w:sz="0" w:space="0" w:color="auto"/>
          </w:divBdr>
          <w:divsChild>
            <w:div w:id="433942765">
              <w:marLeft w:val="0"/>
              <w:marRight w:val="0"/>
              <w:marTop w:val="0"/>
              <w:marBottom w:val="0"/>
              <w:divBdr>
                <w:top w:val="none" w:sz="0" w:space="0" w:color="auto"/>
                <w:left w:val="none" w:sz="0" w:space="0" w:color="auto"/>
                <w:bottom w:val="none" w:sz="0" w:space="0" w:color="auto"/>
                <w:right w:val="none" w:sz="0" w:space="0" w:color="auto"/>
              </w:divBdr>
            </w:div>
          </w:divsChild>
        </w:div>
        <w:div w:id="1822651103">
          <w:marLeft w:val="0"/>
          <w:marRight w:val="0"/>
          <w:marTop w:val="0"/>
          <w:marBottom w:val="0"/>
          <w:divBdr>
            <w:top w:val="none" w:sz="0" w:space="0" w:color="auto"/>
            <w:left w:val="none" w:sz="0" w:space="0" w:color="auto"/>
            <w:bottom w:val="none" w:sz="0" w:space="0" w:color="auto"/>
            <w:right w:val="none" w:sz="0" w:space="0" w:color="auto"/>
          </w:divBdr>
          <w:divsChild>
            <w:div w:id="379288771">
              <w:marLeft w:val="0"/>
              <w:marRight w:val="0"/>
              <w:marTop w:val="0"/>
              <w:marBottom w:val="0"/>
              <w:divBdr>
                <w:top w:val="none" w:sz="0" w:space="0" w:color="auto"/>
                <w:left w:val="none" w:sz="0" w:space="0" w:color="auto"/>
                <w:bottom w:val="none" w:sz="0" w:space="0" w:color="auto"/>
                <w:right w:val="none" w:sz="0" w:space="0" w:color="auto"/>
              </w:divBdr>
            </w:div>
          </w:divsChild>
        </w:div>
        <w:div w:id="1824661370">
          <w:marLeft w:val="0"/>
          <w:marRight w:val="0"/>
          <w:marTop w:val="0"/>
          <w:marBottom w:val="0"/>
          <w:divBdr>
            <w:top w:val="none" w:sz="0" w:space="0" w:color="auto"/>
            <w:left w:val="none" w:sz="0" w:space="0" w:color="auto"/>
            <w:bottom w:val="none" w:sz="0" w:space="0" w:color="auto"/>
            <w:right w:val="none" w:sz="0" w:space="0" w:color="auto"/>
          </w:divBdr>
          <w:divsChild>
            <w:div w:id="1500383309">
              <w:marLeft w:val="0"/>
              <w:marRight w:val="0"/>
              <w:marTop w:val="0"/>
              <w:marBottom w:val="0"/>
              <w:divBdr>
                <w:top w:val="none" w:sz="0" w:space="0" w:color="auto"/>
                <w:left w:val="none" w:sz="0" w:space="0" w:color="auto"/>
                <w:bottom w:val="none" w:sz="0" w:space="0" w:color="auto"/>
                <w:right w:val="none" w:sz="0" w:space="0" w:color="auto"/>
              </w:divBdr>
            </w:div>
          </w:divsChild>
        </w:div>
        <w:div w:id="1826045508">
          <w:marLeft w:val="0"/>
          <w:marRight w:val="0"/>
          <w:marTop w:val="0"/>
          <w:marBottom w:val="0"/>
          <w:divBdr>
            <w:top w:val="none" w:sz="0" w:space="0" w:color="auto"/>
            <w:left w:val="none" w:sz="0" w:space="0" w:color="auto"/>
            <w:bottom w:val="none" w:sz="0" w:space="0" w:color="auto"/>
            <w:right w:val="none" w:sz="0" w:space="0" w:color="auto"/>
          </w:divBdr>
          <w:divsChild>
            <w:div w:id="540896680">
              <w:marLeft w:val="0"/>
              <w:marRight w:val="0"/>
              <w:marTop w:val="0"/>
              <w:marBottom w:val="0"/>
              <w:divBdr>
                <w:top w:val="none" w:sz="0" w:space="0" w:color="auto"/>
                <w:left w:val="none" w:sz="0" w:space="0" w:color="auto"/>
                <w:bottom w:val="none" w:sz="0" w:space="0" w:color="auto"/>
                <w:right w:val="none" w:sz="0" w:space="0" w:color="auto"/>
              </w:divBdr>
            </w:div>
          </w:divsChild>
        </w:div>
        <w:div w:id="1832484268">
          <w:marLeft w:val="0"/>
          <w:marRight w:val="0"/>
          <w:marTop w:val="0"/>
          <w:marBottom w:val="0"/>
          <w:divBdr>
            <w:top w:val="none" w:sz="0" w:space="0" w:color="auto"/>
            <w:left w:val="none" w:sz="0" w:space="0" w:color="auto"/>
            <w:bottom w:val="none" w:sz="0" w:space="0" w:color="auto"/>
            <w:right w:val="none" w:sz="0" w:space="0" w:color="auto"/>
          </w:divBdr>
          <w:divsChild>
            <w:div w:id="955986116">
              <w:marLeft w:val="0"/>
              <w:marRight w:val="0"/>
              <w:marTop w:val="0"/>
              <w:marBottom w:val="0"/>
              <w:divBdr>
                <w:top w:val="none" w:sz="0" w:space="0" w:color="auto"/>
                <w:left w:val="none" w:sz="0" w:space="0" w:color="auto"/>
                <w:bottom w:val="none" w:sz="0" w:space="0" w:color="auto"/>
                <w:right w:val="none" w:sz="0" w:space="0" w:color="auto"/>
              </w:divBdr>
            </w:div>
          </w:divsChild>
        </w:div>
        <w:div w:id="1845510104">
          <w:marLeft w:val="0"/>
          <w:marRight w:val="0"/>
          <w:marTop w:val="0"/>
          <w:marBottom w:val="0"/>
          <w:divBdr>
            <w:top w:val="none" w:sz="0" w:space="0" w:color="auto"/>
            <w:left w:val="none" w:sz="0" w:space="0" w:color="auto"/>
            <w:bottom w:val="none" w:sz="0" w:space="0" w:color="auto"/>
            <w:right w:val="none" w:sz="0" w:space="0" w:color="auto"/>
          </w:divBdr>
          <w:divsChild>
            <w:div w:id="1740790463">
              <w:marLeft w:val="0"/>
              <w:marRight w:val="0"/>
              <w:marTop w:val="0"/>
              <w:marBottom w:val="0"/>
              <w:divBdr>
                <w:top w:val="none" w:sz="0" w:space="0" w:color="auto"/>
                <w:left w:val="none" w:sz="0" w:space="0" w:color="auto"/>
                <w:bottom w:val="none" w:sz="0" w:space="0" w:color="auto"/>
                <w:right w:val="none" w:sz="0" w:space="0" w:color="auto"/>
              </w:divBdr>
            </w:div>
          </w:divsChild>
        </w:div>
        <w:div w:id="1848013850">
          <w:marLeft w:val="0"/>
          <w:marRight w:val="0"/>
          <w:marTop w:val="0"/>
          <w:marBottom w:val="0"/>
          <w:divBdr>
            <w:top w:val="none" w:sz="0" w:space="0" w:color="auto"/>
            <w:left w:val="none" w:sz="0" w:space="0" w:color="auto"/>
            <w:bottom w:val="none" w:sz="0" w:space="0" w:color="auto"/>
            <w:right w:val="none" w:sz="0" w:space="0" w:color="auto"/>
          </w:divBdr>
          <w:divsChild>
            <w:div w:id="1031997030">
              <w:marLeft w:val="0"/>
              <w:marRight w:val="0"/>
              <w:marTop w:val="0"/>
              <w:marBottom w:val="0"/>
              <w:divBdr>
                <w:top w:val="none" w:sz="0" w:space="0" w:color="auto"/>
                <w:left w:val="none" w:sz="0" w:space="0" w:color="auto"/>
                <w:bottom w:val="none" w:sz="0" w:space="0" w:color="auto"/>
                <w:right w:val="none" w:sz="0" w:space="0" w:color="auto"/>
              </w:divBdr>
            </w:div>
          </w:divsChild>
        </w:div>
        <w:div w:id="1851486005">
          <w:marLeft w:val="0"/>
          <w:marRight w:val="0"/>
          <w:marTop w:val="0"/>
          <w:marBottom w:val="0"/>
          <w:divBdr>
            <w:top w:val="none" w:sz="0" w:space="0" w:color="auto"/>
            <w:left w:val="none" w:sz="0" w:space="0" w:color="auto"/>
            <w:bottom w:val="none" w:sz="0" w:space="0" w:color="auto"/>
            <w:right w:val="none" w:sz="0" w:space="0" w:color="auto"/>
          </w:divBdr>
          <w:divsChild>
            <w:div w:id="1417901220">
              <w:marLeft w:val="0"/>
              <w:marRight w:val="0"/>
              <w:marTop w:val="0"/>
              <w:marBottom w:val="0"/>
              <w:divBdr>
                <w:top w:val="none" w:sz="0" w:space="0" w:color="auto"/>
                <w:left w:val="none" w:sz="0" w:space="0" w:color="auto"/>
                <w:bottom w:val="none" w:sz="0" w:space="0" w:color="auto"/>
                <w:right w:val="none" w:sz="0" w:space="0" w:color="auto"/>
              </w:divBdr>
            </w:div>
          </w:divsChild>
        </w:div>
        <w:div w:id="1851943962">
          <w:marLeft w:val="0"/>
          <w:marRight w:val="0"/>
          <w:marTop w:val="0"/>
          <w:marBottom w:val="0"/>
          <w:divBdr>
            <w:top w:val="none" w:sz="0" w:space="0" w:color="auto"/>
            <w:left w:val="none" w:sz="0" w:space="0" w:color="auto"/>
            <w:bottom w:val="none" w:sz="0" w:space="0" w:color="auto"/>
            <w:right w:val="none" w:sz="0" w:space="0" w:color="auto"/>
          </w:divBdr>
          <w:divsChild>
            <w:div w:id="164562076">
              <w:marLeft w:val="0"/>
              <w:marRight w:val="0"/>
              <w:marTop w:val="0"/>
              <w:marBottom w:val="0"/>
              <w:divBdr>
                <w:top w:val="none" w:sz="0" w:space="0" w:color="auto"/>
                <w:left w:val="none" w:sz="0" w:space="0" w:color="auto"/>
                <w:bottom w:val="none" w:sz="0" w:space="0" w:color="auto"/>
                <w:right w:val="none" w:sz="0" w:space="0" w:color="auto"/>
              </w:divBdr>
            </w:div>
            <w:div w:id="346491677">
              <w:marLeft w:val="0"/>
              <w:marRight w:val="0"/>
              <w:marTop w:val="0"/>
              <w:marBottom w:val="0"/>
              <w:divBdr>
                <w:top w:val="none" w:sz="0" w:space="0" w:color="auto"/>
                <w:left w:val="none" w:sz="0" w:space="0" w:color="auto"/>
                <w:bottom w:val="none" w:sz="0" w:space="0" w:color="auto"/>
                <w:right w:val="none" w:sz="0" w:space="0" w:color="auto"/>
              </w:divBdr>
            </w:div>
            <w:div w:id="350766045">
              <w:marLeft w:val="0"/>
              <w:marRight w:val="0"/>
              <w:marTop w:val="0"/>
              <w:marBottom w:val="0"/>
              <w:divBdr>
                <w:top w:val="none" w:sz="0" w:space="0" w:color="auto"/>
                <w:left w:val="none" w:sz="0" w:space="0" w:color="auto"/>
                <w:bottom w:val="none" w:sz="0" w:space="0" w:color="auto"/>
                <w:right w:val="none" w:sz="0" w:space="0" w:color="auto"/>
              </w:divBdr>
            </w:div>
            <w:div w:id="533731981">
              <w:marLeft w:val="0"/>
              <w:marRight w:val="0"/>
              <w:marTop w:val="0"/>
              <w:marBottom w:val="0"/>
              <w:divBdr>
                <w:top w:val="none" w:sz="0" w:space="0" w:color="auto"/>
                <w:left w:val="none" w:sz="0" w:space="0" w:color="auto"/>
                <w:bottom w:val="none" w:sz="0" w:space="0" w:color="auto"/>
                <w:right w:val="none" w:sz="0" w:space="0" w:color="auto"/>
              </w:divBdr>
            </w:div>
            <w:div w:id="790785280">
              <w:marLeft w:val="0"/>
              <w:marRight w:val="0"/>
              <w:marTop w:val="0"/>
              <w:marBottom w:val="0"/>
              <w:divBdr>
                <w:top w:val="none" w:sz="0" w:space="0" w:color="auto"/>
                <w:left w:val="none" w:sz="0" w:space="0" w:color="auto"/>
                <w:bottom w:val="none" w:sz="0" w:space="0" w:color="auto"/>
                <w:right w:val="none" w:sz="0" w:space="0" w:color="auto"/>
              </w:divBdr>
            </w:div>
            <w:div w:id="969242864">
              <w:marLeft w:val="0"/>
              <w:marRight w:val="0"/>
              <w:marTop w:val="0"/>
              <w:marBottom w:val="0"/>
              <w:divBdr>
                <w:top w:val="none" w:sz="0" w:space="0" w:color="auto"/>
                <w:left w:val="none" w:sz="0" w:space="0" w:color="auto"/>
                <w:bottom w:val="none" w:sz="0" w:space="0" w:color="auto"/>
                <w:right w:val="none" w:sz="0" w:space="0" w:color="auto"/>
              </w:divBdr>
            </w:div>
            <w:div w:id="976882667">
              <w:marLeft w:val="0"/>
              <w:marRight w:val="0"/>
              <w:marTop w:val="0"/>
              <w:marBottom w:val="0"/>
              <w:divBdr>
                <w:top w:val="none" w:sz="0" w:space="0" w:color="auto"/>
                <w:left w:val="none" w:sz="0" w:space="0" w:color="auto"/>
                <w:bottom w:val="none" w:sz="0" w:space="0" w:color="auto"/>
                <w:right w:val="none" w:sz="0" w:space="0" w:color="auto"/>
              </w:divBdr>
            </w:div>
            <w:div w:id="998339389">
              <w:marLeft w:val="0"/>
              <w:marRight w:val="0"/>
              <w:marTop w:val="0"/>
              <w:marBottom w:val="0"/>
              <w:divBdr>
                <w:top w:val="none" w:sz="0" w:space="0" w:color="auto"/>
                <w:left w:val="none" w:sz="0" w:space="0" w:color="auto"/>
                <w:bottom w:val="none" w:sz="0" w:space="0" w:color="auto"/>
                <w:right w:val="none" w:sz="0" w:space="0" w:color="auto"/>
              </w:divBdr>
            </w:div>
            <w:div w:id="1911888642">
              <w:marLeft w:val="0"/>
              <w:marRight w:val="0"/>
              <w:marTop w:val="0"/>
              <w:marBottom w:val="0"/>
              <w:divBdr>
                <w:top w:val="none" w:sz="0" w:space="0" w:color="auto"/>
                <w:left w:val="none" w:sz="0" w:space="0" w:color="auto"/>
                <w:bottom w:val="none" w:sz="0" w:space="0" w:color="auto"/>
                <w:right w:val="none" w:sz="0" w:space="0" w:color="auto"/>
              </w:divBdr>
            </w:div>
          </w:divsChild>
        </w:div>
        <w:div w:id="1862433392">
          <w:marLeft w:val="0"/>
          <w:marRight w:val="0"/>
          <w:marTop w:val="0"/>
          <w:marBottom w:val="0"/>
          <w:divBdr>
            <w:top w:val="none" w:sz="0" w:space="0" w:color="auto"/>
            <w:left w:val="none" w:sz="0" w:space="0" w:color="auto"/>
            <w:bottom w:val="none" w:sz="0" w:space="0" w:color="auto"/>
            <w:right w:val="none" w:sz="0" w:space="0" w:color="auto"/>
          </w:divBdr>
          <w:divsChild>
            <w:div w:id="286552195">
              <w:marLeft w:val="0"/>
              <w:marRight w:val="0"/>
              <w:marTop w:val="0"/>
              <w:marBottom w:val="0"/>
              <w:divBdr>
                <w:top w:val="none" w:sz="0" w:space="0" w:color="auto"/>
                <w:left w:val="none" w:sz="0" w:space="0" w:color="auto"/>
                <w:bottom w:val="none" w:sz="0" w:space="0" w:color="auto"/>
                <w:right w:val="none" w:sz="0" w:space="0" w:color="auto"/>
              </w:divBdr>
            </w:div>
          </w:divsChild>
        </w:div>
        <w:div w:id="1867326180">
          <w:marLeft w:val="0"/>
          <w:marRight w:val="0"/>
          <w:marTop w:val="0"/>
          <w:marBottom w:val="0"/>
          <w:divBdr>
            <w:top w:val="none" w:sz="0" w:space="0" w:color="auto"/>
            <w:left w:val="none" w:sz="0" w:space="0" w:color="auto"/>
            <w:bottom w:val="none" w:sz="0" w:space="0" w:color="auto"/>
            <w:right w:val="none" w:sz="0" w:space="0" w:color="auto"/>
          </w:divBdr>
          <w:divsChild>
            <w:div w:id="941960451">
              <w:marLeft w:val="0"/>
              <w:marRight w:val="0"/>
              <w:marTop w:val="0"/>
              <w:marBottom w:val="0"/>
              <w:divBdr>
                <w:top w:val="none" w:sz="0" w:space="0" w:color="auto"/>
                <w:left w:val="none" w:sz="0" w:space="0" w:color="auto"/>
                <w:bottom w:val="none" w:sz="0" w:space="0" w:color="auto"/>
                <w:right w:val="none" w:sz="0" w:space="0" w:color="auto"/>
              </w:divBdr>
            </w:div>
          </w:divsChild>
        </w:div>
        <w:div w:id="1872650561">
          <w:marLeft w:val="0"/>
          <w:marRight w:val="0"/>
          <w:marTop w:val="0"/>
          <w:marBottom w:val="0"/>
          <w:divBdr>
            <w:top w:val="none" w:sz="0" w:space="0" w:color="auto"/>
            <w:left w:val="none" w:sz="0" w:space="0" w:color="auto"/>
            <w:bottom w:val="none" w:sz="0" w:space="0" w:color="auto"/>
            <w:right w:val="none" w:sz="0" w:space="0" w:color="auto"/>
          </w:divBdr>
          <w:divsChild>
            <w:div w:id="724719648">
              <w:marLeft w:val="0"/>
              <w:marRight w:val="0"/>
              <w:marTop w:val="0"/>
              <w:marBottom w:val="0"/>
              <w:divBdr>
                <w:top w:val="none" w:sz="0" w:space="0" w:color="auto"/>
                <w:left w:val="none" w:sz="0" w:space="0" w:color="auto"/>
                <w:bottom w:val="none" w:sz="0" w:space="0" w:color="auto"/>
                <w:right w:val="none" w:sz="0" w:space="0" w:color="auto"/>
              </w:divBdr>
            </w:div>
          </w:divsChild>
        </w:div>
        <w:div w:id="1874610408">
          <w:marLeft w:val="0"/>
          <w:marRight w:val="0"/>
          <w:marTop w:val="0"/>
          <w:marBottom w:val="0"/>
          <w:divBdr>
            <w:top w:val="none" w:sz="0" w:space="0" w:color="auto"/>
            <w:left w:val="none" w:sz="0" w:space="0" w:color="auto"/>
            <w:bottom w:val="none" w:sz="0" w:space="0" w:color="auto"/>
            <w:right w:val="none" w:sz="0" w:space="0" w:color="auto"/>
          </w:divBdr>
          <w:divsChild>
            <w:div w:id="808984978">
              <w:marLeft w:val="0"/>
              <w:marRight w:val="0"/>
              <w:marTop w:val="0"/>
              <w:marBottom w:val="0"/>
              <w:divBdr>
                <w:top w:val="none" w:sz="0" w:space="0" w:color="auto"/>
                <w:left w:val="none" w:sz="0" w:space="0" w:color="auto"/>
                <w:bottom w:val="none" w:sz="0" w:space="0" w:color="auto"/>
                <w:right w:val="none" w:sz="0" w:space="0" w:color="auto"/>
              </w:divBdr>
            </w:div>
          </w:divsChild>
        </w:div>
        <w:div w:id="1874926069">
          <w:marLeft w:val="0"/>
          <w:marRight w:val="0"/>
          <w:marTop w:val="0"/>
          <w:marBottom w:val="0"/>
          <w:divBdr>
            <w:top w:val="none" w:sz="0" w:space="0" w:color="auto"/>
            <w:left w:val="none" w:sz="0" w:space="0" w:color="auto"/>
            <w:bottom w:val="none" w:sz="0" w:space="0" w:color="auto"/>
            <w:right w:val="none" w:sz="0" w:space="0" w:color="auto"/>
          </w:divBdr>
          <w:divsChild>
            <w:div w:id="1000423765">
              <w:marLeft w:val="0"/>
              <w:marRight w:val="0"/>
              <w:marTop w:val="0"/>
              <w:marBottom w:val="0"/>
              <w:divBdr>
                <w:top w:val="none" w:sz="0" w:space="0" w:color="auto"/>
                <w:left w:val="none" w:sz="0" w:space="0" w:color="auto"/>
                <w:bottom w:val="none" w:sz="0" w:space="0" w:color="auto"/>
                <w:right w:val="none" w:sz="0" w:space="0" w:color="auto"/>
              </w:divBdr>
            </w:div>
          </w:divsChild>
        </w:div>
        <w:div w:id="1881242642">
          <w:marLeft w:val="0"/>
          <w:marRight w:val="0"/>
          <w:marTop w:val="0"/>
          <w:marBottom w:val="0"/>
          <w:divBdr>
            <w:top w:val="none" w:sz="0" w:space="0" w:color="auto"/>
            <w:left w:val="none" w:sz="0" w:space="0" w:color="auto"/>
            <w:bottom w:val="none" w:sz="0" w:space="0" w:color="auto"/>
            <w:right w:val="none" w:sz="0" w:space="0" w:color="auto"/>
          </w:divBdr>
          <w:divsChild>
            <w:div w:id="3481408">
              <w:marLeft w:val="0"/>
              <w:marRight w:val="0"/>
              <w:marTop w:val="0"/>
              <w:marBottom w:val="0"/>
              <w:divBdr>
                <w:top w:val="none" w:sz="0" w:space="0" w:color="auto"/>
                <w:left w:val="none" w:sz="0" w:space="0" w:color="auto"/>
                <w:bottom w:val="none" w:sz="0" w:space="0" w:color="auto"/>
                <w:right w:val="none" w:sz="0" w:space="0" w:color="auto"/>
              </w:divBdr>
            </w:div>
          </w:divsChild>
        </w:div>
        <w:div w:id="1881243614">
          <w:marLeft w:val="0"/>
          <w:marRight w:val="0"/>
          <w:marTop w:val="0"/>
          <w:marBottom w:val="0"/>
          <w:divBdr>
            <w:top w:val="none" w:sz="0" w:space="0" w:color="auto"/>
            <w:left w:val="none" w:sz="0" w:space="0" w:color="auto"/>
            <w:bottom w:val="none" w:sz="0" w:space="0" w:color="auto"/>
            <w:right w:val="none" w:sz="0" w:space="0" w:color="auto"/>
          </w:divBdr>
          <w:divsChild>
            <w:div w:id="738942845">
              <w:marLeft w:val="0"/>
              <w:marRight w:val="0"/>
              <w:marTop w:val="0"/>
              <w:marBottom w:val="0"/>
              <w:divBdr>
                <w:top w:val="none" w:sz="0" w:space="0" w:color="auto"/>
                <w:left w:val="none" w:sz="0" w:space="0" w:color="auto"/>
                <w:bottom w:val="none" w:sz="0" w:space="0" w:color="auto"/>
                <w:right w:val="none" w:sz="0" w:space="0" w:color="auto"/>
              </w:divBdr>
            </w:div>
          </w:divsChild>
        </w:div>
        <w:div w:id="1883707937">
          <w:marLeft w:val="0"/>
          <w:marRight w:val="0"/>
          <w:marTop w:val="0"/>
          <w:marBottom w:val="0"/>
          <w:divBdr>
            <w:top w:val="none" w:sz="0" w:space="0" w:color="auto"/>
            <w:left w:val="none" w:sz="0" w:space="0" w:color="auto"/>
            <w:bottom w:val="none" w:sz="0" w:space="0" w:color="auto"/>
            <w:right w:val="none" w:sz="0" w:space="0" w:color="auto"/>
          </w:divBdr>
          <w:divsChild>
            <w:div w:id="91367309">
              <w:marLeft w:val="0"/>
              <w:marRight w:val="0"/>
              <w:marTop w:val="0"/>
              <w:marBottom w:val="0"/>
              <w:divBdr>
                <w:top w:val="none" w:sz="0" w:space="0" w:color="auto"/>
                <w:left w:val="none" w:sz="0" w:space="0" w:color="auto"/>
                <w:bottom w:val="none" w:sz="0" w:space="0" w:color="auto"/>
                <w:right w:val="none" w:sz="0" w:space="0" w:color="auto"/>
              </w:divBdr>
            </w:div>
          </w:divsChild>
        </w:div>
        <w:div w:id="1884249697">
          <w:marLeft w:val="0"/>
          <w:marRight w:val="0"/>
          <w:marTop w:val="0"/>
          <w:marBottom w:val="0"/>
          <w:divBdr>
            <w:top w:val="none" w:sz="0" w:space="0" w:color="auto"/>
            <w:left w:val="none" w:sz="0" w:space="0" w:color="auto"/>
            <w:bottom w:val="none" w:sz="0" w:space="0" w:color="auto"/>
            <w:right w:val="none" w:sz="0" w:space="0" w:color="auto"/>
          </w:divBdr>
          <w:divsChild>
            <w:div w:id="1357072605">
              <w:marLeft w:val="0"/>
              <w:marRight w:val="0"/>
              <w:marTop w:val="0"/>
              <w:marBottom w:val="0"/>
              <w:divBdr>
                <w:top w:val="none" w:sz="0" w:space="0" w:color="auto"/>
                <w:left w:val="none" w:sz="0" w:space="0" w:color="auto"/>
                <w:bottom w:val="none" w:sz="0" w:space="0" w:color="auto"/>
                <w:right w:val="none" w:sz="0" w:space="0" w:color="auto"/>
              </w:divBdr>
            </w:div>
          </w:divsChild>
        </w:div>
        <w:div w:id="1885091743">
          <w:marLeft w:val="0"/>
          <w:marRight w:val="0"/>
          <w:marTop w:val="0"/>
          <w:marBottom w:val="0"/>
          <w:divBdr>
            <w:top w:val="none" w:sz="0" w:space="0" w:color="auto"/>
            <w:left w:val="none" w:sz="0" w:space="0" w:color="auto"/>
            <w:bottom w:val="none" w:sz="0" w:space="0" w:color="auto"/>
            <w:right w:val="none" w:sz="0" w:space="0" w:color="auto"/>
          </w:divBdr>
          <w:divsChild>
            <w:div w:id="381174768">
              <w:marLeft w:val="0"/>
              <w:marRight w:val="0"/>
              <w:marTop w:val="0"/>
              <w:marBottom w:val="0"/>
              <w:divBdr>
                <w:top w:val="none" w:sz="0" w:space="0" w:color="auto"/>
                <w:left w:val="none" w:sz="0" w:space="0" w:color="auto"/>
                <w:bottom w:val="none" w:sz="0" w:space="0" w:color="auto"/>
                <w:right w:val="none" w:sz="0" w:space="0" w:color="auto"/>
              </w:divBdr>
            </w:div>
          </w:divsChild>
        </w:div>
        <w:div w:id="1890604951">
          <w:marLeft w:val="0"/>
          <w:marRight w:val="0"/>
          <w:marTop w:val="0"/>
          <w:marBottom w:val="0"/>
          <w:divBdr>
            <w:top w:val="none" w:sz="0" w:space="0" w:color="auto"/>
            <w:left w:val="none" w:sz="0" w:space="0" w:color="auto"/>
            <w:bottom w:val="none" w:sz="0" w:space="0" w:color="auto"/>
            <w:right w:val="none" w:sz="0" w:space="0" w:color="auto"/>
          </w:divBdr>
          <w:divsChild>
            <w:div w:id="1187210423">
              <w:marLeft w:val="0"/>
              <w:marRight w:val="0"/>
              <w:marTop w:val="0"/>
              <w:marBottom w:val="0"/>
              <w:divBdr>
                <w:top w:val="none" w:sz="0" w:space="0" w:color="auto"/>
                <w:left w:val="none" w:sz="0" w:space="0" w:color="auto"/>
                <w:bottom w:val="none" w:sz="0" w:space="0" w:color="auto"/>
                <w:right w:val="none" w:sz="0" w:space="0" w:color="auto"/>
              </w:divBdr>
            </w:div>
          </w:divsChild>
        </w:div>
        <w:div w:id="1894193967">
          <w:marLeft w:val="0"/>
          <w:marRight w:val="0"/>
          <w:marTop w:val="0"/>
          <w:marBottom w:val="0"/>
          <w:divBdr>
            <w:top w:val="none" w:sz="0" w:space="0" w:color="auto"/>
            <w:left w:val="none" w:sz="0" w:space="0" w:color="auto"/>
            <w:bottom w:val="none" w:sz="0" w:space="0" w:color="auto"/>
            <w:right w:val="none" w:sz="0" w:space="0" w:color="auto"/>
          </w:divBdr>
          <w:divsChild>
            <w:div w:id="1978293631">
              <w:marLeft w:val="0"/>
              <w:marRight w:val="0"/>
              <w:marTop w:val="0"/>
              <w:marBottom w:val="0"/>
              <w:divBdr>
                <w:top w:val="none" w:sz="0" w:space="0" w:color="auto"/>
                <w:left w:val="none" w:sz="0" w:space="0" w:color="auto"/>
                <w:bottom w:val="none" w:sz="0" w:space="0" w:color="auto"/>
                <w:right w:val="none" w:sz="0" w:space="0" w:color="auto"/>
              </w:divBdr>
            </w:div>
          </w:divsChild>
        </w:div>
        <w:div w:id="1898121968">
          <w:marLeft w:val="0"/>
          <w:marRight w:val="0"/>
          <w:marTop w:val="0"/>
          <w:marBottom w:val="0"/>
          <w:divBdr>
            <w:top w:val="none" w:sz="0" w:space="0" w:color="auto"/>
            <w:left w:val="none" w:sz="0" w:space="0" w:color="auto"/>
            <w:bottom w:val="none" w:sz="0" w:space="0" w:color="auto"/>
            <w:right w:val="none" w:sz="0" w:space="0" w:color="auto"/>
          </w:divBdr>
          <w:divsChild>
            <w:div w:id="321156858">
              <w:marLeft w:val="0"/>
              <w:marRight w:val="0"/>
              <w:marTop w:val="0"/>
              <w:marBottom w:val="0"/>
              <w:divBdr>
                <w:top w:val="none" w:sz="0" w:space="0" w:color="auto"/>
                <w:left w:val="none" w:sz="0" w:space="0" w:color="auto"/>
                <w:bottom w:val="none" w:sz="0" w:space="0" w:color="auto"/>
                <w:right w:val="none" w:sz="0" w:space="0" w:color="auto"/>
              </w:divBdr>
            </w:div>
          </w:divsChild>
        </w:div>
        <w:div w:id="1906065635">
          <w:marLeft w:val="0"/>
          <w:marRight w:val="0"/>
          <w:marTop w:val="0"/>
          <w:marBottom w:val="0"/>
          <w:divBdr>
            <w:top w:val="none" w:sz="0" w:space="0" w:color="auto"/>
            <w:left w:val="none" w:sz="0" w:space="0" w:color="auto"/>
            <w:bottom w:val="none" w:sz="0" w:space="0" w:color="auto"/>
            <w:right w:val="none" w:sz="0" w:space="0" w:color="auto"/>
          </w:divBdr>
          <w:divsChild>
            <w:div w:id="725569911">
              <w:marLeft w:val="0"/>
              <w:marRight w:val="0"/>
              <w:marTop w:val="0"/>
              <w:marBottom w:val="0"/>
              <w:divBdr>
                <w:top w:val="none" w:sz="0" w:space="0" w:color="auto"/>
                <w:left w:val="none" w:sz="0" w:space="0" w:color="auto"/>
                <w:bottom w:val="none" w:sz="0" w:space="0" w:color="auto"/>
                <w:right w:val="none" w:sz="0" w:space="0" w:color="auto"/>
              </w:divBdr>
            </w:div>
            <w:div w:id="1968316645">
              <w:marLeft w:val="0"/>
              <w:marRight w:val="0"/>
              <w:marTop w:val="0"/>
              <w:marBottom w:val="0"/>
              <w:divBdr>
                <w:top w:val="none" w:sz="0" w:space="0" w:color="auto"/>
                <w:left w:val="none" w:sz="0" w:space="0" w:color="auto"/>
                <w:bottom w:val="none" w:sz="0" w:space="0" w:color="auto"/>
                <w:right w:val="none" w:sz="0" w:space="0" w:color="auto"/>
              </w:divBdr>
            </w:div>
          </w:divsChild>
        </w:div>
        <w:div w:id="1916620514">
          <w:marLeft w:val="0"/>
          <w:marRight w:val="0"/>
          <w:marTop w:val="0"/>
          <w:marBottom w:val="0"/>
          <w:divBdr>
            <w:top w:val="none" w:sz="0" w:space="0" w:color="auto"/>
            <w:left w:val="none" w:sz="0" w:space="0" w:color="auto"/>
            <w:bottom w:val="none" w:sz="0" w:space="0" w:color="auto"/>
            <w:right w:val="none" w:sz="0" w:space="0" w:color="auto"/>
          </w:divBdr>
          <w:divsChild>
            <w:div w:id="820122124">
              <w:marLeft w:val="0"/>
              <w:marRight w:val="0"/>
              <w:marTop w:val="0"/>
              <w:marBottom w:val="0"/>
              <w:divBdr>
                <w:top w:val="none" w:sz="0" w:space="0" w:color="auto"/>
                <w:left w:val="none" w:sz="0" w:space="0" w:color="auto"/>
                <w:bottom w:val="none" w:sz="0" w:space="0" w:color="auto"/>
                <w:right w:val="none" w:sz="0" w:space="0" w:color="auto"/>
              </w:divBdr>
            </w:div>
            <w:div w:id="1511679476">
              <w:marLeft w:val="0"/>
              <w:marRight w:val="0"/>
              <w:marTop w:val="0"/>
              <w:marBottom w:val="0"/>
              <w:divBdr>
                <w:top w:val="none" w:sz="0" w:space="0" w:color="auto"/>
                <w:left w:val="none" w:sz="0" w:space="0" w:color="auto"/>
                <w:bottom w:val="none" w:sz="0" w:space="0" w:color="auto"/>
                <w:right w:val="none" w:sz="0" w:space="0" w:color="auto"/>
              </w:divBdr>
            </w:div>
          </w:divsChild>
        </w:div>
        <w:div w:id="1923251636">
          <w:marLeft w:val="0"/>
          <w:marRight w:val="0"/>
          <w:marTop w:val="0"/>
          <w:marBottom w:val="0"/>
          <w:divBdr>
            <w:top w:val="none" w:sz="0" w:space="0" w:color="auto"/>
            <w:left w:val="none" w:sz="0" w:space="0" w:color="auto"/>
            <w:bottom w:val="none" w:sz="0" w:space="0" w:color="auto"/>
            <w:right w:val="none" w:sz="0" w:space="0" w:color="auto"/>
          </w:divBdr>
          <w:divsChild>
            <w:div w:id="178928951">
              <w:marLeft w:val="0"/>
              <w:marRight w:val="0"/>
              <w:marTop w:val="0"/>
              <w:marBottom w:val="0"/>
              <w:divBdr>
                <w:top w:val="none" w:sz="0" w:space="0" w:color="auto"/>
                <w:left w:val="none" w:sz="0" w:space="0" w:color="auto"/>
                <w:bottom w:val="none" w:sz="0" w:space="0" w:color="auto"/>
                <w:right w:val="none" w:sz="0" w:space="0" w:color="auto"/>
              </w:divBdr>
            </w:div>
          </w:divsChild>
        </w:div>
        <w:div w:id="1926300931">
          <w:marLeft w:val="0"/>
          <w:marRight w:val="0"/>
          <w:marTop w:val="0"/>
          <w:marBottom w:val="0"/>
          <w:divBdr>
            <w:top w:val="none" w:sz="0" w:space="0" w:color="auto"/>
            <w:left w:val="none" w:sz="0" w:space="0" w:color="auto"/>
            <w:bottom w:val="none" w:sz="0" w:space="0" w:color="auto"/>
            <w:right w:val="none" w:sz="0" w:space="0" w:color="auto"/>
          </w:divBdr>
          <w:divsChild>
            <w:div w:id="77334181">
              <w:marLeft w:val="0"/>
              <w:marRight w:val="0"/>
              <w:marTop w:val="0"/>
              <w:marBottom w:val="0"/>
              <w:divBdr>
                <w:top w:val="none" w:sz="0" w:space="0" w:color="auto"/>
                <w:left w:val="none" w:sz="0" w:space="0" w:color="auto"/>
                <w:bottom w:val="none" w:sz="0" w:space="0" w:color="auto"/>
                <w:right w:val="none" w:sz="0" w:space="0" w:color="auto"/>
              </w:divBdr>
            </w:div>
          </w:divsChild>
        </w:div>
        <w:div w:id="1927759484">
          <w:marLeft w:val="0"/>
          <w:marRight w:val="0"/>
          <w:marTop w:val="0"/>
          <w:marBottom w:val="0"/>
          <w:divBdr>
            <w:top w:val="none" w:sz="0" w:space="0" w:color="auto"/>
            <w:left w:val="none" w:sz="0" w:space="0" w:color="auto"/>
            <w:bottom w:val="none" w:sz="0" w:space="0" w:color="auto"/>
            <w:right w:val="none" w:sz="0" w:space="0" w:color="auto"/>
          </w:divBdr>
          <w:divsChild>
            <w:div w:id="1046756192">
              <w:marLeft w:val="0"/>
              <w:marRight w:val="0"/>
              <w:marTop w:val="0"/>
              <w:marBottom w:val="0"/>
              <w:divBdr>
                <w:top w:val="none" w:sz="0" w:space="0" w:color="auto"/>
                <w:left w:val="none" w:sz="0" w:space="0" w:color="auto"/>
                <w:bottom w:val="none" w:sz="0" w:space="0" w:color="auto"/>
                <w:right w:val="none" w:sz="0" w:space="0" w:color="auto"/>
              </w:divBdr>
            </w:div>
          </w:divsChild>
        </w:div>
        <w:div w:id="1928152464">
          <w:marLeft w:val="0"/>
          <w:marRight w:val="0"/>
          <w:marTop w:val="0"/>
          <w:marBottom w:val="0"/>
          <w:divBdr>
            <w:top w:val="none" w:sz="0" w:space="0" w:color="auto"/>
            <w:left w:val="none" w:sz="0" w:space="0" w:color="auto"/>
            <w:bottom w:val="none" w:sz="0" w:space="0" w:color="auto"/>
            <w:right w:val="none" w:sz="0" w:space="0" w:color="auto"/>
          </w:divBdr>
          <w:divsChild>
            <w:div w:id="627930246">
              <w:marLeft w:val="0"/>
              <w:marRight w:val="0"/>
              <w:marTop w:val="0"/>
              <w:marBottom w:val="0"/>
              <w:divBdr>
                <w:top w:val="none" w:sz="0" w:space="0" w:color="auto"/>
                <w:left w:val="none" w:sz="0" w:space="0" w:color="auto"/>
                <w:bottom w:val="none" w:sz="0" w:space="0" w:color="auto"/>
                <w:right w:val="none" w:sz="0" w:space="0" w:color="auto"/>
              </w:divBdr>
            </w:div>
          </w:divsChild>
        </w:div>
        <w:div w:id="1939945124">
          <w:marLeft w:val="0"/>
          <w:marRight w:val="0"/>
          <w:marTop w:val="0"/>
          <w:marBottom w:val="0"/>
          <w:divBdr>
            <w:top w:val="none" w:sz="0" w:space="0" w:color="auto"/>
            <w:left w:val="none" w:sz="0" w:space="0" w:color="auto"/>
            <w:bottom w:val="none" w:sz="0" w:space="0" w:color="auto"/>
            <w:right w:val="none" w:sz="0" w:space="0" w:color="auto"/>
          </w:divBdr>
          <w:divsChild>
            <w:div w:id="630553798">
              <w:marLeft w:val="0"/>
              <w:marRight w:val="0"/>
              <w:marTop w:val="0"/>
              <w:marBottom w:val="0"/>
              <w:divBdr>
                <w:top w:val="none" w:sz="0" w:space="0" w:color="auto"/>
                <w:left w:val="none" w:sz="0" w:space="0" w:color="auto"/>
                <w:bottom w:val="none" w:sz="0" w:space="0" w:color="auto"/>
                <w:right w:val="none" w:sz="0" w:space="0" w:color="auto"/>
              </w:divBdr>
            </w:div>
          </w:divsChild>
        </w:div>
        <w:div w:id="1942688845">
          <w:marLeft w:val="0"/>
          <w:marRight w:val="0"/>
          <w:marTop w:val="0"/>
          <w:marBottom w:val="0"/>
          <w:divBdr>
            <w:top w:val="none" w:sz="0" w:space="0" w:color="auto"/>
            <w:left w:val="none" w:sz="0" w:space="0" w:color="auto"/>
            <w:bottom w:val="none" w:sz="0" w:space="0" w:color="auto"/>
            <w:right w:val="none" w:sz="0" w:space="0" w:color="auto"/>
          </w:divBdr>
          <w:divsChild>
            <w:div w:id="106438474">
              <w:marLeft w:val="0"/>
              <w:marRight w:val="0"/>
              <w:marTop w:val="0"/>
              <w:marBottom w:val="0"/>
              <w:divBdr>
                <w:top w:val="none" w:sz="0" w:space="0" w:color="auto"/>
                <w:left w:val="none" w:sz="0" w:space="0" w:color="auto"/>
                <w:bottom w:val="none" w:sz="0" w:space="0" w:color="auto"/>
                <w:right w:val="none" w:sz="0" w:space="0" w:color="auto"/>
              </w:divBdr>
            </w:div>
          </w:divsChild>
        </w:div>
        <w:div w:id="1944681661">
          <w:marLeft w:val="0"/>
          <w:marRight w:val="0"/>
          <w:marTop w:val="0"/>
          <w:marBottom w:val="0"/>
          <w:divBdr>
            <w:top w:val="none" w:sz="0" w:space="0" w:color="auto"/>
            <w:left w:val="none" w:sz="0" w:space="0" w:color="auto"/>
            <w:bottom w:val="none" w:sz="0" w:space="0" w:color="auto"/>
            <w:right w:val="none" w:sz="0" w:space="0" w:color="auto"/>
          </w:divBdr>
          <w:divsChild>
            <w:div w:id="2145274057">
              <w:marLeft w:val="0"/>
              <w:marRight w:val="0"/>
              <w:marTop w:val="0"/>
              <w:marBottom w:val="0"/>
              <w:divBdr>
                <w:top w:val="none" w:sz="0" w:space="0" w:color="auto"/>
                <w:left w:val="none" w:sz="0" w:space="0" w:color="auto"/>
                <w:bottom w:val="none" w:sz="0" w:space="0" w:color="auto"/>
                <w:right w:val="none" w:sz="0" w:space="0" w:color="auto"/>
              </w:divBdr>
            </w:div>
          </w:divsChild>
        </w:div>
        <w:div w:id="1952542316">
          <w:marLeft w:val="0"/>
          <w:marRight w:val="0"/>
          <w:marTop w:val="0"/>
          <w:marBottom w:val="0"/>
          <w:divBdr>
            <w:top w:val="none" w:sz="0" w:space="0" w:color="auto"/>
            <w:left w:val="none" w:sz="0" w:space="0" w:color="auto"/>
            <w:bottom w:val="none" w:sz="0" w:space="0" w:color="auto"/>
            <w:right w:val="none" w:sz="0" w:space="0" w:color="auto"/>
          </w:divBdr>
          <w:divsChild>
            <w:div w:id="1336759358">
              <w:marLeft w:val="0"/>
              <w:marRight w:val="0"/>
              <w:marTop w:val="0"/>
              <w:marBottom w:val="0"/>
              <w:divBdr>
                <w:top w:val="none" w:sz="0" w:space="0" w:color="auto"/>
                <w:left w:val="none" w:sz="0" w:space="0" w:color="auto"/>
                <w:bottom w:val="none" w:sz="0" w:space="0" w:color="auto"/>
                <w:right w:val="none" w:sz="0" w:space="0" w:color="auto"/>
              </w:divBdr>
            </w:div>
          </w:divsChild>
        </w:div>
        <w:div w:id="1954246915">
          <w:marLeft w:val="0"/>
          <w:marRight w:val="0"/>
          <w:marTop w:val="0"/>
          <w:marBottom w:val="0"/>
          <w:divBdr>
            <w:top w:val="none" w:sz="0" w:space="0" w:color="auto"/>
            <w:left w:val="none" w:sz="0" w:space="0" w:color="auto"/>
            <w:bottom w:val="none" w:sz="0" w:space="0" w:color="auto"/>
            <w:right w:val="none" w:sz="0" w:space="0" w:color="auto"/>
          </w:divBdr>
          <w:divsChild>
            <w:div w:id="1135831390">
              <w:marLeft w:val="0"/>
              <w:marRight w:val="0"/>
              <w:marTop w:val="0"/>
              <w:marBottom w:val="0"/>
              <w:divBdr>
                <w:top w:val="none" w:sz="0" w:space="0" w:color="auto"/>
                <w:left w:val="none" w:sz="0" w:space="0" w:color="auto"/>
                <w:bottom w:val="none" w:sz="0" w:space="0" w:color="auto"/>
                <w:right w:val="none" w:sz="0" w:space="0" w:color="auto"/>
              </w:divBdr>
            </w:div>
          </w:divsChild>
        </w:div>
        <w:div w:id="1956666956">
          <w:marLeft w:val="0"/>
          <w:marRight w:val="0"/>
          <w:marTop w:val="0"/>
          <w:marBottom w:val="0"/>
          <w:divBdr>
            <w:top w:val="none" w:sz="0" w:space="0" w:color="auto"/>
            <w:left w:val="none" w:sz="0" w:space="0" w:color="auto"/>
            <w:bottom w:val="none" w:sz="0" w:space="0" w:color="auto"/>
            <w:right w:val="none" w:sz="0" w:space="0" w:color="auto"/>
          </w:divBdr>
          <w:divsChild>
            <w:div w:id="284699264">
              <w:marLeft w:val="0"/>
              <w:marRight w:val="0"/>
              <w:marTop w:val="0"/>
              <w:marBottom w:val="0"/>
              <w:divBdr>
                <w:top w:val="none" w:sz="0" w:space="0" w:color="auto"/>
                <w:left w:val="none" w:sz="0" w:space="0" w:color="auto"/>
                <w:bottom w:val="none" w:sz="0" w:space="0" w:color="auto"/>
                <w:right w:val="none" w:sz="0" w:space="0" w:color="auto"/>
              </w:divBdr>
            </w:div>
          </w:divsChild>
        </w:div>
        <w:div w:id="1972904246">
          <w:marLeft w:val="0"/>
          <w:marRight w:val="0"/>
          <w:marTop w:val="0"/>
          <w:marBottom w:val="0"/>
          <w:divBdr>
            <w:top w:val="none" w:sz="0" w:space="0" w:color="auto"/>
            <w:left w:val="none" w:sz="0" w:space="0" w:color="auto"/>
            <w:bottom w:val="none" w:sz="0" w:space="0" w:color="auto"/>
            <w:right w:val="none" w:sz="0" w:space="0" w:color="auto"/>
          </w:divBdr>
          <w:divsChild>
            <w:div w:id="1883056230">
              <w:marLeft w:val="0"/>
              <w:marRight w:val="0"/>
              <w:marTop w:val="0"/>
              <w:marBottom w:val="0"/>
              <w:divBdr>
                <w:top w:val="none" w:sz="0" w:space="0" w:color="auto"/>
                <w:left w:val="none" w:sz="0" w:space="0" w:color="auto"/>
                <w:bottom w:val="none" w:sz="0" w:space="0" w:color="auto"/>
                <w:right w:val="none" w:sz="0" w:space="0" w:color="auto"/>
              </w:divBdr>
            </w:div>
          </w:divsChild>
        </w:div>
        <w:div w:id="1989165309">
          <w:marLeft w:val="0"/>
          <w:marRight w:val="0"/>
          <w:marTop w:val="0"/>
          <w:marBottom w:val="0"/>
          <w:divBdr>
            <w:top w:val="none" w:sz="0" w:space="0" w:color="auto"/>
            <w:left w:val="none" w:sz="0" w:space="0" w:color="auto"/>
            <w:bottom w:val="none" w:sz="0" w:space="0" w:color="auto"/>
            <w:right w:val="none" w:sz="0" w:space="0" w:color="auto"/>
          </w:divBdr>
          <w:divsChild>
            <w:div w:id="599022408">
              <w:marLeft w:val="0"/>
              <w:marRight w:val="0"/>
              <w:marTop w:val="0"/>
              <w:marBottom w:val="0"/>
              <w:divBdr>
                <w:top w:val="none" w:sz="0" w:space="0" w:color="auto"/>
                <w:left w:val="none" w:sz="0" w:space="0" w:color="auto"/>
                <w:bottom w:val="none" w:sz="0" w:space="0" w:color="auto"/>
                <w:right w:val="none" w:sz="0" w:space="0" w:color="auto"/>
              </w:divBdr>
            </w:div>
          </w:divsChild>
        </w:div>
        <w:div w:id="1994333262">
          <w:marLeft w:val="0"/>
          <w:marRight w:val="0"/>
          <w:marTop w:val="0"/>
          <w:marBottom w:val="0"/>
          <w:divBdr>
            <w:top w:val="none" w:sz="0" w:space="0" w:color="auto"/>
            <w:left w:val="none" w:sz="0" w:space="0" w:color="auto"/>
            <w:bottom w:val="none" w:sz="0" w:space="0" w:color="auto"/>
            <w:right w:val="none" w:sz="0" w:space="0" w:color="auto"/>
          </w:divBdr>
          <w:divsChild>
            <w:div w:id="786198626">
              <w:marLeft w:val="0"/>
              <w:marRight w:val="0"/>
              <w:marTop w:val="0"/>
              <w:marBottom w:val="0"/>
              <w:divBdr>
                <w:top w:val="none" w:sz="0" w:space="0" w:color="auto"/>
                <w:left w:val="none" w:sz="0" w:space="0" w:color="auto"/>
                <w:bottom w:val="none" w:sz="0" w:space="0" w:color="auto"/>
                <w:right w:val="none" w:sz="0" w:space="0" w:color="auto"/>
              </w:divBdr>
            </w:div>
          </w:divsChild>
        </w:div>
        <w:div w:id="2000420930">
          <w:marLeft w:val="0"/>
          <w:marRight w:val="0"/>
          <w:marTop w:val="0"/>
          <w:marBottom w:val="0"/>
          <w:divBdr>
            <w:top w:val="none" w:sz="0" w:space="0" w:color="auto"/>
            <w:left w:val="none" w:sz="0" w:space="0" w:color="auto"/>
            <w:bottom w:val="none" w:sz="0" w:space="0" w:color="auto"/>
            <w:right w:val="none" w:sz="0" w:space="0" w:color="auto"/>
          </w:divBdr>
          <w:divsChild>
            <w:div w:id="23361921">
              <w:marLeft w:val="0"/>
              <w:marRight w:val="0"/>
              <w:marTop w:val="0"/>
              <w:marBottom w:val="0"/>
              <w:divBdr>
                <w:top w:val="none" w:sz="0" w:space="0" w:color="auto"/>
                <w:left w:val="none" w:sz="0" w:space="0" w:color="auto"/>
                <w:bottom w:val="none" w:sz="0" w:space="0" w:color="auto"/>
                <w:right w:val="none" w:sz="0" w:space="0" w:color="auto"/>
              </w:divBdr>
            </w:div>
          </w:divsChild>
        </w:div>
        <w:div w:id="2007006621">
          <w:marLeft w:val="0"/>
          <w:marRight w:val="0"/>
          <w:marTop w:val="0"/>
          <w:marBottom w:val="0"/>
          <w:divBdr>
            <w:top w:val="none" w:sz="0" w:space="0" w:color="auto"/>
            <w:left w:val="none" w:sz="0" w:space="0" w:color="auto"/>
            <w:bottom w:val="none" w:sz="0" w:space="0" w:color="auto"/>
            <w:right w:val="none" w:sz="0" w:space="0" w:color="auto"/>
          </w:divBdr>
          <w:divsChild>
            <w:div w:id="952828211">
              <w:marLeft w:val="0"/>
              <w:marRight w:val="0"/>
              <w:marTop w:val="0"/>
              <w:marBottom w:val="0"/>
              <w:divBdr>
                <w:top w:val="none" w:sz="0" w:space="0" w:color="auto"/>
                <w:left w:val="none" w:sz="0" w:space="0" w:color="auto"/>
                <w:bottom w:val="none" w:sz="0" w:space="0" w:color="auto"/>
                <w:right w:val="none" w:sz="0" w:space="0" w:color="auto"/>
              </w:divBdr>
            </w:div>
          </w:divsChild>
        </w:div>
        <w:div w:id="2011522948">
          <w:marLeft w:val="0"/>
          <w:marRight w:val="0"/>
          <w:marTop w:val="0"/>
          <w:marBottom w:val="0"/>
          <w:divBdr>
            <w:top w:val="none" w:sz="0" w:space="0" w:color="auto"/>
            <w:left w:val="none" w:sz="0" w:space="0" w:color="auto"/>
            <w:bottom w:val="none" w:sz="0" w:space="0" w:color="auto"/>
            <w:right w:val="none" w:sz="0" w:space="0" w:color="auto"/>
          </w:divBdr>
          <w:divsChild>
            <w:div w:id="616373360">
              <w:marLeft w:val="0"/>
              <w:marRight w:val="0"/>
              <w:marTop w:val="0"/>
              <w:marBottom w:val="0"/>
              <w:divBdr>
                <w:top w:val="none" w:sz="0" w:space="0" w:color="auto"/>
                <w:left w:val="none" w:sz="0" w:space="0" w:color="auto"/>
                <w:bottom w:val="none" w:sz="0" w:space="0" w:color="auto"/>
                <w:right w:val="none" w:sz="0" w:space="0" w:color="auto"/>
              </w:divBdr>
            </w:div>
          </w:divsChild>
        </w:div>
        <w:div w:id="2011711717">
          <w:marLeft w:val="0"/>
          <w:marRight w:val="0"/>
          <w:marTop w:val="0"/>
          <w:marBottom w:val="0"/>
          <w:divBdr>
            <w:top w:val="none" w:sz="0" w:space="0" w:color="auto"/>
            <w:left w:val="none" w:sz="0" w:space="0" w:color="auto"/>
            <w:bottom w:val="none" w:sz="0" w:space="0" w:color="auto"/>
            <w:right w:val="none" w:sz="0" w:space="0" w:color="auto"/>
          </w:divBdr>
          <w:divsChild>
            <w:div w:id="223684460">
              <w:marLeft w:val="0"/>
              <w:marRight w:val="0"/>
              <w:marTop w:val="0"/>
              <w:marBottom w:val="0"/>
              <w:divBdr>
                <w:top w:val="none" w:sz="0" w:space="0" w:color="auto"/>
                <w:left w:val="none" w:sz="0" w:space="0" w:color="auto"/>
                <w:bottom w:val="none" w:sz="0" w:space="0" w:color="auto"/>
                <w:right w:val="none" w:sz="0" w:space="0" w:color="auto"/>
              </w:divBdr>
            </w:div>
          </w:divsChild>
        </w:div>
        <w:div w:id="2014408631">
          <w:marLeft w:val="0"/>
          <w:marRight w:val="0"/>
          <w:marTop w:val="0"/>
          <w:marBottom w:val="0"/>
          <w:divBdr>
            <w:top w:val="none" w:sz="0" w:space="0" w:color="auto"/>
            <w:left w:val="none" w:sz="0" w:space="0" w:color="auto"/>
            <w:bottom w:val="none" w:sz="0" w:space="0" w:color="auto"/>
            <w:right w:val="none" w:sz="0" w:space="0" w:color="auto"/>
          </w:divBdr>
          <w:divsChild>
            <w:div w:id="955794396">
              <w:marLeft w:val="0"/>
              <w:marRight w:val="0"/>
              <w:marTop w:val="0"/>
              <w:marBottom w:val="0"/>
              <w:divBdr>
                <w:top w:val="none" w:sz="0" w:space="0" w:color="auto"/>
                <w:left w:val="none" w:sz="0" w:space="0" w:color="auto"/>
                <w:bottom w:val="none" w:sz="0" w:space="0" w:color="auto"/>
                <w:right w:val="none" w:sz="0" w:space="0" w:color="auto"/>
              </w:divBdr>
            </w:div>
          </w:divsChild>
        </w:div>
        <w:div w:id="2021617697">
          <w:marLeft w:val="0"/>
          <w:marRight w:val="0"/>
          <w:marTop w:val="0"/>
          <w:marBottom w:val="0"/>
          <w:divBdr>
            <w:top w:val="none" w:sz="0" w:space="0" w:color="auto"/>
            <w:left w:val="none" w:sz="0" w:space="0" w:color="auto"/>
            <w:bottom w:val="none" w:sz="0" w:space="0" w:color="auto"/>
            <w:right w:val="none" w:sz="0" w:space="0" w:color="auto"/>
          </w:divBdr>
          <w:divsChild>
            <w:div w:id="1454514602">
              <w:marLeft w:val="0"/>
              <w:marRight w:val="0"/>
              <w:marTop w:val="0"/>
              <w:marBottom w:val="0"/>
              <w:divBdr>
                <w:top w:val="none" w:sz="0" w:space="0" w:color="auto"/>
                <w:left w:val="none" w:sz="0" w:space="0" w:color="auto"/>
                <w:bottom w:val="none" w:sz="0" w:space="0" w:color="auto"/>
                <w:right w:val="none" w:sz="0" w:space="0" w:color="auto"/>
              </w:divBdr>
            </w:div>
          </w:divsChild>
        </w:div>
        <w:div w:id="2021931404">
          <w:marLeft w:val="0"/>
          <w:marRight w:val="0"/>
          <w:marTop w:val="0"/>
          <w:marBottom w:val="0"/>
          <w:divBdr>
            <w:top w:val="none" w:sz="0" w:space="0" w:color="auto"/>
            <w:left w:val="none" w:sz="0" w:space="0" w:color="auto"/>
            <w:bottom w:val="none" w:sz="0" w:space="0" w:color="auto"/>
            <w:right w:val="none" w:sz="0" w:space="0" w:color="auto"/>
          </w:divBdr>
          <w:divsChild>
            <w:div w:id="342587690">
              <w:marLeft w:val="0"/>
              <w:marRight w:val="0"/>
              <w:marTop w:val="0"/>
              <w:marBottom w:val="0"/>
              <w:divBdr>
                <w:top w:val="none" w:sz="0" w:space="0" w:color="auto"/>
                <w:left w:val="none" w:sz="0" w:space="0" w:color="auto"/>
                <w:bottom w:val="none" w:sz="0" w:space="0" w:color="auto"/>
                <w:right w:val="none" w:sz="0" w:space="0" w:color="auto"/>
              </w:divBdr>
            </w:div>
          </w:divsChild>
        </w:div>
        <w:div w:id="2024670394">
          <w:marLeft w:val="0"/>
          <w:marRight w:val="0"/>
          <w:marTop w:val="0"/>
          <w:marBottom w:val="0"/>
          <w:divBdr>
            <w:top w:val="none" w:sz="0" w:space="0" w:color="auto"/>
            <w:left w:val="none" w:sz="0" w:space="0" w:color="auto"/>
            <w:bottom w:val="none" w:sz="0" w:space="0" w:color="auto"/>
            <w:right w:val="none" w:sz="0" w:space="0" w:color="auto"/>
          </w:divBdr>
          <w:divsChild>
            <w:div w:id="1918395205">
              <w:marLeft w:val="0"/>
              <w:marRight w:val="0"/>
              <w:marTop w:val="0"/>
              <w:marBottom w:val="0"/>
              <w:divBdr>
                <w:top w:val="none" w:sz="0" w:space="0" w:color="auto"/>
                <w:left w:val="none" w:sz="0" w:space="0" w:color="auto"/>
                <w:bottom w:val="none" w:sz="0" w:space="0" w:color="auto"/>
                <w:right w:val="none" w:sz="0" w:space="0" w:color="auto"/>
              </w:divBdr>
            </w:div>
          </w:divsChild>
        </w:div>
        <w:div w:id="2032342493">
          <w:marLeft w:val="0"/>
          <w:marRight w:val="0"/>
          <w:marTop w:val="0"/>
          <w:marBottom w:val="0"/>
          <w:divBdr>
            <w:top w:val="none" w:sz="0" w:space="0" w:color="auto"/>
            <w:left w:val="none" w:sz="0" w:space="0" w:color="auto"/>
            <w:bottom w:val="none" w:sz="0" w:space="0" w:color="auto"/>
            <w:right w:val="none" w:sz="0" w:space="0" w:color="auto"/>
          </w:divBdr>
          <w:divsChild>
            <w:div w:id="839469324">
              <w:marLeft w:val="0"/>
              <w:marRight w:val="0"/>
              <w:marTop w:val="0"/>
              <w:marBottom w:val="0"/>
              <w:divBdr>
                <w:top w:val="none" w:sz="0" w:space="0" w:color="auto"/>
                <w:left w:val="none" w:sz="0" w:space="0" w:color="auto"/>
                <w:bottom w:val="none" w:sz="0" w:space="0" w:color="auto"/>
                <w:right w:val="none" w:sz="0" w:space="0" w:color="auto"/>
              </w:divBdr>
            </w:div>
          </w:divsChild>
        </w:div>
        <w:div w:id="2033142690">
          <w:marLeft w:val="0"/>
          <w:marRight w:val="0"/>
          <w:marTop w:val="0"/>
          <w:marBottom w:val="0"/>
          <w:divBdr>
            <w:top w:val="none" w:sz="0" w:space="0" w:color="auto"/>
            <w:left w:val="none" w:sz="0" w:space="0" w:color="auto"/>
            <w:bottom w:val="none" w:sz="0" w:space="0" w:color="auto"/>
            <w:right w:val="none" w:sz="0" w:space="0" w:color="auto"/>
          </w:divBdr>
          <w:divsChild>
            <w:div w:id="680161478">
              <w:marLeft w:val="0"/>
              <w:marRight w:val="0"/>
              <w:marTop w:val="0"/>
              <w:marBottom w:val="0"/>
              <w:divBdr>
                <w:top w:val="none" w:sz="0" w:space="0" w:color="auto"/>
                <w:left w:val="none" w:sz="0" w:space="0" w:color="auto"/>
                <w:bottom w:val="none" w:sz="0" w:space="0" w:color="auto"/>
                <w:right w:val="none" w:sz="0" w:space="0" w:color="auto"/>
              </w:divBdr>
            </w:div>
          </w:divsChild>
        </w:div>
        <w:div w:id="2034915489">
          <w:marLeft w:val="0"/>
          <w:marRight w:val="0"/>
          <w:marTop w:val="0"/>
          <w:marBottom w:val="0"/>
          <w:divBdr>
            <w:top w:val="none" w:sz="0" w:space="0" w:color="auto"/>
            <w:left w:val="none" w:sz="0" w:space="0" w:color="auto"/>
            <w:bottom w:val="none" w:sz="0" w:space="0" w:color="auto"/>
            <w:right w:val="none" w:sz="0" w:space="0" w:color="auto"/>
          </w:divBdr>
          <w:divsChild>
            <w:div w:id="1892418220">
              <w:marLeft w:val="0"/>
              <w:marRight w:val="0"/>
              <w:marTop w:val="0"/>
              <w:marBottom w:val="0"/>
              <w:divBdr>
                <w:top w:val="none" w:sz="0" w:space="0" w:color="auto"/>
                <w:left w:val="none" w:sz="0" w:space="0" w:color="auto"/>
                <w:bottom w:val="none" w:sz="0" w:space="0" w:color="auto"/>
                <w:right w:val="none" w:sz="0" w:space="0" w:color="auto"/>
              </w:divBdr>
            </w:div>
          </w:divsChild>
        </w:div>
        <w:div w:id="2036029764">
          <w:marLeft w:val="0"/>
          <w:marRight w:val="0"/>
          <w:marTop w:val="0"/>
          <w:marBottom w:val="0"/>
          <w:divBdr>
            <w:top w:val="none" w:sz="0" w:space="0" w:color="auto"/>
            <w:left w:val="none" w:sz="0" w:space="0" w:color="auto"/>
            <w:bottom w:val="none" w:sz="0" w:space="0" w:color="auto"/>
            <w:right w:val="none" w:sz="0" w:space="0" w:color="auto"/>
          </w:divBdr>
          <w:divsChild>
            <w:div w:id="1317344871">
              <w:marLeft w:val="0"/>
              <w:marRight w:val="0"/>
              <w:marTop w:val="0"/>
              <w:marBottom w:val="0"/>
              <w:divBdr>
                <w:top w:val="none" w:sz="0" w:space="0" w:color="auto"/>
                <w:left w:val="none" w:sz="0" w:space="0" w:color="auto"/>
                <w:bottom w:val="none" w:sz="0" w:space="0" w:color="auto"/>
                <w:right w:val="none" w:sz="0" w:space="0" w:color="auto"/>
              </w:divBdr>
            </w:div>
          </w:divsChild>
        </w:div>
        <w:div w:id="2054621922">
          <w:marLeft w:val="0"/>
          <w:marRight w:val="0"/>
          <w:marTop w:val="0"/>
          <w:marBottom w:val="0"/>
          <w:divBdr>
            <w:top w:val="none" w:sz="0" w:space="0" w:color="auto"/>
            <w:left w:val="none" w:sz="0" w:space="0" w:color="auto"/>
            <w:bottom w:val="none" w:sz="0" w:space="0" w:color="auto"/>
            <w:right w:val="none" w:sz="0" w:space="0" w:color="auto"/>
          </w:divBdr>
          <w:divsChild>
            <w:div w:id="213275807">
              <w:marLeft w:val="0"/>
              <w:marRight w:val="0"/>
              <w:marTop w:val="0"/>
              <w:marBottom w:val="0"/>
              <w:divBdr>
                <w:top w:val="none" w:sz="0" w:space="0" w:color="auto"/>
                <w:left w:val="none" w:sz="0" w:space="0" w:color="auto"/>
                <w:bottom w:val="none" w:sz="0" w:space="0" w:color="auto"/>
                <w:right w:val="none" w:sz="0" w:space="0" w:color="auto"/>
              </w:divBdr>
            </w:div>
          </w:divsChild>
        </w:div>
        <w:div w:id="2062363961">
          <w:marLeft w:val="0"/>
          <w:marRight w:val="0"/>
          <w:marTop w:val="0"/>
          <w:marBottom w:val="0"/>
          <w:divBdr>
            <w:top w:val="none" w:sz="0" w:space="0" w:color="auto"/>
            <w:left w:val="none" w:sz="0" w:space="0" w:color="auto"/>
            <w:bottom w:val="none" w:sz="0" w:space="0" w:color="auto"/>
            <w:right w:val="none" w:sz="0" w:space="0" w:color="auto"/>
          </w:divBdr>
          <w:divsChild>
            <w:div w:id="1279605047">
              <w:marLeft w:val="0"/>
              <w:marRight w:val="0"/>
              <w:marTop w:val="0"/>
              <w:marBottom w:val="0"/>
              <w:divBdr>
                <w:top w:val="none" w:sz="0" w:space="0" w:color="auto"/>
                <w:left w:val="none" w:sz="0" w:space="0" w:color="auto"/>
                <w:bottom w:val="none" w:sz="0" w:space="0" w:color="auto"/>
                <w:right w:val="none" w:sz="0" w:space="0" w:color="auto"/>
              </w:divBdr>
            </w:div>
          </w:divsChild>
        </w:div>
        <w:div w:id="2065829132">
          <w:marLeft w:val="0"/>
          <w:marRight w:val="0"/>
          <w:marTop w:val="0"/>
          <w:marBottom w:val="0"/>
          <w:divBdr>
            <w:top w:val="none" w:sz="0" w:space="0" w:color="auto"/>
            <w:left w:val="none" w:sz="0" w:space="0" w:color="auto"/>
            <w:bottom w:val="none" w:sz="0" w:space="0" w:color="auto"/>
            <w:right w:val="none" w:sz="0" w:space="0" w:color="auto"/>
          </w:divBdr>
          <w:divsChild>
            <w:div w:id="1965190321">
              <w:marLeft w:val="0"/>
              <w:marRight w:val="0"/>
              <w:marTop w:val="0"/>
              <w:marBottom w:val="0"/>
              <w:divBdr>
                <w:top w:val="none" w:sz="0" w:space="0" w:color="auto"/>
                <w:left w:val="none" w:sz="0" w:space="0" w:color="auto"/>
                <w:bottom w:val="none" w:sz="0" w:space="0" w:color="auto"/>
                <w:right w:val="none" w:sz="0" w:space="0" w:color="auto"/>
              </w:divBdr>
            </w:div>
          </w:divsChild>
        </w:div>
        <w:div w:id="2067295222">
          <w:marLeft w:val="0"/>
          <w:marRight w:val="0"/>
          <w:marTop w:val="0"/>
          <w:marBottom w:val="0"/>
          <w:divBdr>
            <w:top w:val="none" w:sz="0" w:space="0" w:color="auto"/>
            <w:left w:val="none" w:sz="0" w:space="0" w:color="auto"/>
            <w:bottom w:val="none" w:sz="0" w:space="0" w:color="auto"/>
            <w:right w:val="none" w:sz="0" w:space="0" w:color="auto"/>
          </w:divBdr>
          <w:divsChild>
            <w:div w:id="989864695">
              <w:marLeft w:val="0"/>
              <w:marRight w:val="0"/>
              <w:marTop w:val="0"/>
              <w:marBottom w:val="0"/>
              <w:divBdr>
                <w:top w:val="none" w:sz="0" w:space="0" w:color="auto"/>
                <w:left w:val="none" w:sz="0" w:space="0" w:color="auto"/>
                <w:bottom w:val="none" w:sz="0" w:space="0" w:color="auto"/>
                <w:right w:val="none" w:sz="0" w:space="0" w:color="auto"/>
              </w:divBdr>
            </w:div>
          </w:divsChild>
        </w:div>
        <w:div w:id="2069840366">
          <w:marLeft w:val="0"/>
          <w:marRight w:val="0"/>
          <w:marTop w:val="0"/>
          <w:marBottom w:val="0"/>
          <w:divBdr>
            <w:top w:val="none" w:sz="0" w:space="0" w:color="auto"/>
            <w:left w:val="none" w:sz="0" w:space="0" w:color="auto"/>
            <w:bottom w:val="none" w:sz="0" w:space="0" w:color="auto"/>
            <w:right w:val="none" w:sz="0" w:space="0" w:color="auto"/>
          </w:divBdr>
          <w:divsChild>
            <w:div w:id="210190457">
              <w:marLeft w:val="0"/>
              <w:marRight w:val="0"/>
              <w:marTop w:val="0"/>
              <w:marBottom w:val="0"/>
              <w:divBdr>
                <w:top w:val="none" w:sz="0" w:space="0" w:color="auto"/>
                <w:left w:val="none" w:sz="0" w:space="0" w:color="auto"/>
                <w:bottom w:val="none" w:sz="0" w:space="0" w:color="auto"/>
                <w:right w:val="none" w:sz="0" w:space="0" w:color="auto"/>
              </w:divBdr>
            </w:div>
          </w:divsChild>
        </w:div>
        <w:div w:id="2071074954">
          <w:marLeft w:val="0"/>
          <w:marRight w:val="0"/>
          <w:marTop w:val="0"/>
          <w:marBottom w:val="0"/>
          <w:divBdr>
            <w:top w:val="none" w:sz="0" w:space="0" w:color="auto"/>
            <w:left w:val="none" w:sz="0" w:space="0" w:color="auto"/>
            <w:bottom w:val="none" w:sz="0" w:space="0" w:color="auto"/>
            <w:right w:val="none" w:sz="0" w:space="0" w:color="auto"/>
          </w:divBdr>
          <w:divsChild>
            <w:div w:id="641153128">
              <w:marLeft w:val="0"/>
              <w:marRight w:val="0"/>
              <w:marTop w:val="0"/>
              <w:marBottom w:val="0"/>
              <w:divBdr>
                <w:top w:val="none" w:sz="0" w:space="0" w:color="auto"/>
                <w:left w:val="none" w:sz="0" w:space="0" w:color="auto"/>
                <w:bottom w:val="none" w:sz="0" w:space="0" w:color="auto"/>
                <w:right w:val="none" w:sz="0" w:space="0" w:color="auto"/>
              </w:divBdr>
            </w:div>
          </w:divsChild>
        </w:div>
        <w:div w:id="2072803334">
          <w:marLeft w:val="0"/>
          <w:marRight w:val="0"/>
          <w:marTop w:val="0"/>
          <w:marBottom w:val="0"/>
          <w:divBdr>
            <w:top w:val="none" w:sz="0" w:space="0" w:color="auto"/>
            <w:left w:val="none" w:sz="0" w:space="0" w:color="auto"/>
            <w:bottom w:val="none" w:sz="0" w:space="0" w:color="auto"/>
            <w:right w:val="none" w:sz="0" w:space="0" w:color="auto"/>
          </w:divBdr>
          <w:divsChild>
            <w:div w:id="1004554395">
              <w:marLeft w:val="0"/>
              <w:marRight w:val="0"/>
              <w:marTop w:val="0"/>
              <w:marBottom w:val="0"/>
              <w:divBdr>
                <w:top w:val="none" w:sz="0" w:space="0" w:color="auto"/>
                <w:left w:val="none" w:sz="0" w:space="0" w:color="auto"/>
                <w:bottom w:val="none" w:sz="0" w:space="0" w:color="auto"/>
                <w:right w:val="none" w:sz="0" w:space="0" w:color="auto"/>
              </w:divBdr>
            </w:div>
          </w:divsChild>
        </w:div>
        <w:div w:id="2087602304">
          <w:marLeft w:val="0"/>
          <w:marRight w:val="0"/>
          <w:marTop w:val="0"/>
          <w:marBottom w:val="0"/>
          <w:divBdr>
            <w:top w:val="none" w:sz="0" w:space="0" w:color="auto"/>
            <w:left w:val="none" w:sz="0" w:space="0" w:color="auto"/>
            <w:bottom w:val="none" w:sz="0" w:space="0" w:color="auto"/>
            <w:right w:val="none" w:sz="0" w:space="0" w:color="auto"/>
          </w:divBdr>
          <w:divsChild>
            <w:div w:id="643000197">
              <w:marLeft w:val="0"/>
              <w:marRight w:val="0"/>
              <w:marTop w:val="0"/>
              <w:marBottom w:val="0"/>
              <w:divBdr>
                <w:top w:val="none" w:sz="0" w:space="0" w:color="auto"/>
                <w:left w:val="none" w:sz="0" w:space="0" w:color="auto"/>
                <w:bottom w:val="none" w:sz="0" w:space="0" w:color="auto"/>
                <w:right w:val="none" w:sz="0" w:space="0" w:color="auto"/>
              </w:divBdr>
            </w:div>
          </w:divsChild>
        </w:div>
        <w:div w:id="2093038054">
          <w:marLeft w:val="0"/>
          <w:marRight w:val="0"/>
          <w:marTop w:val="0"/>
          <w:marBottom w:val="0"/>
          <w:divBdr>
            <w:top w:val="none" w:sz="0" w:space="0" w:color="auto"/>
            <w:left w:val="none" w:sz="0" w:space="0" w:color="auto"/>
            <w:bottom w:val="none" w:sz="0" w:space="0" w:color="auto"/>
            <w:right w:val="none" w:sz="0" w:space="0" w:color="auto"/>
          </w:divBdr>
          <w:divsChild>
            <w:div w:id="1472022456">
              <w:marLeft w:val="0"/>
              <w:marRight w:val="0"/>
              <w:marTop w:val="0"/>
              <w:marBottom w:val="0"/>
              <w:divBdr>
                <w:top w:val="none" w:sz="0" w:space="0" w:color="auto"/>
                <w:left w:val="none" w:sz="0" w:space="0" w:color="auto"/>
                <w:bottom w:val="none" w:sz="0" w:space="0" w:color="auto"/>
                <w:right w:val="none" w:sz="0" w:space="0" w:color="auto"/>
              </w:divBdr>
            </w:div>
          </w:divsChild>
        </w:div>
        <w:div w:id="2098749055">
          <w:marLeft w:val="0"/>
          <w:marRight w:val="0"/>
          <w:marTop w:val="0"/>
          <w:marBottom w:val="0"/>
          <w:divBdr>
            <w:top w:val="none" w:sz="0" w:space="0" w:color="auto"/>
            <w:left w:val="none" w:sz="0" w:space="0" w:color="auto"/>
            <w:bottom w:val="none" w:sz="0" w:space="0" w:color="auto"/>
            <w:right w:val="none" w:sz="0" w:space="0" w:color="auto"/>
          </w:divBdr>
          <w:divsChild>
            <w:div w:id="737090592">
              <w:marLeft w:val="0"/>
              <w:marRight w:val="0"/>
              <w:marTop w:val="0"/>
              <w:marBottom w:val="0"/>
              <w:divBdr>
                <w:top w:val="none" w:sz="0" w:space="0" w:color="auto"/>
                <w:left w:val="none" w:sz="0" w:space="0" w:color="auto"/>
                <w:bottom w:val="none" w:sz="0" w:space="0" w:color="auto"/>
                <w:right w:val="none" w:sz="0" w:space="0" w:color="auto"/>
              </w:divBdr>
            </w:div>
          </w:divsChild>
        </w:div>
        <w:div w:id="2106416445">
          <w:marLeft w:val="0"/>
          <w:marRight w:val="0"/>
          <w:marTop w:val="0"/>
          <w:marBottom w:val="0"/>
          <w:divBdr>
            <w:top w:val="none" w:sz="0" w:space="0" w:color="auto"/>
            <w:left w:val="none" w:sz="0" w:space="0" w:color="auto"/>
            <w:bottom w:val="none" w:sz="0" w:space="0" w:color="auto"/>
            <w:right w:val="none" w:sz="0" w:space="0" w:color="auto"/>
          </w:divBdr>
          <w:divsChild>
            <w:div w:id="1363361913">
              <w:marLeft w:val="0"/>
              <w:marRight w:val="0"/>
              <w:marTop w:val="0"/>
              <w:marBottom w:val="0"/>
              <w:divBdr>
                <w:top w:val="none" w:sz="0" w:space="0" w:color="auto"/>
                <w:left w:val="none" w:sz="0" w:space="0" w:color="auto"/>
                <w:bottom w:val="none" w:sz="0" w:space="0" w:color="auto"/>
                <w:right w:val="none" w:sz="0" w:space="0" w:color="auto"/>
              </w:divBdr>
            </w:div>
          </w:divsChild>
        </w:div>
        <w:div w:id="2109613818">
          <w:marLeft w:val="0"/>
          <w:marRight w:val="0"/>
          <w:marTop w:val="0"/>
          <w:marBottom w:val="0"/>
          <w:divBdr>
            <w:top w:val="none" w:sz="0" w:space="0" w:color="auto"/>
            <w:left w:val="none" w:sz="0" w:space="0" w:color="auto"/>
            <w:bottom w:val="none" w:sz="0" w:space="0" w:color="auto"/>
            <w:right w:val="none" w:sz="0" w:space="0" w:color="auto"/>
          </w:divBdr>
          <w:divsChild>
            <w:div w:id="1593010473">
              <w:marLeft w:val="0"/>
              <w:marRight w:val="0"/>
              <w:marTop w:val="0"/>
              <w:marBottom w:val="0"/>
              <w:divBdr>
                <w:top w:val="none" w:sz="0" w:space="0" w:color="auto"/>
                <w:left w:val="none" w:sz="0" w:space="0" w:color="auto"/>
                <w:bottom w:val="none" w:sz="0" w:space="0" w:color="auto"/>
                <w:right w:val="none" w:sz="0" w:space="0" w:color="auto"/>
              </w:divBdr>
            </w:div>
          </w:divsChild>
        </w:div>
        <w:div w:id="2114666828">
          <w:marLeft w:val="0"/>
          <w:marRight w:val="0"/>
          <w:marTop w:val="0"/>
          <w:marBottom w:val="0"/>
          <w:divBdr>
            <w:top w:val="none" w:sz="0" w:space="0" w:color="auto"/>
            <w:left w:val="none" w:sz="0" w:space="0" w:color="auto"/>
            <w:bottom w:val="none" w:sz="0" w:space="0" w:color="auto"/>
            <w:right w:val="none" w:sz="0" w:space="0" w:color="auto"/>
          </w:divBdr>
          <w:divsChild>
            <w:div w:id="1330013504">
              <w:marLeft w:val="0"/>
              <w:marRight w:val="0"/>
              <w:marTop w:val="0"/>
              <w:marBottom w:val="0"/>
              <w:divBdr>
                <w:top w:val="none" w:sz="0" w:space="0" w:color="auto"/>
                <w:left w:val="none" w:sz="0" w:space="0" w:color="auto"/>
                <w:bottom w:val="none" w:sz="0" w:space="0" w:color="auto"/>
                <w:right w:val="none" w:sz="0" w:space="0" w:color="auto"/>
              </w:divBdr>
            </w:div>
          </w:divsChild>
        </w:div>
        <w:div w:id="2125154322">
          <w:marLeft w:val="0"/>
          <w:marRight w:val="0"/>
          <w:marTop w:val="0"/>
          <w:marBottom w:val="0"/>
          <w:divBdr>
            <w:top w:val="none" w:sz="0" w:space="0" w:color="auto"/>
            <w:left w:val="none" w:sz="0" w:space="0" w:color="auto"/>
            <w:bottom w:val="none" w:sz="0" w:space="0" w:color="auto"/>
            <w:right w:val="none" w:sz="0" w:space="0" w:color="auto"/>
          </w:divBdr>
          <w:divsChild>
            <w:div w:id="1102648308">
              <w:marLeft w:val="0"/>
              <w:marRight w:val="0"/>
              <w:marTop w:val="0"/>
              <w:marBottom w:val="0"/>
              <w:divBdr>
                <w:top w:val="none" w:sz="0" w:space="0" w:color="auto"/>
                <w:left w:val="none" w:sz="0" w:space="0" w:color="auto"/>
                <w:bottom w:val="none" w:sz="0" w:space="0" w:color="auto"/>
                <w:right w:val="none" w:sz="0" w:space="0" w:color="auto"/>
              </w:divBdr>
            </w:div>
          </w:divsChild>
        </w:div>
        <w:div w:id="2126583186">
          <w:marLeft w:val="0"/>
          <w:marRight w:val="0"/>
          <w:marTop w:val="0"/>
          <w:marBottom w:val="0"/>
          <w:divBdr>
            <w:top w:val="none" w:sz="0" w:space="0" w:color="auto"/>
            <w:left w:val="none" w:sz="0" w:space="0" w:color="auto"/>
            <w:bottom w:val="none" w:sz="0" w:space="0" w:color="auto"/>
            <w:right w:val="none" w:sz="0" w:space="0" w:color="auto"/>
          </w:divBdr>
          <w:divsChild>
            <w:div w:id="1121722694">
              <w:marLeft w:val="0"/>
              <w:marRight w:val="0"/>
              <w:marTop w:val="0"/>
              <w:marBottom w:val="0"/>
              <w:divBdr>
                <w:top w:val="none" w:sz="0" w:space="0" w:color="auto"/>
                <w:left w:val="none" w:sz="0" w:space="0" w:color="auto"/>
                <w:bottom w:val="none" w:sz="0" w:space="0" w:color="auto"/>
                <w:right w:val="none" w:sz="0" w:space="0" w:color="auto"/>
              </w:divBdr>
            </w:div>
          </w:divsChild>
        </w:div>
        <w:div w:id="2132815922">
          <w:marLeft w:val="0"/>
          <w:marRight w:val="0"/>
          <w:marTop w:val="0"/>
          <w:marBottom w:val="0"/>
          <w:divBdr>
            <w:top w:val="none" w:sz="0" w:space="0" w:color="auto"/>
            <w:left w:val="none" w:sz="0" w:space="0" w:color="auto"/>
            <w:bottom w:val="none" w:sz="0" w:space="0" w:color="auto"/>
            <w:right w:val="none" w:sz="0" w:space="0" w:color="auto"/>
          </w:divBdr>
          <w:divsChild>
            <w:div w:id="1106927269">
              <w:marLeft w:val="0"/>
              <w:marRight w:val="0"/>
              <w:marTop w:val="0"/>
              <w:marBottom w:val="0"/>
              <w:divBdr>
                <w:top w:val="none" w:sz="0" w:space="0" w:color="auto"/>
                <w:left w:val="none" w:sz="0" w:space="0" w:color="auto"/>
                <w:bottom w:val="none" w:sz="0" w:space="0" w:color="auto"/>
                <w:right w:val="none" w:sz="0" w:space="0" w:color="auto"/>
              </w:divBdr>
            </w:div>
          </w:divsChild>
        </w:div>
        <w:div w:id="2132936713">
          <w:marLeft w:val="0"/>
          <w:marRight w:val="0"/>
          <w:marTop w:val="0"/>
          <w:marBottom w:val="0"/>
          <w:divBdr>
            <w:top w:val="none" w:sz="0" w:space="0" w:color="auto"/>
            <w:left w:val="none" w:sz="0" w:space="0" w:color="auto"/>
            <w:bottom w:val="none" w:sz="0" w:space="0" w:color="auto"/>
            <w:right w:val="none" w:sz="0" w:space="0" w:color="auto"/>
          </w:divBdr>
        </w:div>
        <w:div w:id="2136563612">
          <w:marLeft w:val="0"/>
          <w:marRight w:val="0"/>
          <w:marTop w:val="0"/>
          <w:marBottom w:val="0"/>
          <w:divBdr>
            <w:top w:val="none" w:sz="0" w:space="0" w:color="auto"/>
            <w:left w:val="none" w:sz="0" w:space="0" w:color="auto"/>
            <w:bottom w:val="none" w:sz="0" w:space="0" w:color="auto"/>
            <w:right w:val="none" w:sz="0" w:space="0" w:color="auto"/>
          </w:divBdr>
          <w:divsChild>
            <w:div w:id="226035716">
              <w:marLeft w:val="0"/>
              <w:marRight w:val="0"/>
              <w:marTop w:val="0"/>
              <w:marBottom w:val="0"/>
              <w:divBdr>
                <w:top w:val="none" w:sz="0" w:space="0" w:color="auto"/>
                <w:left w:val="none" w:sz="0" w:space="0" w:color="auto"/>
                <w:bottom w:val="none" w:sz="0" w:space="0" w:color="auto"/>
                <w:right w:val="none" w:sz="0" w:space="0" w:color="auto"/>
              </w:divBdr>
            </w:div>
          </w:divsChild>
        </w:div>
        <w:div w:id="2144419329">
          <w:marLeft w:val="0"/>
          <w:marRight w:val="0"/>
          <w:marTop w:val="0"/>
          <w:marBottom w:val="0"/>
          <w:divBdr>
            <w:top w:val="none" w:sz="0" w:space="0" w:color="auto"/>
            <w:left w:val="none" w:sz="0" w:space="0" w:color="auto"/>
            <w:bottom w:val="none" w:sz="0" w:space="0" w:color="auto"/>
            <w:right w:val="none" w:sz="0" w:space="0" w:color="auto"/>
          </w:divBdr>
          <w:divsChild>
            <w:div w:id="740251524">
              <w:marLeft w:val="0"/>
              <w:marRight w:val="0"/>
              <w:marTop w:val="0"/>
              <w:marBottom w:val="0"/>
              <w:divBdr>
                <w:top w:val="none" w:sz="0" w:space="0" w:color="auto"/>
                <w:left w:val="none" w:sz="0" w:space="0" w:color="auto"/>
                <w:bottom w:val="none" w:sz="0" w:space="0" w:color="auto"/>
                <w:right w:val="none" w:sz="0" w:space="0" w:color="auto"/>
              </w:divBdr>
            </w:div>
          </w:divsChild>
        </w:div>
        <w:div w:id="2146118150">
          <w:marLeft w:val="0"/>
          <w:marRight w:val="0"/>
          <w:marTop w:val="0"/>
          <w:marBottom w:val="0"/>
          <w:divBdr>
            <w:top w:val="none" w:sz="0" w:space="0" w:color="auto"/>
            <w:left w:val="none" w:sz="0" w:space="0" w:color="auto"/>
            <w:bottom w:val="none" w:sz="0" w:space="0" w:color="auto"/>
            <w:right w:val="none" w:sz="0" w:space="0" w:color="auto"/>
          </w:divBdr>
          <w:divsChild>
            <w:div w:id="622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563">
      <w:bodyDiv w:val="1"/>
      <w:marLeft w:val="0"/>
      <w:marRight w:val="0"/>
      <w:marTop w:val="0"/>
      <w:marBottom w:val="0"/>
      <w:divBdr>
        <w:top w:val="none" w:sz="0" w:space="0" w:color="auto"/>
        <w:left w:val="none" w:sz="0" w:space="0" w:color="auto"/>
        <w:bottom w:val="none" w:sz="0" w:space="0" w:color="auto"/>
        <w:right w:val="none" w:sz="0" w:space="0" w:color="auto"/>
      </w:divBdr>
      <w:divsChild>
        <w:div w:id="1704127">
          <w:marLeft w:val="0"/>
          <w:marRight w:val="0"/>
          <w:marTop w:val="0"/>
          <w:marBottom w:val="0"/>
          <w:divBdr>
            <w:top w:val="none" w:sz="0" w:space="0" w:color="auto"/>
            <w:left w:val="none" w:sz="0" w:space="0" w:color="auto"/>
            <w:bottom w:val="none" w:sz="0" w:space="0" w:color="auto"/>
            <w:right w:val="none" w:sz="0" w:space="0" w:color="auto"/>
          </w:divBdr>
          <w:divsChild>
            <w:div w:id="103041486">
              <w:marLeft w:val="0"/>
              <w:marRight w:val="0"/>
              <w:marTop w:val="0"/>
              <w:marBottom w:val="0"/>
              <w:divBdr>
                <w:top w:val="none" w:sz="0" w:space="0" w:color="auto"/>
                <w:left w:val="none" w:sz="0" w:space="0" w:color="auto"/>
                <w:bottom w:val="none" w:sz="0" w:space="0" w:color="auto"/>
                <w:right w:val="none" w:sz="0" w:space="0" w:color="auto"/>
              </w:divBdr>
            </w:div>
          </w:divsChild>
        </w:div>
        <w:div w:id="3368397">
          <w:marLeft w:val="0"/>
          <w:marRight w:val="0"/>
          <w:marTop w:val="0"/>
          <w:marBottom w:val="0"/>
          <w:divBdr>
            <w:top w:val="none" w:sz="0" w:space="0" w:color="auto"/>
            <w:left w:val="none" w:sz="0" w:space="0" w:color="auto"/>
            <w:bottom w:val="none" w:sz="0" w:space="0" w:color="auto"/>
            <w:right w:val="none" w:sz="0" w:space="0" w:color="auto"/>
          </w:divBdr>
          <w:divsChild>
            <w:div w:id="1862276648">
              <w:marLeft w:val="0"/>
              <w:marRight w:val="0"/>
              <w:marTop w:val="0"/>
              <w:marBottom w:val="0"/>
              <w:divBdr>
                <w:top w:val="none" w:sz="0" w:space="0" w:color="auto"/>
                <w:left w:val="none" w:sz="0" w:space="0" w:color="auto"/>
                <w:bottom w:val="none" w:sz="0" w:space="0" w:color="auto"/>
                <w:right w:val="none" w:sz="0" w:space="0" w:color="auto"/>
              </w:divBdr>
            </w:div>
          </w:divsChild>
        </w:div>
        <w:div w:id="4751094">
          <w:marLeft w:val="0"/>
          <w:marRight w:val="0"/>
          <w:marTop w:val="0"/>
          <w:marBottom w:val="0"/>
          <w:divBdr>
            <w:top w:val="none" w:sz="0" w:space="0" w:color="auto"/>
            <w:left w:val="none" w:sz="0" w:space="0" w:color="auto"/>
            <w:bottom w:val="none" w:sz="0" w:space="0" w:color="auto"/>
            <w:right w:val="none" w:sz="0" w:space="0" w:color="auto"/>
          </w:divBdr>
          <w:divsChild>
            <w:div w:id="2109348706">
              <w:marLeft w:val="0"/>
              <w:marRight w:val="0"/>
              <w:marTop w:val="0"/>
              <w:marBottom w:val="0"/>
              <w:divBdr>
                <w:top w:val="none" w:sz="0" w:space="0" w:color="auto"/>
                <w:left w:val="none" w:sz="0" w:space="0" w:color="auto"/>
                <w:bottom w:val="none" w:sz="0" w:space="0" w:color="auto"/>
                <w:right w:val="none" w:sz="0" w:space="0" w:color="auto"/>
              </w:divBdr>
            </w:div>
          </w:divsChild>
        </w:div>
        <w:div w:id="6761452">
          <w:marLeft w:val="0"/>
          <w:marRight w:val="0"/>
          <w:marTop w:val="0"/>
          <w:marBottom w:val="0"/>
          <w:divBdr>
            <w:top w:val="none" w:sz="0" w:space="0" w:color="auto"/>
            <w:left w:val="none" w:sz="0" w:space="0" w:color="auto"/>
            <w:bottom w:val="none" w:sz="0" w:space="0" w:color="auto"/>
            <w:right w:val="none" w:sz="0" w:space="0" w:color="auto"/>
          </w:divBdr>
          <w:divsChild>
            <w:div w:id="601910853">
              <w:marLeft w:val="0"/>
              <w:marRight w:val="0"/>
              <w:marTop w:val="0"/>
              <w:marBottom w:val="0"/>
              <w:divBdr>
                <w:top w:val="none" w:sz="0" w:space="0" w:color="auto"/>
                <w:left w:val="none" w:sz="0" w:space="0" w:color="auto"/>
                <w:bottom w:val="none" w:sz="0" w:space="0" w:color="auto"/>
                <w:right w:val="none" w:sz="0" w:space="0" w:color="auto"/>
              </w:divBdr>
            </w:div>
          </w:divsChild>
        </w:div>
        <w:div w:id="7800993">
          <w:marLeft w:val="0"/>
          <w:marRight w:val="0"/>
          <w:marTop w:val="0"/>
          <w:marBottom w:val="0"/>
          <w:divBdr>
            <w:top w:val="none" w:sz="0" w:space="0" w:color="auto"/>
            <w:left w:val="none" w:sz="0" w:space="0" w:color="auto"/>
            <w:bottom w:val="none" w:sz="0" w:space="0" w:color="auto"/>
            <w:right w:val="none" w:sz="0" w:space="0" w:color="auto"/>
          </w:divBdr>
          <w:divsChild>
            <w:div w:id="233047694">
              <w:marLeft w:val="0"/>
              <w:marRight w:val="0"/>
              <w:marTop w:val="0"/>
              <w:marBottom w:val="0"/>
              <w:divBdr>
                <w:top w:val="none" w:sz="0" w:space="0" w:color="auto"/>
                <w:left w:val="none" w:sz="0" w:space="0" w:color="auto"/>
                <w:bottom w:val="none" w:sz="0" w:space="0" w:color="auto"/>
                <w:right w:val="none" w:sz="0" w:space="0" w:color="auto"/>
              </w:divBdr>
            </w:div>
          </w:divsChild>
        </w:div>
        <w:div w:id="8140952">
          <w:marLeft w:val="0"/>
          <w:marRight w:val="0"/>
          <w:marTop w:val="0"/>
          <w:marBottom w:val="0"/>
          <w:divBdr>
            <w:top w:val="none" w:sz="0" w:space="0" w:color="auto"/>
            <w:left w:val="none" w:sz="0" w:space="0" w:color="auto"/>
            <w:bottom w:val="none" w:sz="0" w:space="0" w:color="auto"/>
            <w:right w:val="none" w:sz="0" w:space="0" w:color="auto"/>
          </w:divBdr>
          <w:divsChild>
            <w:div w:id="1205825907">
              <w:marLeft w:val="0"/>
              <w:marRight w:val="0"/>
              <w:marTop w:val="0"/>
              <w:marBottom w:val="0"/>
              <w:divBdr>
                <w:top w:val="none" w:sz="0" w:space="0" w:color="auto"/>
                <w:left w:val="none" w:sz="0" w:space="0" w:color="auto"/>
                <w:bottom w:val="none" w:sz="0" w:space="0" w:color="auto"/>
                <w:right w:val="none" w:sz="0" w:space="0" w:color="auto"/>
              </w:divBdr>
            </w:div>
          </w:divsChild>
        </w:div>
        <w:div w:id="28654847">
          <w:marLeft w:val="0"/>
          <w:marRight w:val="0"/>
          <w:marTop w:val="0"/>
          <w:marBottom w:val="0"/>
          <w:divBdr>
            <w:top w:val="none" w:sz="0" w:space="0" w:color="auto"/>
            <w:left w:val="none" w:sz="0" w:space="0" w:color="auto"/>
            <w:bottom w:val="none" w:sz="0" w:space="0" w:color="auto"/>
            <w:right w:val="none" w:sz="0" w:space="0" w:color="auto"/>
          </w:divBdr>
          <w:divsChild>
            <w:div w:id="1777214306">
              <w:marLeft w:val="0"/>
              <w:marRight w:val="0"/>
              <w:marTop w:val="0"/>
              <w:marBottom w:val="0"/>
              <w:divBdr>
                <w:top w:val="none" w:sz="0" w:space="0" w:color="auto"/>
                <w:left w:val="none" w:sz="0" w:space="0" w:color="auto"/>
                <w:bottom w:val="none" w:sz="0" w:space="0" w:color="auto"/>
                <w:right w:val="none" w:sz="0" w:space="0" w:color="auto"/>
              </w:divBdr>
            </w:div>
          </w:divsChild>
        </w:div>
        <w:div w:id="30226812">
          <w:marLeft w:val="0"/>
          <w:marRight w:val="0"/>
          <w:marTop w:val="0"/>
          <w:marBottom w:val="0"/>
          <w:divBdr>
            <w:top w:val="none" w:sz="0" w:space="0" w:color="auto"/>
            <w:left w:val="none" w:sz="0" w:space="0" w:color="auto"/>
            <w:bottom w:val="none" w:sz="0" w:space="0" w:color="auto"/>
            <w:right w:val="none" w:sz="0" w:space="0" w:color="auto"/>
          </w:divBdr>
          <w:divsChild>
            <w:div w:id="694841115">
              <w:marLeft w:val="0"/>
              <w:marRight w:val="0"/>
              <w:marTop w:val="0"/>
              <w:marBottom w:val="0"/>
              <w:divBdr>
                <w:top w:val="none" w:sz="0" w:space="0" w:color="auto"/>
                <w:left w:val="none" w:sz="0" w:space="0" w:color="auto"/>
                <w:bottom w:val="none" w:sz="0" w:space="0" w:color="auto"/>
                <w:right w:val="none" w:sz="0" w:space="0" w:color="auto"/>
              </w:divBdr>
            </w:div>
          </w:divsChild>
        </w:div>
        <w:div w:id="30998983">
          <w:marLeft w:val="0"/>
          <w:marRight w:val="0"/>
          <w:marTop w:val="0"/>
          <w:marBottom w:val="0"/>
          <w:divBdr>
            <w:top w:val="none" w:sz="0" w:space="0" w:color="auto"/>
            <w:left w:val="none" w:sz="0" w:space="0" w:color="auto"/>
            <w:bottom w:val="none" w:sz="0" w:space="0" w:color="auto"/>
            <w:right w:val="none" w:sz="0" w:space="0" w:color="auto"/>
          </w:divBdr>
          <w:divsChild>
            <w:div w:id="340157997">
              <w:marLeft w:val="0"/>
              <w:marRight w:val="0"/>
              <w:marTop w:val="0"/>
              <w:marBottom w:val="0"/>
              <w:divBdr>
                <w:top w:val="none" w:sz="0" w:space="0" w:color="auto"/>
                <w:left w:val="none" w:sz="0" w:space="0" w:color="auto"/>
                <w:bottom w:val="none" w:sz="0" w:space="0" w:color="auto"/>
                <w:right w:val="none" w:sz="0" w:space="0" w:color="auto"/>
              </w:divBdr>
            </w:div>
          </w:divsChild>
        </w:div>
        <w:div w:id="33041044">
          <w:marLeft w:val="0"/>
          <w:marRight w:val="0"/>
          <w:marTop w:val="0"/>
          <w:marBottom w:val="0"/>
          <w:divBdr>
            <w:top w:val="none" w:sz="0" w:space="0" w:color="auto"/>
            <w:left w:val="none" w:sz="0" w:space="0" w:color="auto"/>
            <w:bottom w:val="none" w:sz="0" w:space="0" w:color="auto"/>
            <w:right w:val="none" w:sz="0" w:space="0" w:color="auto"/>
          </w:divBdr>
          <w:divsChild>
            <w:div w:id="267393716">
              <w:marLeft w:val="0"/>
              <w:marRight w:val="0"/>
              <w:marTop w:val="0"/>
              <w:marBottom w:val="0"/>
              <w:divBdr>
                <w:top w:val="none" w:sz="0" w:space="0" w:color="auto"/>
                <w:left w:val="none" w:sz="0" w:space="0" w:color="auto"/>
                <w:bottom w:val="none" w:sz="0" w:space="0" w:color="auto"/>
                <w:right w:val="none" w:sz="0" w:space="0" w:color="auto"/>
              </w:divBdr>
            </w:div>
          </w:divsChild>
        </w:div>
        <w:div w:id="38870483">
          <w:marLeft w:val="0"/>
          <w:marRight w:val="0"/>
          <w:marTop w:val="0"/>
          <w:marBottom w:val="0"/>
          <w:divBdr>
            <w:top w:val="none" w:sz="0" w:space="0" w:color="auto"/>
            <w:left w:val="none" w:sz="0" w:space="0" w:color="auto"/>
            <w:bottom w:val="none" w:sz="0" w:space="0" w:color="auto"/>
            <w:right w:val="none" w:sz="0" w:space="0" w:color="auto"/>
          </w:divBdr>
          <w:divsChild>
            <w:div w:id="1632050208">
              <w:marLeft w:val="0"/>
              <w:marRight w:val="0"/>
              <w:marTop w:val="0"/>
              <w:marBottom w:val="0"/>
              <w:divBdr>
                <w:top w:val="none" w:sz="0" w:space="0" w:color="auto"/>
                <w:left w:val="none" w:sz="0" w:space="0" w:color="auto"/>
                <w:bottom w:val="none" w:sz="0" w:space="0" w:color="auto"/>
                <w:right w:val="none" w:sz="0" w:space="0" w:color="auto"/>
              </w:divBdr>
            </w:div>
          </w:divsChild>
        </w:div>
        <w:div w:id="49153096">
          <w:marLeft w:val="0"/>
          <w:marRight w:val="0"/>
          <w:marTop w:val="0"/>
          <w:marBottom w:val="0"/>
          <w:divBdr>
            <w:top w:val="none" w:sz="0" w:space="0" w:color="auto"/>
            <w:left w:val="none" w:sz="0" w:space="0" w:color="auto"/>
            <w:bottom w:val="none" w:sz="0" w:space="0" w:color="auto"/>
            <w:right w:val="none" w:sz="0" w:space="0" w:color="auto"/>
          </w:divBdr>
          <w:divsChild>
            <w:div w:id="1746683916">
              <w:marLeft w:val="0"/>
              <w:marRight w:val="0"/>
              <w:marTop w:val="0"/>
              <w:marBottom w:val="0"/>
              <w:divBdr>
                <w:top w:val="none" w:sz="0" w:space="0" w:color="auto"/>
                <w:left w:val="none" w:sz="0" w:space="0" w:color="auto"/>
                <w:bottom w:val="none" w:sz="0" w:space="0" w:color="auto"/>
                <w:right w:val="none" w:sz="0" w:space="0" w:color="auto"/>
              </w:divBdr>
            </w:div>
          </w:divsChild>
        </w:div>
        <w:div w:id="51926312">
          <w:marLeft w:val="0"/>
          <w:marRight w:val="0"/>
          <w:marTop w:val="0"/>
          <w:marBottom w:val="0"/>
          <w:divBdr>
            <w:top w:val="none" w:sz="0" w:space="0" w:color="auto"/>
            <w:left w:val="none" w:sz="0" w:space="0" w:color="auto"/>
            <w:bottom w:val="none" w:sz="0" w:space="0" w:color="auto"/>
            <w:right w:val="none" w:sz="0" w:space="0" w:color="auto"/>
          </w:divBdr>
          <w:divsChild>
            <w:div w:id="1099105587">
              <w:marLeft w:val="0"/>
              <w:marRight w:val="0"/>
              <w:marTop w:val="0"/>
              <w:marBottom w:val="0"/>
              <w:divBdr>
                <w:top w:val="none" w:sz="0" w:space="0" w:color="auto"/>
                <w:left w:val="none" w:sz="0" w:space="0" w:color="auto"/>
                <w:bottom w:val="none" w:sz="0" w:space="0" w:color="auto"/>
                <w:right w:val="none" w:sz="0" w:space="0" w:color="auto"/>
              </w:divBdr>
            </w:div>
          </w:divsChild>
        </w:div>
        <w:div w:id="64687063">
          <w:marLeft w:val="0"/>
          <w:marRight w:val="0"/>
          <w:marTop w:val="0"/>
          <w:marBottom w:val="0"/>
          <w:divBdr>
            <w:top w:val="none" w:sz="0" w:space="0" w:color="auto"/>
            <w:left w:val="none" w:sz="0" w:space="0" w:color="auto"/>
            <w:bottom w:val="none" w:sz="0" w:space="0" w:color="auto"/>
            <w:right w:val="none" w:sz="0" w:space="0" w:color="auto"/>
          </w:divBdr>
          <w:divsChild>
            <w:div w:id="697006225">
              <w:marLeft w:val="0"/>
              <w:marRight w:val="0"/>
              <w:marTop w:val="0"/>
              <w:marBottom w:val="0"/>
              <w:divBdr>
                <w:top w:val="none" w:sz="0" w:space="0" w:color="auto"/>
                <w:left w:val="none" w:sz="0" w:space="0" w:color="auto"/>
                <w:bottom w:val="none" w:sz="0" w:space="0" w:color="auto"/>
                <w:right w:val="none" w:sz="0" w:space="0" w:color="auto"/>
              </w:divBdr>
            </w:div>
          </w:divsChild>
        </w:div>
        <w:div w:id="65615921">
          <w:marLeft w:val="0"/>
          <w:marRight w:val="0"/>
          <w:marTop w:val="0"/>
          <w:marBottom w:val="0"/>
          <w:divBdr>
            <w:top w:val="none" w:sz="0" w:space="0" w:color="auto"/>
            <w:left w:val="none" w:sz="0" w:space="0" w:color="auto"/>
            <w:bottom w:val="none" w:sz="0" w:space="0" w:color="auto"/>
            <w:right w:val="none" w:sz="0" w:space="0" w:color="auto"/>
          </w:divBdr>
          <w:divsChild>
            <w:div w:id="227419459">
              <w:marLeft w:val="0"/>
              <w:marRight w:val="0"/>
              <w:marTop w:val="0"/>
              <w:marBottom w:val="0"/>
              <w:divBdr>
                <w:top w:val="none" w:sz="0" w:space="0" w:color="auto"/>
                <w:left w:val="none" w:sz="0" w:space="0" w:color="auto"/>
                <w:bottom w:val="none" w:sz="0" w:space="0" w:color="auto"/>
                <w:right w:val="none" w:sz="0" w:space="0" w:color="auto"/>
              </w:divBdr>
            </w:div>
          </w:divsChild>
        </w:div>
        <w:div w:id="68575748">
          <w:marLeft w:val="0"/>
          <w:marRight w:val="0"/>
          <w:marTop w:val="0"/>
          <w:marBottom w:val="0"/>
          <w:divBdr>
            <w:top w:val="none" w:sz="0" w:space="0" w:color="auto"/>
            <w:left w:val="none" w:sz="0" w:space="0" w:color="auto"/>
            <w:bottom w:val="none" w:sz="0" w:space="0" w:color="auto"/>
            <w:right w:val="none" w:sz="0" w:space="0" w:color="auto"/>
          </w:divBdr>
          <w:divsChild>
            <w:div w:id="1171484696">
              <w:marLeft w:val="0"/>
              <w:marRight w:val="0"/>
              <w:marTop w:val="0"/>
              <w:marBottom w:val="0"/>
              <w:divBdr>
                <w:top w:val="none" w:sz="0" w:space="0" w:color="auto"/>
                <w:left w:val="none" w:sz="0" w:space="0" w:color="auto"/>
                <w:bottom w:val="none" w:sz="0" w:space="0" w:color="auto"/>
                <w:right w:val="none" w:sz="0" w:space="0" w:color="auto"/>
              </w:divBdr>
            </w:div>
          </w:divsChild>
        </w:div>
        <w:div w:id="72901562">
          <w:marLeft w:val="0"/>
          <w:marRight w:val="0"/>
          <w:marTop w:val="0"/>
          <w:marBottom w:val="0"/>
          <w:divBdr>
            <w:top w:val="none" w:sz="0" w:space="0" w:color="auto"/>
            <w:left w:val="none" w:sz="0" w:space="0" w:color="auto"/>
            <w:bottom w:val="none" w:sz="0" w:space="0" w:color="auto"/>
            <w:right w:val="none" w:sz="0" w:space="0" w:color="auto"/>
          </w:divBdr>
          <w:divsChild>
            <w:div w:id="1915358823">
              <w:marLeft w:val="0"/>
              <w:marRight w:val="0"/>
              <w:marTop w:val="0"/>
              <w:marBottom w:val="0"/>
              <w:divBdr>
                <w:top w:val="none" w:sz="0" w:space="0" w:color="auto"/>
                <w:left w:val="none" w:sz="0" w:space="0" w:color="auto"/>
                <w:bottom w:val="none" w:sz="0" w:space="0" w:color="auto"/>
                <w:right w:val="none" w:sz="0" w:space="0" w:color="auto"/>
              </w:divBdr>
            </w:div>
          </w:divsChild>
        </w:div>
        <w:div w:id="79446751">
          <w:marLeft w:val="0"/>
          <w:marRight w:val="0"/>
          <w:marTop w:val="0"/>
          <w:marBottom w:val="0"/>
          <w:divBdr>
            <w:top w:val="none" w:sz="0" w:space="0" w:color="auto"/>
            <w:left w:val="none" w:sz="0" w:space="0" w:color="auto"/>
            <w:bottom w:val="none" w:sz="0" w:space="0" w:color="auto"/>
            <w:right w:val="none" w:sz="0" w:space="0" w:color="auto"/>
          </w:divBdr>
          <w:divsChild>
            <w:div w:id="1612205188">
              <w:marLeft w:val="0"/>
              <w:marRight w:val="0"/>
              <w:marTop w:val="0"/>
              <w:marBottom w:val="0"/>
              <w:divBdr>
                <w:top w:val="none" w:sz="0" w:space="0" w:color="auto"/>
                <w:left w:val="none" w:sz="0" w:space="0" w:color="auto"/>
                <w:bottom w:val="none" w:sz="0" w:space="0" w:color="auto"/>
                <w:right w:val="none" w:sz="0" w:space="0" w:color="auto"/>
              </w:divBdr>
            </w:div>
          </w:divsChild>
        </w:div>
        <w:div w:id="82335127">
          <w:marLeft w:val="0"/>
          <w:marRight w:val="0"/>
          <w:marTop w:val="0"/>
          <w:marBottom w:val="0"/>
          <w:divBdr>
            <w:top w:val="none" w:sz="0" w:space="0" w:color="auto"/>
            <w:left w:val="none" w:sz="0" w:space="0" w:color="auto"/>
            <w:bottom w:val="none" w:sz="0" w:space="0" w:color="auto"/>
            <w:right w:val="none" w:sz="0" w:space="0" w:color="auto"/>
          </w:divBdr>
          <w:divsChild>
            <w:div w:id="399327920">
              <w:marLeft w:val="0"/>
              <w:marRight w:val="0"/>
              <w:marTop w:val="0"/>
              <w:marBottom w:val="0"/>
              <w:divBdr>
                <w:top w:val="none" w:sz="0" w:space="0" w:color="auto"/>
                <w:left w:val="none" w:sz="0" w:space="0" w:color="auto"/>
                <w:bottom w:val="none" w:sz="0" w:space="0" w:color="auto"/>
                <w:right w:val="none" w:sz="0" w:space="0" w:color="auto"/>
              </w:divBdr>
            </w:div>
          </w:divsChild>
        </w:div>
        <w:div w:id="83304905">
          <w:marLeft w:val="0"/>
          <w:marRight w:val="0"/>
          <w:marTop w:val="0"/>
          <w:marBottom w:val="0"/>
          <w:divBdr>
            <w:top w:val="none" w:sz="0" w:space="0" w:color="auto"/>
            <w:left w:val="none" w:sz="0" w:space="0" w:color="auto"/>
            <w:bottom w:val="none" w:sz="0" w:space="0" w:color="auto"/>
            <w:right w:val="none" w:sz="0" w:space="0" w:color="auto"/>
          </w:divBdr>
          <w:divsChild>
            <w:div w:id="893195879">
              <w:marLeft w:val="0"/>
              <w:marRight w:val="0"/>
              <w:marTop w:val="0"/>
              <w:marBottom w:val="0"/>
              <w:divBdr>
                <w:top w:val="none" w:sz="0" w:space="0" w:color="auto"/>
                <w:left w:val="none" w:sz="0" w:space="0" w:color="auto"/>
                <w:bottom w:val="none" w:sz="0" w:space="0" w:color="auto"/>
                <w:right w:val="none" w:sz="0" w:space="0" w:color="auto"/>
              </w:divBdr>
            </w:div>
          </w:divsChild>
        </w:div>
        <w:div w:id="91244645">
          <w:marLeft w:val="0"/>
          <w:marRight w:val="0"/>
          <w:marTop w:val="0"/>
          <w:marBottom w:val="0"/>
          <w:divBdr>
            <w:top w:val="none" w:sz="0" w:space="0" w:color="auto"/>
            <w:left w:val="none" w:sz="0" w:space="0" w:color="auto"/>
            <w:bottom w:val="none" w:sz="0" w:space="0" w:color="auto"/>
            <w:right w:val="none" w:sz="0" w:space="0" w:color="auto"/>
          </w:divBdr>
          <w:divsChild>
            <w:div w:id="1007052964">
              <w:marLeft w:val="0"/>
              <w:marRight w:val="0"/>
              <w:marTop w:val="0"/>
              <w:marBottom w:val="0"/>
              <w:divBdr>
                <w:top w:val="none" w:sz="0" w:space="0" w:color="auto"/>
                <w:left w:val="none" w:sz="0" w:space="0" w:color="auto"/>
                <w:bottom w:val="none" w:sz="0" w:space="0" w:color="auto"/>
                <w:right w:val="none" w:sz="0" w:space="0" w:color="auto"/>
              </w:divBdr>
            </w:div>
          </w:divsChild>
        </w:div>
        <w:div w:id="98063318">
          <w:marLeft w:val="0"/>
          <w:marRight w:val="0"/>
          <w:marTop w:val="0"/>
          <w:marBottom w:val="0"/>
          <w:divBdr>
            <w:top w:val="none" w:sz="0" w:space="0" w:color="auto"/>
            <w:left w:val="none" w:sz="0" w:space="0" w:color="auto"/>
            <w:bottom w:val="none" w:sz="0" w:space="0" w:color="auto"/>
            <w:right w:val="none" w:sz="0" w:space="0" w:color="auto"/>
          </w:divBdr>
          <w:divsChild>
            <w:div w:id="1164974138">
              <w:marLeft w:val="0"/>
              <w:marRight w:val="0"/>
              <w:marTop w:val="0"/>
              <w:marBottom w:val="0"/>
              <w:divBdr>
                <w:top w:val="none" w:sz="0" w:space="0" w:color="auto"/>
                <w:left w:val="none" w:sz="0" w:space="0" w:color="auto"/>
                <w:bottom w:val="none" w:sz="0" w:space="0" w:color="auto"/>
                <w:right w:val="none" w:sz="0" w:space="0" w:color="auto"/>
              </w:divBdr>
            </w:div>
          </w:divsChild>
        </w:div>
        <w:div w:id="113330606">
          <w:marLeft w:val="0"/>
          <w:marRight w:val="0"/>
          <w:marTop w:val="0"/>
          <w:marBottom w:val="0"/>
          <w:divBdr>
            <w:top w:val="none" w:sz="0" w:space="0" w:color="auto"/>
            <w:left w:val="none" w:sz="0" w:space="0" w:color="auto"/>
            <w:bottom w:val="none" w:sz="0" w:space="0" w:color="auto"/>
            <w:right w:val="none" w:sz="0" w:space="0" w:color="auto"/>
          </w:divBdr>
          <w:divsChild>
            <w:div w:id="1279333087">
              <w:marLeft w:val="0"/>
              <w:marRight w:val="0"/>
              <w:marTop w:val="0"/>
              <w:marBottom w:val="0"/>
              <w:divBdr>
                <w:top w:val="none" w:sz="0" w:space="0" w:color="auto"/>
                <w:left w:val="none" w:sz="0" w:space="0" w:color="auto"/>
                <w:bottom w:val="none" w:sz="0" w:space="0" w:color="auto"/>
                <w:right w:val="none" w:sz="0" w:space="0" w:color="auto"/>
              </w:divBdr>
            </w:div>
          </w:divsChild>
        </w:div>
        <w:div w:id="126630954">
          <w:marLeft w:val="0"/>
          <w:marRight w:val="0"/>
          <w:marTop w:val="0"/>
          <w:marBottom w:val="0"/>
          <w:divBdr>
            <w:top w:val="none" w:sz="0" w:space="0" w:color="auto"/>
            <w:left w:val="none" w:sz="0" w:space="0" w:color="auto"/>
            <w:bottom w:val="none" w:sz="0" w:space="0" w:color="auto"/>
            <w:right w:val="none" w:sz="0" w:space="0" w:color="auto"/>
          </w:divBdr>
          <w:divsChild>
            <w:div w:id="163664985">
              <w:marLeft w:val="0"/>
              <w:marRight w:val="0"/>
              <w:marTop w:val="0"/>
              <w:marBottom w:val="0"/>
              <w:divBdr>
                <w:top w:val="none" w:sz="0" w:space="0" w:color="auto"/>
                <w:left w:val="none" w:sz="0" w:space="0" w:color="auto"/>
                <w:bottom w:val="none" w:sz="0" w:space="0" w:color="auto"/>
                <w:right w:val="none" w:sz="0" w:space="0" w:color="auto"/>
              </w:divBdr>
            </w:div>
          </w:divsChild>
        </w:div>
        <w:div w:id="135488163">
          <w:marLeft w:val="0"/>
          <w:marRight w:val="0"/>
          <w:marTop w:val="0"/>
          <w:marBottom w:val="0"/>
          <w:divBdr>
            <w:top w:val="none" w:sz="0" w:space="0" w:color="auto"/>
            <w:left w:val="none" w:sz="0" w:space="0" w:color="auto"/>
            <w:bottom w:val="none" w:sz="0" w:space="0" w:color="auto"/>
            <w:right w:val="none" w:sz="0" w:space="0" w:color="auto"/>
          </w:divBdr>
          <w:divsChild>
            <w:div w:id="1380089755">
              <w:marLeft w:val="0"/>
              <w:marRight w:val="0"/>
              <w:marTop w:val="0"/>
              <w:marBottom w:val="0"/>
              <w:divBdr>
                <w:top w:val="none" w:sz="0" w:space="0" w:color="auto"/>
                <w:left w:val="none" w:sz="0" w:space="0" w:color="auto"/>
                <w:bottom w:val="none" w:sz="0" w:space="0" w:color="auto"/>
                <w:right w:val="none" w:sz="0" w:space="0" w:color="auto"/>
              </w:divBdr>
            </w:div>
          </w:divsChild>
        </w:div>
        <w:div w:id="136580361">
          <w:marLeft w:val="0"/>
          <w:marRight w:val="0"/>
          <w:marTop w:val="0"/>
          <w:marBottom w:val="0"/>
          <w:divBdr>
            <w:top w:val="none" w:sz="0" w:space="0" w:color="auto"/>
            <w:left w:val="none" w:sz="0" w:space="0" w:color="auto"/>
            <w:bottom w:val="none" w:sz="0" w:space="0" w:color="auto"/>
            <w:right w:val="none" w:sz="0" w:space="0" w:color="auto"/>
          </w:divBdr>
          <w:divsChild>
            <w:div w:id="682512246">
              <w:marLeft w:val="0"/>
              <w:marRight w:val="0"/>
              <w:marTop w:val="0"/>
              <w:marBottom w:val="0"/>
              <w:divBdr>
                <w:top w:val="none" w:sz="0" w:space="0" w:color="auto"/>
                <w:left w:val="none" w:sz="0" w:space="0" w:color="auto"/>
                <w:bottom w:val="none" w:sz="0" w:space="0" w:color="auto"/>
                <w:right w:val="none" w:sz="0" w:space="0" w:color="auto"/>
              </w:divBdr>
            </w:div>
          </w:divsChild>
        </w:div>
        <w:div w:id="139735314">
          <w:marLeft w:val="0"/>
          <w:marRight w:val="0"/>
          <w:marTop w:val="0"/>
          <w:marBottom w:val="0"/>
          <w:divBdr>
            <w:top w:val="none" w:sz="0" w:space="0" w:color="auto"/>
            <w:left w:val="none" w:sz="0" w:space="0" w:color="auto"/>
            <w:bottom w:val="none" w:sz="0" w:space="0" w:color="auto"/>
            <w:right w:val="none" w:sz="0" w:space="0" w:color="auto"/>
          </w:divBdr>
          <w:divsChild>
            <w:div w:id="751006274">
              <w:marLeft w:val="0"/>
              <w:marRight w:val="0"/>
              <w:marTop w:val="0"/>
              <w:marBottom w:val="0"/>
              <w:divBdr>
                <w:top w:val="none" w:sz="0" w:space="0" w:color="auto"/>
                <w:left w:val="none" w:sz="0" w:space="0" w:color="auto"/>
                <w:bottom w:val="none" w:sz="0" w:space="0" w:color="auto"/>
                <w:right w:val="none" w:sz="0" w:space="0" w:color="auto"/>
              </w:divBdr>
            </w:div>
          </w:divsChild>
        </w:div>
        <w:div w:id="145973348">
          <w:marLeft w:val="0"/>
          <w:marRight w:val="0"/>
          <w:marTop w:val="0"/>
          <w:marBottom w:val="0"/>
          <w:divBdr>
            <w:top w:val="none" w:sz="0" w:space="0" w:color="auto"/>
            <w:left w:val="none" w:sz="0" w:space="0" w:color="auto"/>
            <w:bottom w:val="none" w:sz="0" w:space="0" w:color="auto"/>
            <w:right w:val="none" w:sz="0" w:space="0" w:color="auto"/>
          </w:divBdr>
          <w:divsChild>
            <w:div w:id="1007632902">
              <w:marLeft w:val="0"/>
              <w:marRight w:val="0"/>
              <w:marTop w:val="0"/>
              <w:marBottom w:val="0"/>
              <w:divBdr>
                <w:top w:val="none" w:sz="0" w:space="0" w:color="auto"/>
                <w:left w:val="none" w:sz="0" w:space="0" w:color="auto"/>
                <w:bottom w:val="none" w:sz="0" w:space="0" w:color="auto"/>
                <w:right w:val="none" w:sz="0" w:space="0" w:color="auto"/>
              </w:divBdr>
            </w:div>
          </w:divsChild>
        </w:div>
        <w:div w:id="147327827">
          <w:marLeft w:val="0"/>
          <w:marRight w:val="0"/>
          <w:marTop w:val="0"/>
          <w:marBottom w:val="0"/>
          <w:divBdr>
            <w:top w:val="none" w:sz="0" w:space="0" w:color="auto"/>
            <w:left w:val="none" w:sz="0" w:space="0" w:color="auto"/>
            <w:bottom w:val="none" w:sz="0" w:space="0" w:color="auto"/>
            <w:right w:val="none" w:sz="0" w:space="0" w:color="auto"/>
          </w:divBdr>
          <w:divsChild>
            <w:div w:id="521894314">
              <w:marLeft w:val="0"/>
              <w:marRight w:val="0"/>
              <w:marTop w:val="0"/>
              <w:marBottom w:val="0"/>
              <w:divBdr>
                <w:top w:val="none" w:sz="0" w:space="0" w:color="auto"/>
                <w:left w:val="none" w:sz="0" w:space="0" w:color="auto"/>
                <w:bottom w:val="none" w:sz="0" w:space="0" w:color="auto"/>
                <w:right w:val="none" w:sz="0" w:space="0" w:color="auto"/>
              </w:divBdr>
            </w:div>
          </w:divsChild>
        </w:div>
        <w:div w:id="156575449">
          <w:marLeft w:val="0"/>
          <w:marRight w:val="0"/>
          <w:marTop w:val="0"/>
          <w:marBottom w:val="0"/>
          <w:divBdr>
            <w:top w:val="none" w:sz="0" w:space="0" w:color="auto"/>
            <w:left w:val="none" w:sz="0" w:space="0" w:color="auto"/>
            <w:bottom w:val="none" w:sz="0" w:space="0" w:color="auto"/>
            <w:right w:val="none" w:sz="0" w:space="0" w:color="auto"/>
          </w:divBdr>
          <w:divsChild>
            <w:div w:id="106318613">
              <w:marLeft w:val="0"/>
              <w:marRight w:val="0"/>
              <w:marTop w:val="0"/>
              <w:marBottom w:val="0"/>
              <w:divBdr>
                <w:top w:val="none" w:sz="0" w:space="0" w:color="auto"/>
                <w:left w:val="none" w:sz="0" w:space="0" w:color="auto"/>
                <w:bottom w:val="none" w:sz="0" w:space="0" w:color="auto"/>
                <w:right w:val="none" w:sz="0" w:space="0" w:color="auto"/>
              </w:divBdr>
            </w:div>
          </w:divsChild>
        </w:div>
        <w:div w:id="157581304">
          <w:marLeft w:val="0"/>
          <w:marRight w:val="0"/>
          <w:marTop w:val="0"/>
          <w:marBottom w:val="0"/>
          <w:divBdr>
            <w:top w:val="none" w:sz="0" w:space="0" w:color="auto"/>
            <w:left w:val="none" w:sz="0" w:space="0" w:color="auto"/>
            <w:bottom w:val="none" w:sz="0" w:space="0" w:color="auto"/>
            <w:right w:val="none" w:sz="0" w:space="0" w:color="auto"/>
          </w:divBdr>
          <w:divsChild>
            <w:div w:id="453982222">
              <w:marLeft w:val="0"/>
              <w:marRight w:val="0"/>
              <w:marTop w:val="0"/>
              <w:marBottom w:val="0"/>
              <w:divBdr>
                <w:top w:val="none" w:sz="0" w:space="0" w:color="auto"/>
                <w:left w:val="none" w:sz="0" w:space="0" w:color="auto"/>
                <w:bottom w:val="none" w:sz="0" w:space="0" w:color="auto"/>
                <w:right w:val="none" w:sz="0" w:space="0" w:color="auto"/>
              </w:divBdr>
            </w:div>
          </w:divsChild>
        </w:div>
        <w:div w:id="165095182">
          <w:marLeft w:val="0"/>
          <w:marRight w:val="0"/>
          <w:marTop w:val="0"/>
          <w:marBottom w:val="0"/>
          <w:divBdr>
            <w:top w:val="none" w:sz="0" w:space="0" w:color="auto"/>
            <w:left w:val="none" w:sz="0" w:space="0" w:color="auto"/>
            <w:bottom w:val="none" w:sz="0" w:space="0" w:color="auto"/>
            <w:right w:val="none" w:sz="0" w:space="0" w:color="auto"/>
          </w:divBdr>
          <w:divsChild>
            <w:div w:id="1144154426">
              <w:marLeft w:val="0"/>
              <w:marRight w:val="0"/>
              <w:marTop w:val="0"/>
              <w:marBottom w:val="0"/>
              <w:divBdr>
                <w:top w:val="none" w:sz="0" w:space="0" w:color="auto"/>
                <w:left w:val="none" w:sz="0" w:space="0" w:color="auto"/>
                <w:bottom w:val="none" w:sz="0" w:space="0" w:color="auto"/>
                <w:right w:val="none" w:sz="0" w:space="0" w:color="auto"/>
              </w:divBdr>
            </w:div>
          </w:divsChild>
        </w:div>
        <w:div w:id="168101742">
          <w:marLeft w:val="0"/>
          <w:marRight w:val="0"/>
          <w:marTop w:val="0"/>
          <w:marBottom w:val="0"/>
          <w:divBdr>
            <w:top w:val="none" w:sz="0" w:space="0" w:color="auto"/>
            <w:left w:val="none" w:sz="0" w:space="0" w:color="auto"/>
            <w:bottom w:val="none" w:sz="0" w:space="0" w:color="auto"/>
            <w:right w:val="none" w:sz="0" w:space="0" w:color="auto"/>
          </w:divBdr>
          <w:divsChild>
            <w:div w:id="360278107">
              <w:marLeft w:val="0"/>
              <w:marRight w:val="0"/>
              <w:marTop w:val="0"/>
              <w:marBottom w:val="0"/>
              <w:divBdr>
                <w:top w:val="none" w:sz="0" w:space="0" w:color="auto"/>
                <w:left w:val="none" w:sz="0" w:space="0" w:color="auto"/>
                <w:bottom w:val="none" w:sz="0" w:space="0" w:color="auto"/>
                <w:right w:val="none" w:sz="0" w:space="0" w:color="auto"/>
              </w:divBdr>
            </w:div>
          </w:divsChild>
        </w:div>
        <w:div w:id="170459704">
          <w:marLeft w:val="0"/>
          <w:marRight w:val="0"/>
          <w:marTop w:val="0"/>
          <w:marBottom w:val="0"/>
          <w:divBdr>
            <w:top w:val="none" w:sz="0" w:space="0" w:color="auto"/>
            <w:left w:val="none" w:sz="0" w:space="0" w:color="auto"/>
            <w:bottom w:val="none" w:sz="0" w:space="0" w:color="auto"/>
            <w:right w:val="none" w:sz="0" w:space="0" w:color="auto"/>
          </w:divBdr>
          <w:divsChild>
            <w:div w:id="1990397987">
              <w:marLeft w:val="0"/>
              <w:marRight w:val="0"/>
              <w:marTop w:val="0"/>
              <w:marBottom w:val="0"/>
              <w:divBdr>
                <w:top w:val="none" w:sz="0" w:space="0" w:color="auto"/>
                <w:left w:val="none" w:sz="0" w:space="0" w:color="auto"/>
                <w:bottom w:val="none" w:sz="0" w:space="0" w:color="auto"/>
                <w:right w:val="none" w:sz="0" w:space="0" w:color="auto"/>
              </w:divBdr>
            </w:div>
          </w:divsChild>
        </w:div>
        <w:div w:id="182793611">
          <w:marLeft w:val="0"/>
          <w:marRight w:val="0"/>
          <w:marTop w:val="0"/>
          <w:marBottom w:val="0"/>
          <w:divBdr>
            <w:top w:val="none" w:sz="0" w:space="0" w:color="auto"/>
            <w:left w:val="none" w:sz="0" w:space="0" w:color="auto"/>
            <w:bottom w:val="none" w:sz="0" w:space="0" w:color="auto"/>
            <w:right w:val="none" w:sz="0" w:space="0" w:color="auto"/>
          </w:divBdr>
          <w:divsChild>
            <w:div w:id="1035541016">
              <w:marLeft w:val="0"/>
              <w:marRight w:val="0"/>
              <w:marTop w:val="0"/>
              <w:marBottom w:val="0"/>
              <w:divBdr>
                <w:top w:val="none" w:sz="0" w:space="0" w:color="auto"/>
                <w:left w:val="none" w:sz="0" w:space="0" w:color="auto"/>
                <w:bottom w:val="none" w:sz="0" w:space="0" w:color="auto"/>
                <w:right w:val="none" w:sz="0" w:space="0" w:color="auto"/>
              </w:divBdr>
            </w:div>
          </w:divsChild>
        </w:div>
        <w:div w:id="183978666">
          <w:marLeft w:val="0"/>
          <w:marRight w:val="0"/>
          <w:marTop w:val="0"/>
          <w:marBottom w:val="0"/>
          <w:divBdr>
            <w:top w:val="none" w:sz="0" w:space="0" w:color="auto"/>
            <w:left w:val="none" w:sz="0" w:space="0" w:color="auto"/>
            <w:bottom w:val="none" w:sz="0" w:space="0" w:color="auto"/>
            <w:right w:val="none" w:sz="0" w:space="0" w:color="auto"/>
          </w:divBdr>
          <w:divsChild>
            <w:div w:id="1664972825">
              <w:marLeft w:val="0"/>
              <w:marRight w:val="0"/>
              <w:marTop w:val="0"/>
              <w:marBottom w:val="0"/>
              <w:divBdr>
                <w:top w:val="none" w:sz="0" w:space="0" w:color="auto"/>
                <w:left w:val="none" w:sz="0" w:space="0" w:color="auto"/>
                <w:bottom w:val="none" w:sz="0" w:space="0" w:color="auto"/>
                <w:right w:val="none" w:sz="0" w:space="0" w:color="auto"/>
              </w:divBdr>
            </w:div>
          </w:divsChild>
        </w:div>
        <w:div w:id="189730450">
          <w:marLeft w:val="0"/>
          <w:marRight w:val="0"/>
          <w:marTop w:val="0"/>
          <w:marBottom w:val="0"/>
          <w:divBdr>
            <w:top w:val="none" w:sz="0" w:space="0" w:color="auto"/>
            <w:left w:val="none" w:sz="0" w:space="0" w:color="auto"/>
            <w:bottom w:val="none" w:sz="0" w:space="0" w:color="auto"/>
            <w:right w:val="none" w:sz="0" w:space="0" w:color="auto"/>
          </w:divBdr>
          <w:divsChild>
            <w:div w:id="1381201572">
              <w:marLeft w:val="0"/>
              <w:marRight w:val="0"/>
              <w:marTop w:val="0"/>
              <w:marBottom w:val="0"/>
              <w:divBdr>
                <w:top w:val="none" w:sz="0" w:space="0" w:color="auto"/>
                <w:left w:val="none" w:sz="0" w:space="0" w:color="auto"/>
                <w:bottom w:val="none" w:sz="0" w:space="0" w:color="auto"/>
                <w:right w:val="none" w:sz="0" w:space="0" w:color="auto"/>
              </w:divBdr>
            </w:div>
          </w:divsChild>
        </w:div>
        <w:div w:id="208686401">
          <w:marLeft w:val="0"/>
          <w:marRight w:val="0"/>
          <w:marTop w:val="0"/>
          <w:marBottom w:val="0"/>
          <w:divBdr>
            <w:top w:val="none" w:sz="0" w:space="0" w:color="auto"/>
            <w:left w:val="none" w:sz="0" w:space="0" w:color="auto"/>
            <w:bottom w:val="none" w:sz="0" w:space="0" w:color="auto"/>
            <w:right w:val="none" w:sz="0" w:space="0" w:color="auto"/>
          </w:divBdr>
          <w:divsChild>
            <w:div w:id="912079389">
              <w:marLeft w:val="0"/>
              <w:marRight w:val="0"/>
              <w:marTop w:val="0"/>
              <w:marBottom w:val="0"/>
              <w:divBdr>
                <w:top w:val="none" w:sz="0" w:space="0" w:color="auto"/>
                <w:left w:val="none" w:sz="0" w:space="0" w:color="auto"/>
                <w:bottom w:val="none" w:sz="0" w:space="0" w:color="auto"/>
                <w:right w:val="none" w:sz="0" w:space="0" w:color="auto"/>
              </w:divBdr>
            </w:div>
          </w:divsChild>
        </w:div>
        <w:div w:id="212933266">
          <w:marLeft w:val="0"/>
          <w:marRight w:val="0"/>
          <w:marTop w:val="0"/>
          <w:marBottom w:val="0"/>
          <w:divBdr>
            <w:top w:val="none" w:sz="0" w:space="0" w:color="auto"/>
            <w:left w:val="none" w:sz="0" w:space="0" w:color="auto"/>
            <w:bottom w:val="none" w:sz="0" w:space="0" w:color="auto"/>
            <w:right w:val="none" w:sz="0" w:space="0" w:color="auto"/>
          </w:divBdr>
          <w:divsChild>
            <w:div w:id="1678649547">
              <w:marLeft w:val="0"/>
              <w:marRight w:val="0"/>
              <w:marTop w:val="0"/>
              <w:marBottom w:val="0"/>
              <w:divBdr>
                <w:top w:val="none" w:sz="0" w:space="0" w:color="auto"/>
                <w:left w:val="none" w:sz="0" w:space="0" w:color="auto"/>
                <w:bottom w:val="none" w:sz="0" w:space="0" w:color="auto"/>
                <w:right w:val="none" w:sz="0" w:space="0" w:color="auto"/>
              </w:divBdr>
            </w:div>
          </w:divsChild>
        </w:div>
        <w:div w:id="222837914">
          <w:marLeft w:val="0"/>
          <w:marRight w:val="0"/>
          <w:marTop w:val="0"/>
          <w:marBottom w:val="0"/>
          <w:divBdr>
            <w:top w:val="none" w:sz="0" w:space="0" w:color="auto"/>
            <w:left w:val="none" w:sz="0" w:space="0" w:color="auto"/>
            <w:bottom w:val="none" w:sz="0" w:space="0" w:color="auto"/>
            <w:right w:val="none" w:sz="0" w:space="0" w:color="auto"/>
          </w:divBdr>
          <w:divsChild>
            <w:div w:id="99766988">
              <w:marLeft w:val="0"/>
              <w:marRight w:val="0"/>
              <w:marTop w:val="0"/>
              <w:marBottom w:val="0"/>
              <w:divBdr>
                <w:top w:val="none" w:sz="0" w:space="0" w:color="auto"/>
                <w:left w:val="none" w:sz="0" w:space="0" w:color="auto"/>
                <w:bottom w:val="none" w:sz="0" w:space="0" w:color="auto"/>
                <w:right w:val="none" w:sz="0" w:space="0" w:color="auto"/>
              </w:divBdr>
            </w:div>
          </w:divsChild>
        </w:div>
        <w:div w:id="232399170">
          <w:marLeft w:val="0"/>
          <w:marRight w:val="0"/>
          <w:marTop w:val="0"/>
          <w:marBottom w:val="0"/>
          <w:divBdr>
            <w:top w:val="none" w:sz="0" w:space="0" w:color="auto"/>
            <w:left w:val="none" w:sz="0" w:space="0" w:color="auto"/>
            <w:bottom w:val="none" w:sz="0" w:space="0" w:color="auto"/>
            <w:right w:val="none" w:sz="0" w:space="0" w:color="auto"/>
          </w:divBdr>
          <w:divsChild>
            <w:div w:id="56367583">
              <w:marLeft w:val="0"/>
              <w:marRight w:val="0"/>
              <w:marTop w:val="0"/>
              <w:marBottom w:val="0"/>
              <w:divBdr>
                <w:top w:val="none" w:sz="0" w:space="0" w:color="auto"/>
                <w:left w:val="none" w:sz="0" w:space="0" w:color="auto"/>
                <w:bottom w:val="none" w:sz="0" w:space="0" w:color="auto"/>
                <w:right w:val="none" w:sz="0" w:space="0" w:color="auto"/>
              </w:divBdr>
            </w:div>
          </w:divsChild>
        </w:div>
        <w:div w:id="243224344">
          <w:marLeft w:val="0"/>
          <w:marRight w:val="0"/>
          <w:marTop w:val="0"/>
          <w:marBottom w:val="0"/>
          <w:divBdr>
            <w:top w:val="none" w:sz="0" w:space="0" w:color="auto"/>
            <w:left w:val="none" w:sz="0" w:space="0" w:color="auto"/>
            <w:bottom w:val="none" w:sz="0" w:space="0" w:color="auto"/>
            <w:right w:val="none" w:sz="0" w:space="0" w:color="auto"/>
          </w:divBdr>
          <w:divsChild>
            <w:div w:id="207182671">
              <w:marLeft w:val="0"/>
              <w:marRight w:val="0"/>
              <w:marTop w:val="0"/>
              <w:marBottom w:val="0"/>
              <w:divBdr>
                <w:top w:val="none" w:sz="0" w:space="0" w:color="auto"/>
                <w:left w:val="none" w:sz="0" w:space="0" w:color="auto"/>
                <w:bottom w:val="none" w:sz="0" w:space="0" w:color="auto"/>
                <w:right w:val="none" w:sz="0" w:space="0" w:color="auto"/>
              </w:divBdr>
            </w:div>
          </w:divsChild>
        </w:div>
        <w:div w:id="258098258">
          <w:marLeft w:val="0"/>
          <w:marRight w:val="0"/>
          <w:marTop w:val="0"/>
          <w:marBottom w:val="0"/>
          <w:divBdr>
            <w:top w:val="none" w:sz="0" w:space="0" w:color="auto"/>
            <w:left w:val="none" w:sz="0" w:space="0" w:color="auto"/>
            <w:bottom w:val="none" w:sz="0" w:space="0" w:color="auto"/>
            <w:right w:val="none" w:sz="0" w:space="0" w:color="auto"/>
          </w:divBdr>
          <w:divsChild>
            <w:div w:id="826822378">
              <w:marLeft w:val="0"/>
              <w:marRight w:val="0"/>
              <w:marTop w:val="0"/>
              <w:marBottom w:val="0"/>
              <w:divBdr>
                <w:top w:val="none" w:sz="0" w:space="0" w:color="auto"/>
                <w:left w:val="none" w:sz="0" w:space="0" w:color="auto"/>
                <w:bottom w:val="none" w:sz="0" w:space="0" w:color="auto"/>
                <w:right w:val="none" w:sz="0" w:space="0" w:color="auto"/>
              </w:divBdr>
            </w:div>
          </w:divsChild>
        </w:div>
        <w:div w:id="264581281">
          <w:marLeft w:val="0"/>
          <w:marRight w:val="0"/>
          <w:marTop w:val="0"/>
          <w:marBottom w:val="0"/>
          <w:divBdr>
            <w:top w:val="none" w:sz="0" w:space="0" w:color="auto"/>
            <w:left w:val="none" w:sz="0" w:space="0" w:color="auto"/>
            <w:bottom w:val="none" w:sz="0" w:space="0" w:color="auto"/>
            <w:right w:val="none" w:sz="0" w:space="0" w:color="auto"/>
          </w:divBdr>
          <w:divsChild>
            <w:div w:id="1584606138">
              <w:marLeft w:val="0"/>
              <w:marRight w:val="0"/>
              <w:marTop w:val="0"/>
              <w:marBottom w:val="0"/>
              <w:divBdr>
                <w:top w:val="none" w:sz="0" w:space="0" w:color="auto"/>
                <w:left w:val="none" w:sz="0" w:space="0" w:color="auto"/>
                <w:bottom w:val="none" w:sz="0" w:space="0" w:color="auto"/>
                <w:right w:val="none" w:sz="0" w:space="0" w:color="auto"/>
              </w:divBdr>
            </w:div>
          </w:divsChild>
        </w:div>
        <w:div w:id="271937789">
          <w:marLeft w:val="0"/>
          <w:marRight w:val="0"/>
          <w:marTop w:val="0"/>
          <w:marBottom w:val="0"/>
          <w:divBdr>
            <w:top w:val="none" w:sz="0" w:space="0" w:color="auto"/>
            <w:left w:val="none" w:sz="0" w:space="0" w:color="auto"/>
            <w:bottom w:val="none" w:sz="0" w:space="0" w:color="auto"/>
            <w:right w:val="none" w:sz="0" w:space="0" w:color="auto"/>
          </w:divBdr>
          <w:divsChild>
            <w:div w:id="624048553">
              <w:marLeft w:val="0"/>
              <w:marRight w:val="0"/>
              <w:marTop w:val="0"/>
              <w:marBottom w:val="0"/>
              <w:divBdr>
                <w:top w:val="none" w:sz="0" w:space="0" w:color="auto"/>
                <w:left w:val="none" w:sz="0" w:space="0" w:color="auto"/>
                <w:bottom w:val="none" w:sz="0" w:space="0" w:color="auto"/>
                <w:right w:val="none" w:sz="0" w:space="0" w:color="auto"/>
              </w:divBdr>
            </w:div>
          </w:divsChild>
        </w:div>
        <w:div w:id="273944382">
          <w:marLeft w:val="0"/>
          <w:marRight w:val="0"/>
          <w:marTop w:val="0"/>
          <w:marBottom w:val="0"/>
          <w:divBdr>
            <w:top w:val="none" w:sz="0" w:space="0" w:color="auto"/>
            <w:left w:val="none" w:sz="0" w:space="0" w:color="auto"/>
            <w:bottom w:val="none" w:sz="0" w:space="0" w:color="auto"/>
            <w:right w:val="none" w:sz="0" w:space="0" w:color="auto"/>
          </w:divBdr>
          <w:divsChild>
            <w:div w:id="1890725284">
              <w:marLeft w:val="0"/>
              <w:marRight w:val="0"/>
              <w:marTop w:val="0"/>
              <w:marBottom w:val="0"/>
              <w:divBdr>
                <w:top w:val="none" w:sz="0" w:space="0" w:color="auto"/>
                <w:left w:val="none" w:sz="0" w:space="0" w:color="auto"/>
                <w:bottom w:val="none" w:sz="0" w:space="0" w:color="auto"/>
                <w:right w:val="none" w:sz="0" w:space="0" w:color="auto"/>
              </w:divBdr>
            </w:div>
          </w:divsChild>
        </w:div>
        <w:div w:id="276371979">
          <w:marLeft w:val="0"/>
          <w:marRight w:val="0"/>
          <w:marTop w:val="0"/>
          <w:marBottom w:val="0"/>
          <w:divBdr>
            <w:top w:val="none" w:sz="0" w:space="0" w:color="auto"/>
            <w:left w:val="none" w:sz="0" w:space="0" w:color="auto"/>
            <w:bottom w:val="none" w:sz="0" w:space="0" w:color="auto"/>
            <w:right w:val="none" w:sz="0" w:space="0" w:color="auto"/>
          </w:divBdr>
          <w:divsChild>
            <w:div w:id="237522493">
              <w:marLeft w:val="0"/>
              <w:marRight w:val="0"/>
              <w:marTop w:val="0"/>
              <w:marBottom w:val="0"/>
              <w:divBdr>
                <w:top w:val="none" w:sz="0" w:space="0" w:color="auto"/>
                <w:left w:val="none" w:sz="0" w:space="0" w:color="auto"/>
                <w:bottom w:val="none" w:sz="0" w:space="0" w:color="auto"/>
                <w:right w:val="none" w:sz="0" w:space="0" w:color="auto"/>
              </w:divBdr>
            </w:div>
          </w:divsChild>
        </w:div>
        <w:div w:id="287901331">
          <w:marLeft w:val="0"/>
          <w:marRight w:val="0"/>
          <w:marTop w:val="0"/>
          <w:marBottom w:val="0"/>
          <w:divBdr>
            <w:top w:val="none" w:sz="0" w:space="0" w:color="auto"/>
            <w:left w:val="none" w:sz="0" w:space="0" w:color="auto"/>
            <w:bottom w:val="none" w:sz="0" w:space="0" w:color="auto"/>
            <w:right w:val="none" w:sz="0" w:space="0" w:color="auto"/>
          </w:divBdr>
          <w:divsChild>
            <w:div w:id="39062796">
              <w:marLeft w:val="0"/>
              <w:marRight w:val="0"/>
              <w:marTop w:val="0"/>
              <w:marBottom w:val="0"/>
              <w:divBdr>
                <w:top w:val="none" w:sz="0" w:space="0" w:color="auto"/>
                <w:left w:val="none" w:sz="0" w:space="0" w:color="auto"/>
                <w:bottom w:val="none" w:sz="0" w:space="0" w:color="auto"/>
                <w:right w:val="none" w:sz="0" w:space="0" w:color="auto"/>
              </w:divBdr>
            </w:div>
          </w:divsChild>
        </w:div>
        <w:div w:id="289821766">
          <w:marLeft w:val="0"/>
          <w:marRight w:val="0"/>
          <w:marTop w:val="0"/>
          <w:marBottom w:val="0"/>
          <w:divBdr>
            <w:top w:val="none" w:sz="0" w:space="0" w:color="auto"/>
            <w:left w:val="none" w:sz="0" w:space="0" w:color="auto"/>
            <w:bottom w:val="none" w:sz="0" w:space="0" w:color="auto"/>
            <w:right w:val="none" w:sz="0" w:space="0" w:color="auto"/>
          </w:divBdr>
          <w:divsChild>
            <w:div w:id="1783376686">
              <w:marLeft w:val="0"/>
              <w:marRight w:val="0"/>
              <w:marTop w:val="0"/>
              <w:marBottom w:val="0"/>
              <w:divBdr>
                <w:top w:val="none" w:sz="0" w:space="0" w:color="auto"/>
                <w:left w:val="none" w:sz="0" w:space="0" w:color="auto"/>
                <w:bottom w:val="none" w:sz="0" w:space="0" w:color="auto"/>
                <w:right w:val="none" w:sz="0" w:space="0" w:color="auto"/>
              </w:divBdr>
            </w:div>
          </w:divsChild>
        </w:div>
        <w:div w:id="296957556">
          <w:marLeft w:val="0"/>
          <w:marRight w:val="0"/>
          <w:marTop w:val="0"/>
          <w:marBottom w:val="0"/>
          <w:divBdr>
            <w:top w:val="none" w:sz="0" w:space="0" w:color="auto"/>
            <w:left w:val="none" w:sz="0" w:space="0" w:color="auto"/>
            <w:bottom w:val="none" w:sz="0" w:space="0" w:color="auto"/>
            <w:right w:val="none" w:sz="0" w:space="0" w:color="auto"/>
          </w:divBdr>
          <w:divsChild>
            <w:div w:id="1663459785">
              <w:marLeft w:val="0"/>
              <w:marRight w:val="0"/>
              <w:marTop w:val="0"/>
              <w:marBottom w:val="0"/>
              <w:divBdr>
                <w:top w:val="none" w:sz="0" w:space="0" w:color="auto"/>
                <w:left w:val="none" w:sz="0" w:space="0" w:color="auto"/>
                <w:bottom w:val="none" w:sz="0" w:space="0" w:color="auto"/>
                <w:right w:val="none" w:sz="0" w:space="0" w:color="auto"/>
              </w:divBdr>
            </w:div>
          </w:divsChild>
        </w:div>
        <w:div w:id="305286343">
          <w:marLeft w:val="0"/>
          <w:marRight w:val="0"/>
          <w:marTop w:val="0"/>
          <w:marBottom w:val="0"/>
          <w:divBdr>
            <w:top w:val="none" w:sz="0" w:space="0" w:color="auto"/>
            <w:left w:val="none" w:sz="0" w:space="0" w:color="auto"/>
            <w:bottom w:val="none" w:sz="0" w:space="0" w:color="auto"/>
            <w:right w:val="none" w:sz="0" w:space="0" w:color="auto"/>
          </w:divBdr>
          <w:divsChild>
            <w:div w:id="813330153">
              <w:marLeft w:val="0"/>
              <w:marRight w:val="0"/>
              <w:marTop w:val="0"/>
              <w:marBottom w:val="0"/>
              <w:divBdr>
                <w:top w:val="none" w:sz="0" w:space="0" w:color="auto"/>
                <w:left w:val="none" w:sz="0" w:space="0" w:color="auto"/>
                <w:bottom w:val="none" w:sz="0" w:space="0" w:color="auto"/>
                <w:right w:val="none" w:sz="0" w:space="0" w:color="auto"/>
              </w:divBdr>
            </w:div>
          </w:divsChild>
        </w:div>
        <w:div w:id="315038873">
          <w:marLeft w:val="0"/>
          <w:marRight w:val="0"/>
          <w:marTop w:val="0"/>
          <w:marBottom w:val="0"/>
          <w:divBdr>
            <w:top w:val="none" w:sz="0" w:space="0" w:color="auto"/>
            <w:left w:val="none" w:sz="0" w:space="0" w:color="auto"/>
            <w:bottom w:val="none" w:sz="0" w:space="0" w:color="auto"/>
            <w:right w:val="none" w:sz="0" w:space="0" w:color="auto"/>
          </w:divBdr>
          <w:divsChild>
            <w:div w:id="1659503897">
              <w:marLeft w:val="0"/>
              <w:marRight w:val="0"/>
              <w:marTop w:val="0"/>
              <w:marBottom w:val="0"/>
              <w:divBdr>
                <w:top w:val="none" w:sz="0" w:space="0" w:color="auto"/>
                <w:left w:val="none" w:sz="0" w:space="0" w:color="auto"/>
                <w:bottom w:val="none" w:sz="0" w:space="0" w:color="auto"/>
                <w:right w:val="none" w:sz="0" w:space="0" w:color="auto"/>
              </w:divBdr>
            </w:div>
          </w:divsChild>
        </w:div>
        <w:div w:id="315113414">
          <w:marLeft w:val="0"/>
          <w:marRight w:val="0"/>
          <w:marTop w:val="0"/>
          <w:marBottom w:val="0"/>
          <w:divBdr>
            <w:top w:val="none" w:sz="0" w:space="0" w:color="auto"/>
            <w:left w:val="none" w:sz="0" w:space="0" w:color="auto"/>
            <w:bottom w:val="none" w:sz="0" w:space="0" w:color="auto"/>
            <w:right w:val="none" w:sz="0" w:space="0" w:color="auto"/>
          </w:divBdr>
          <w:divsChild>
            <w:div w:id="975262429">
              <w:marLeft w:val="0"/>
              <w:marRight w:val="0"/>
              <w:marTop w:val="0"/>
              <w:marBottom w:val="0"/>
              <w:divBdr>
                <w:top w:val="none" w:sz="0" w:space="0" w:color="auto"/>
                <w:left w:val="none" w:sz="0" w:space="0" w:color="auto"/>
                <w:bottom w:val="none" w:sz="0" w:space="0" w:color="auto"/>
                <w:right w:val="none" w:sz="0" w:space="0" w:color="auto"/>
              </w:divBdr>
            </w:div>
          </w:divsChild>
        </w:div>
        <w:div w:id="321274395">
          <w:marLeft w:val="0"/>
          <w:marRight w:val="0"/>
          <w:marTop w:val="0"/>
          <w:marBottom w:val="0"/>
          <w:divBdr>
            <w:top w:val="none" w:sz="0" w:space="0" w:color="auto"/>
            <w:left w:val="none" w:sz="0" w:space="0" w:color="auto"/>
            <w:bottom w:val="none" w:sz="0" w:space="0" w:color="auto"/>
            <w:right w:val="none" w:sz="0" w:space="0" w:color="auto"/>
          </w:divBdr>
          <w:divsChild>
            <w:div w:id="737829535">
              <w:marLeft w:val="0"/>
              <w:marRight w:val="0"/>
              <w:marTop w:val="0"/>
              <w:marBottom w:val="0"/>
              <w:divBdr>
                <w:top w:val="none" w:sz="0" w:space="0" w:color="auto"/>
                <w:left w:val="none" w:sz="0" w:space="0" w:color="auto"/>
                <w:bottom w:val="none" w:sz="0" w:space="0" w:color="auto"/>
                <w:right w:val="none" w:sz="0" w:space="0" w:color="auto"/>
              </w:divBdr>
            </w:div>
          </w:divsChild>
        </w:div>
        <w:div w:id="327680249">
          <w:marLeft w:val="0"/>
          <w:marRight w:val="0"/>
          <w:marTop w:val="0"/>
          <w:marBottom w:val="0"/>
          <w:divBdr>
            <w:top w:val="none" w:sz="0" w:space="0" w:color="auto"/>
            <w:left w:val="none" w:sz="0" w:space="0" w:color="auto"/>
            <w:bottom w:val="none" w:sz="0" w:space="0" w:color="auto"/>
            <w:right w:val="none" w:sz="0" w:space="0" w:color="auto"/>
          </w:divBdr>
          <w:divsChild>
            <w:div w:id="682321174">
              <w:marLeft w:val="0"/>
              <w:marRight w:val="0"/>
              <w:marTop w:val="0"/>
              <w:marBottom w:val="0"/>
              <w:divBdr>
                <w:top w:val="none" w:sz="0" w:space="0" w:color="auto"/>
                <w:left w:val="none" w:sz="0" w:space="0" w:color="auto"/>
                <w:bottom w:val="none" w:sz="0" w:space="0" w:color="auto"/>
                <w:right w:val="none" w:sz="0" w:space="0" w:color="auto"/>
              </w:divBdr>
            </w:div>
          </w:divsChild>
        </w:div>
        <w:div w:id="328220305">
          <w:marLeft w:val="0"/>
          <w:marRight w:val="0"/>
          <w:marTop w:val="0"/>
          <w:marBottom w:val="0"/>
          <w:divBdr>
            <w:top w:val="none" w:sz="0" w:space="0" w:color="auto"/>
            <w:left w:val="none" w:sz="0" w:space="0" w:color="auto"/>
            <w:bottom w:val="none" w:sz="0" w:space="0" w:color="auto"/>
            <w:right w:val="none" w:sz="0" w:space="0" w:color="auto"/>
          </w:divBdr>
          <w:divsChild>
            <w:div w:id="436872602">
              <w:marLeft w:val="0"/>
              <w:marRight w:val="0"/>
              <w:marTop w:val="0"/>
              <w:marBottom w:val="0"/>
              <w:divBdr>
                <w:top w:val="none" w:sz="0" w:space="0" w:color="auto"/>
                <w:left w:val="none" w:sz="0" w:space="0" w:color="auto"/>
                <w:bottom w:val="none" w:sz="0" w:space="0" w:color="auto"/>
                <w:right w:val="none" w:sz="0" w:space="0" w:color="auto"/>
              </w:divBdr>
            </w:div>
          </w:divsChild>
        </w:div>
        <w:div w:id="331301798">
          <w:marLeft w:val="0"/>
          <w:marRight w:val="0"/>
          <w:marTop w:val="0"/>
          <w:marBottom w:val="0"/>
          <w:divBdr>
            <w:top w:val="none" w:sz="0" w:space="0" w:color="auto"/>
            <w:left w:val="none" w:sz="0" w:space="0" w:color="auto"/>
            <w:bottom w:val="none" w:sz="0" w:space="0" w:color="auto"/>
            <w:right w:val="none" w:sz="0" w:space="0" w:color="auto"/>
          </w:divBdr>
          <w:divsChild>
            <w:div w:id="1816869395">
              <w:marLeft w:val="0"/>
              <w:marRight w:val="0"/>
              <w:marTop w:val="0"/>
              <w:marBottom w:val="0"/>
              <w:divBdr>
                <w:top w:val="none" w:sz="0" w:space="0" w:color="auto"/>
                <w:left w:val="none" w:sz="0" w:space="0" w:color="auto"/>
                <w:bottom w:val="none" w:sz="0" w:space="0" w:color="auto"/>
                <w:right w:val="none" w:sz="0" w:space="0" w:color="auto"/>
              </w:divBdr>
            </w:div>
          </w:divsChild>
        </w:div>
        <w:div w:id="339161352">
          <w:marLeft w:val="0"/>
          <w:marRight w:val="0"/>
          <w:marTop w:val="0"/>
          <w:marBottom w:val="0"/>
          <w:divBdr>
            <w:top w:val="none" w:sz="0" w:space="0" w:color="auto"/>
            <w:left w:val="none" w:sz="0" w:space="0" w:color="auto"/>
            <w:bottom w:val="none" w:sz="0" w:space="0" w:color="auto"/>
            <w:right w:val="none" w:sz="0" w:space="0" w:color="auto"/>
          </w:divBdr>
          <w:divsChild>
            <w:div w:id="1078669015">
              <w:marLeft w:val="0"/>
              <w:marRight w:val="0"/>
              <w:marTop w:val="0"/>
              <w:marBottom w:val="0"/>
              <w:divBdr>
                <w:top w:val="none" w:sz="0" w:space="0" w:color="auto"/>
                <w:left w:val="none" w:sz="0" w:space="0" w:color="auto"/>
                <w:bottom w:val="none" w:sz="0" w:space="0" w:color="auto"/>
                <w:right w:val="none" w:sz="0" w:space="0" w:color="auto"/>
              </w:divBdr>
            </w:div>
          </w:divsChild>
        </w:div>
        <w:div w:id="340476920">
          <w:marLeft w:val="0"/>
          <w:marRight w:val="0"/>
          <w:marTop w:val="0"/>
          <w:marBottom w:val="0"/>
          <w:divBdr>
            <w:top w:val="none" w:sz="0" w:space="0" w:color="auto"/>
            <w:left w:val="none" w:sz="0" w:space="0" w:color="auto"/>
            <w:bottom w:val="none" w:sz="0" w:space="0" w:color="auto"/>
            <w:right w:val="none" w:sz="0" w:space="0" w:color="auto"/>
          </w:divBdr>
          <w:divsChild>
            <w:div w:id="805322663">
              <w:marLeft w:val="0"/>
              <w:marRight w:val="0"/>
              <w:marTop w:val="0"/>
              <w:marBottom w:val="0"/>
              <w:divBdr>
                <w:top w:val="none" w:sz="0" w:space="0" w:color="auto"/>
                <w:left w:val="none" w:sz="0" w:space="0" w:color="auto"/>
                <w:bottom w:val="none" w:sz="0" w:space="0" w:color="auto"/>
                <w:right w:val="none" w:sz="0" w:space="0" w:color="auto"/>
              </w:divBdr>
            </w:div>
          </w:divsChild>
        </w:div>
        <w:div w:id="353190746">
          <w:marLeft w:val="0"/>
          <w:marRight w:val="0"/>
          <w:marTop w:val="0"/>
          <w:marBottom w:val="0"/>
          <w:divBdr>
            <w:top w:val="none" w:sz="0" w:space="0" w:color="auto"/>
            <w:left w:val="none" w:sz="0" w:space="0" w:color="auto"/>
            <w:bottom w:val="none" w:sz="0" w:space="0" w:color="auto"/>
            <w:right w:val="none" w:sz="0" w:space="0" w:color="auto"/>
          </w:divBdr>
          <w:divsChild>
            <w:div w:id="478150773">
              <w:marLeft w:val="0"/>
              <w:marRight w:val="0"/>
              <w:marTop w:val="0"/>
              <w:marBottom w:val="0"/>
              <w:divBdr>
                <w:top w:val="none" w:sz="0" w:space="0" w:color="auto"/>
                <w:left w:val="none" w:sz="0" w:space="0" w:color="auto"/>
                <w:bottom w:val="none" w:sz="0" w:space="0" w:color="auto"/>
                <w:right w:val="none" w:sz="0" w:space="0" w:color="auto"/>
              </w:divBdr>
            </w:div>
          </w:divsChild>
        </w:div>
        <w:div w:id="356388754">
          <w:marLeft w:val="0"/>
          <w:marRight w:val="0"/>
          <w:marTop w:val="0"/>
          <w:marBottom w:val="0"/>
          <w:divBdr>
            <w:top w:val="none" w:sz="0" w:space="0" w:color="auto"/>
            <w:left w:val="none" w:sz="0" w:space="0" w:color="auto"/>
            <w:bottom w:val="none" w:sz="0" w:space="0" w:color="auto"/>
            <w:right w:val="none" w:sz="0" w:space="0" w:color="auto"/>
          </w:divBdr>
          <w:divsChild>
            <w:div w:id="523861909">
              <w:marLeft w:val="0"/>
              <w:marRight w:val="0"/>
              <w:marTop w:val="0"/>
              <w:marBottom w:val="0"/>
              <w:divBdr>
                <w:top w:val="none" w:sz="0" w:space="0" w:color="auto"/>
                <w:left w:val="none" w:sz="0" w:space="0" w:color="auto"/>
                <w:bottom w:val="none" w:sz="0" w:space="0" w:color="auto"/>
                <w:right w:val="none" w:sz="0" w:space="0" w:color="auto"/>
              </w:divBdr>
            </w:div>
          </w:divsChild>
        </w:div>
        <w:div w:id="364868707">
          <w:marLeft w:val="0"/>
          <w:marRight w:val="0"/>
          <w:marTop w:val="0"/>
          <w:marBottom w:val="0"/>
          <w:divBdr>
            <w:top w:val="none" w:sz="0" w:space="0" w:color="auto"/>
            <w:left w:val="none" w:sz="0" w:space="0" w:color="auto"/>
            <w:bottom w:val="none" w:sz="0" w:space="0" w:color="auto"/>
            <w:right w:val="none" w:sz="0" w:space="0" w:color="auto"/>
          </w:divBdr>
          <w:divsChild>
            <w:div w:id="1212307302">
              <w:marLeft w:val="0"/>
              <w:marRight w:val="0"/>
              <w:marTop w:val="0"/>
              <w:marBottom w:val="0"/>
              <w:divBdr>
                <w:top w:val="none" w:sz="0" w:space="0" w:color="auto"/>
                <w:left w:val="none" w:sz="0" w:space="0" w:color="auto"/>
                <w:bottom w:val="none" w:sz="0" w:space="0" w:color="auto"/>
                <w:right w:val="none" w:sz="0" w:space="0" w:color="auto"/>
              </w:divBdr>
            </w:div>
          </w:divsChild>
        </w:div>
        <w:div w:id="365911905">
          <w:marLeft w:val="0"/>
          <w:marRight w:val="0"/>
          <w:marTop w:val="0"/>
          <w:marBottom w:val="0"/>
          <w:divBdr>
            <w:top w:val="none" w:sz="0" w:space="0" w:color="auto"/>
            <w:left w:val="none" w:sz="0" w:space="0" w:color="auto"/>
            <w:bottom w:val="none" w:sz="0" w:space="0" w:color="auto"/>
            <w:right w:val="none" w:sz="0" w:space="0" w:color="auto"/>
          </w:divBdr>
          <w:divsChild>
            <w:div w:id="522590540">
              <w:marLeft w:val="0"/>
              <w:marRight w:val="0"/>
              <w:marTop w:val="0"/>
              <w:marBottom w:val="0"/>
              <w:divBdr>
                <w:top w:val="none" w:sz="0" w:space="0" w:color="auto"/>
                <w:left w:val="none" w:sz="0" w:space="0" w:color="auto"/>
                <w:bottom w:val="none" w:sz="0" w:space="0" w:color="auto"/>
                <w:right w:val="none" w:sz="0" w:space="0" w:color="auto"/>
              </w:divBdr>
            </w:div>
          </w:divsChild>
        </w:div>
        <w:div w:id="381947678">
          <w:marLeft w:val="0"/>
          <w:marRight w:val="0"/>
          <w:marTop w:val="0"/>
          <w:marBottom w:val="0"/>
          <w:divBdr>
            <w:top w:val="none" w:sz="0" w:space="0" w:color="auto"/>
            <w:left w:val="none" w:sz="0" w:space="0" w:color="auto"/>
            <w:bottom w:val="none" w:sz="0" w:space="0" w:color="auto"/>
            <w:right w:val="none" w:sz="0" w:space="0" w:color="auto"/>
          </w:divBdr>
          <w:divsChild>
            <w:div w:id="159584935">
              <w:marLeft w:val="0"/>
              <w:marRight w:val="0"/>
              <w:marTop w:val="0"/>
              <w:marBottom w:val="0"/>
              <w:divBdr>
                <w:top w:val="none" w:sz="0" w:space="0" w:color="auto"/>
                <w:left w:val="none" w:sz="0" w:space="0" w:color="auto"/>
                <w:bottom w:val="none" w:sz="0" w:space="0" w:color="auto"/>
                <w:right w:val="none" w:sz="0" w:space="0" w:color="auto"/>
              </w:divBdr>
            </w:div>
          </w:divsChild>
        </w:div>
        <w:div w:id="389960206">
          <w:marLeft w:val="0"/>
          <w:marRight w:val="0"/>
          <w:marTop w:val="0"/>
          <w:marBottom w:val="0"/>
          <w:divBdr>
            <w:top w:val="none" w:sz="0" w:space="0" w:color="auto"/>
            <w:left w:val="none" w:sz="0" w:space="0" w:color="auto"/>
            <w:bottom w:val="none" w:sz="0" w:space="0" w:color="auto"/>
            <w:right w:val="none" w:sz="0" w:space="0" w:color="auto"/>
          </w:divBdr>
          <w:divsChild>
            <w:div w:id="2121801938">
              <w:marLeft w:val="0"/>
              <w:marRight w:val="0"/>
              <w:marTop w:val="0"/>
              <w:marBottom w:val="0"/>
              <w:divBdr>
                <w:top w:val="none" w:sz="0" w:space="0" w:color="auto"/>
                <w:left w:val="none" w:sz="0" w:space="0" w:color="auto"/>
                <w:bottom w:val="none" w:sz="0" w:space="0" w:color="auto"/>
                <w:right w:val="none" w:sz="0" w:space="0" w:color="auto"/>
              </w:divBdr>
            </w:div>
          </w:divsChild>
        </w:div>
        <w:div w:id="390154918">
          <w:marLeft w:val="0"/>
          <w:marRight w:val="0"/>
          <w:marTop w:val="0"/>
          <w:marBottom w:val="0"/>
          <w:divBdr>
            <w:top w:val="none" w:sz="0" w:space="0" w:color="auto"/>
            <w:left w:val="none" w:sz="0" w:space="0" w:color="auto"/>
            <w:bottom w:val="none" w:sz="0" w:space="0" w:color="auto"/>
            <w:right w:val="none" w:sz="0" w:space="0" w:color="auto"/>
          </w:divBdr>
          <w:divsChild>
            <w:div w:id="1613318900">
              <w:marLeft w:val="0"/>
              <w:marRight w:val="0"/>
              <w:marTop w:val="0"/>
              <w:marBottom w:val="0"/>
              <w:divBdr>
                <w:top w:val="none" w:sz="0" w:space="0" w:color="auto"/>
                <w:left w:val="none" w:sz="0" w:space="0" w:color="auto"/>
                <w:bottom w:val="none" w:sz="0" w:space="0" w:color="auto"/>
                <w:right w:val="none" w:sz="0" w:space="0" w:color="auto"/>
              </w:divBdr>
            </w:div>
          </w:divsChild>
        </w:div>
        <w:div w:id="392851659">
          <w:marLeft w:val="0"/>
          <w:marRight w:val="0"/>
          <w:marTop w:val="0"/>
          <w:marBottom w:val="0"/>
          <w:divBdr>
            <w:top w:val="none" w:sz="0" w:space="0" w:color="auto"/>
            <w:left w:val="none" w:sz="0" w:space="0" w:color="auto"/>
            <w:bottom w:val="none" w:sz="0" w:space="0" w:color="auto"/>
            <w:right w:val="none" w:sz="0" w:space="0" w:color="auto"/>
          </w:divBdr>
          <w:divsChild>
            <w:div w:id="1135416989">
              <w:marLeft w:val="0"/>
              <w:marRight w:val="0"/>
              <w:marTop w:val="0"/>
              <w:marBottom w:val="0"/>
              <w:divBdr>
                <w:top w:val="none" w:sz="0" w:space="0" w:color="auto"/>
                <w:left w:val="none" w:sz="0" w:space="0" w:color="auto"/>
                <w:bottom w:val="none" w:sz="0" w:space="0" w:color="auto"/>
                <w:right w:val="none" w:sz="0" w:space="0" w:color="auto"/>
              </w:divBdr>
            </w:div>
          </w:divsChild>
        </w:div>
        <w:div w:id="395519574">
          <w:marLeft w:val="0"/>
          <w:marRight w:val="0"/>
          <w:marTop w:val="0"/>
          <w:marBottom w:val="0"/>
          <w:divBdr>
            <w:top w:val="none" w:sz="0" w:space="0" w:color="auto"/>
            <w:left w:val="none" w:sz="0" w:space="0" w:color="auto"/>
            <w:bottom w:val="none" w:sz="0" w:space="0" w:color="auto"/>
            <w:right w:val="none" w:sz="0" w:space="0" w:color="auto"/>
          </w:divBdr>
          <w:divsChild>
            <w:div w:id="2015692931">
              <w:marLeft w:val="0"/>
              <w:marRight w:val="0"/>
              <w:marTop w:val="0"/>
              <w:marBottom w:val="0"/>
              <w:divBdr>
                <w:top w:val="none" w:sz="0" w:space="0" w:color="auto"/>
                <w:left w:val="none" w:sz="0" w:space="0" w:color="auto"/>
                <w:bottom w:val="none" w:sz="0" w:space="0" w:color="auto"/>
                <w:right w:val="none" w:sz="0" w:space="0" w:color="auto"/>
              </w:divBdr>
            </w:div>
          </w:divsChild>
        </w:div>
        <w:div w:id="402800077">
          <w:marLeft w:val="0"/>
          <w:marRight w:val="0"/>
          <w:marTop w:val="0"/>
          <w:marBottom w:val="0"/>
          <w:divBdr>
            <w:top w:val="none" w:sz="0" w:space="0" w:color="auto"/>
            <w:left w:val="none" w:sz="0" w:space="0" w:color="auto"/>
            <w:bottom w:val="none" w:sz="0" w:space="0" w:color="auto"/>
            <w:right w:val="none" w:sz="0" w:space="0" w:color="auto"/>
          </w:divBdr>
          <w:divsChild>
            <w:div w:id="889728761">
              <w:marLeft w:val="0"/>
              <w:marRight w:val="0"/>
              <w:marTop w:val="0"/>
              <w:marBottom w:val="0"/>
              <w:divBdr>
                <w:top w:val="none" w:sz="0" w:space="0" w:color="auto"/>
                <w:left w:val="none" w:sz="0" w:space="0" w:color="auto"/>
                <w:bottom w:val="none" w:sz="0" w:space="0" w:color="auto"/>
                <w:right w:val="none" w:sz="0" w:space="0" w:color="auto"/>
              </w:divBdr>
            </w:div>
          </w:divsChild>
        </w:div>
        <w:div w:id="405540100">
          <w:marLeft w:val="0"/>
          <w:marRight w:val="0"/>
          <w:marTop w:val="0"/>
          <w:marBottom w:val="0"/>
          <w:divBdr>
            <w:top w:val="none" w:sz="0" w:space="0" w:color="auto"/>
            <w:left w:val="none" w:sz="0" w:space="0" w:color="auto"/>
            <w:bottom w:val="none" w:sz="0" w:space="0" w:color="auto"/>
            <w:right w:val="none" w:sz="0" w:space="0" w:color="auto"/>
          </w:divBdr>
          <w:divsChild>
            <w:div w:id="208733061">
              <w:marLeft w:val="0"/>
              <w:marRight w:val="0"/>
              <w:marTop w:val="0"/>
              <w:marBottom w:val="0"/>
              <w:divBdr>
                <w:top w:val="none" w:sz="0" w:space="0" w:color="auto"/>
                <w:left w:val="none" w:sz="0" w:space="0" w:color="auto"/>
                <w:bottom w:val="none" w:sz="0" w:space="0" w:color="auto"/>
                <w:right w:val="none" w:sz="0" w:space="0" w:color="auto"/>
              </w:divBdr>
            </w:div>
          </w:divsChild>
        </w:div>
        <w:div w:id="410352878">
          <w:marLeft w:val="0"/>
          <w:marRight w:val="0"/>
          <w:marTop w:val="0"/>
          <w:marBottom w:val="0"/>
          <w:divBdr>
            <w:top w:val="none" w:sz="0" w:space="0" w:color="auto"/>
            <w:left w:val="none" w:sz="0" w:space="0" w:color="auto"/>
            <w:bottom w:val="none" w:sz="0" w:space="0" w:color="auto"/>
            <w:right w:val="none" w:sz="0" w:space="0" w:color="auto"/>
          </w:divBdr>
          <w:divsChild>
            <w:div w:id="1976181126">
              <w:marLeft w:val="0"/>
              <w:marRight w:val="0"/>
              <w:marTop w:val="0"/>
              <w:marBottom w:val="0"/>
              <w:divBdr>
                <w:top w:val="none" w:sz="0" w:space="0" w:color="auto"/>
                <w:left w:val="none" w:sz="0" w:space="0" w:color="auto"/>
                <w:bottom w:val="none" w:sz="0" w:space="0" w:color="auto"/>
                <w:right w:val="none" w:sz="0" w:space="0" w:color="auto"/>
              </w:divBdr>
            </w:div>
          </w:divsChild>
        </w:div>
        <w:div w:id="411514654">
          <w:marLeft w:val="0"/>
          <w:marRight w:val="0"/>
          <w:marTop w:val="0"/>
          <w:marBottom w:val="0"/>
          <w:divBdr>
            <w:top w:val="none" w:sz="0" w:space="0" w:color="auto"/>
            <w:left w:val="none" w:sz="0" w:space="0" w:color="auto"/>
            <w:bottom w:val="none" w:sz="0" w:space="0" w:color="auto"/>
            <w:right w:val="none" w:sz="0" w:space="0" w:color="auto"/>
          </w:divBdr>
          <w:divsChild>
            <w:div w:id="341585710">
              <w:marLeft w:val="0"/>
              <w:marRight w:val="0"/>
              <w:marTop w:val="0"/>
              <w:marBottom w:val="0"/>
              <w:divBdr>
                <w:top w:val="none" w:sz="0" w:space="0" w:color="auto"/>
                <w:left w:val="none" w:sz="0" w:space="0" w:color="auto"/>
                <w:bottom w:val="none" w:sz="0" w:space="0" w:color="auto"/>
                <w:right w:val="none" w:sz="0" w:space="0" w:color="auto"/>
              </w:divBdr>
            </w:div>
          </w:divsChild>
        </w:div>
        <w:div w:id="411700915">
          <w:marLeft w:val="0"/>
          <w:marRight w:val="0"/>
          <w:marTop w:val="0"/>
          <w:marBottom w:val="0"/>
          <w:divBdr>
            <w:top w:val="none" w:sz="0" w:space="0" w:color="auto"/>
            <w:left w:val="none" w:sz="0" w:space="0" w:color="auto"/>
            <w:bottom w:val="none" w:sz="0" w:space="0" w:color="auto"/>
            <w:right w:val="none" w:sz="0" w:space="0" w:color="auto"/>
          </w:divBdr>
          <w:divsChild>
            <w:div w:id="1970014312">
              <w:marLeft w:val="0"/>
              <w:marRight w:val="0"/>
              <w:marTop w:val="0"/>
              <w:marBottom w:val="0"/>
              <w:divBdr>
                <w:top w:val="none" w:sz="0" w:space="0" w:color="auto"/>
                <w:left w:val="none" w:sz="0" w:space="0" w:color="auto"/>
                <w:bottom w:val="none" w:sz="0" w:space="0" w:color="auto"/>
                <w:right w:val="none" w:sz="0" w:space="0" w:color="auto"/>
              </w:divBdr>
            </w:div>
          </w:divsChild>
        </w:div>
        <w:div w:id="422803087">
          <w:marLeft w:val="0"/>
          <w:marRight w:val="0"/>
          <w:marTop w:val="0"/>
          <w:marBottom w:val="0"/>
          <w:divBdr>
            <w:top w:val="none" w:sz="0" w:space="0" w:color="auto"/>
            <w:left w:val="none" w:sz="0" w:space="0" w:color="auto"/>
            <w:bottom w:val="none" w:sz="0" w:space="0" w:color="auto"/>
            <w:right w:val="none" w:sz="0" w:space="0" w:color="auto"/>
          </w:divBdr>
          <w:divsChild>
            <w:div w:id="1173184249">
              <w:marLeft w:val="0"/>
              <w:marRight w:val="0"/>
              <w:marTop w:val="0"/>
              <w:marBottom w:val="0"/>
              <w:divBdr>
                <w:top w:val="none" w:sz="0" w:space="0" w:color="auto"/>
                <w:left w:val="none" w:sz="0" w:space="0" w:color="auto"/>
                <w:bottom w:val="none" w:sz="0" w:space="0" w:color="auto"/>
                <w:right w:val="none" w:sz="0" w:space="0" w:color="auto"/>
              </w:divBdr>
            </w:div>
          </w:divsChild>
        </w:div>
        <w:div w:id="434525314">
          <w:marLeft w:val="0"/>
          <w:marRight w:val="0"/>
          <w:marTop w:val="0"/>
          <w:marBottom w:val="0"/>
          <w:divBdr>
            <w:top w:val="none" w:sz="0" w:space="0" w:color="auto"/>
            <w:left w:val="none" w:sz="0" w:space="0" w:color="auto"/>
            <w:bottom w:val="none" w:sz="0" w:space="0" w:color="auto"/>
            <w:right w:val="none" w:sz="0" w:space="0" w:color="auto"/>
          </w:divBdr>
          <w:divsChild>
            <w:div w:id="527373274">
              <w:marLeft w:val="0"/>
              <w:marRight w:val="0"/>
              <w:marTop w:val="0"/>
              <w:marBottom w:val="0"/>
              <w:divBdr>
                <w:top w:val="none" w:sz="0" w:space="0" w:color="auto"/>
                <w:left w:val="none" w:sz="0" w:space="0" w:color="auto"/>
                <w:bottom w:val="none" w:sz="0" w:space="0" w:color="auto"/>
                <w:right w:val="none" w:sz="0" w:space="0" w:color="auto"/>
              </w:divBdr>
            </w:div>
          </w:divsChild>
        </w:div>
        <w:div w:id="434903399">
          <w:marLeft w:val="0"/>
          <w:marRight w:val="0"/>
          <w:marTop w:val="0"/>
          <w:marBottom w:val="0"/>
          <w:divBdr>
            <w:top w:val="none" w:sz="0" w:space="0" w:color="auto"/>
            <w:left w:val="none" w:sz="0" w:space="0" w:color="auto"/>
            <w:bottom w:val="none" w:sz="0" w:space="0" w:color="auto"/>
            <w:right w:val="none" w:sz="0" w:space="0" w:color="auto"/>
          </w:divBdr>
          <w:divsChild>
            <w:div w:id="1557935091">
              <w:marLeft w:val="0"/>
              <w:marRight w:val="0"/>
              <w:marTop w:val="0"/>
              <w:marBottom w:val="0"/>
              <w:divBdr>
                <w:top w:val="none" w:sz="0" w:space="0" w:color="auto"/>
                <w:left w:val="none" w:sz="0" w:space="0" w:color="auto"/>
                <w:bottom w:val="none" w:sz="0" w:space="0" w:color="auto"/>
                <w:right w:val="none" w:sz="0" w:space="0" w:color="auto"/>
              </w:divBdr>
            </w:div>
          </w:divsChild>
        </w:div>
        <w:div w:id="437604842">
          <w:marLeft w:val="0"/>
          <w:marRight w:val="0"/>
          <w:marTop w:val="0"/>
          <w:marBottom w:val="0"/>
          <w:divBdr>
            <w:top w:val="none" w:sz="0" w:space="0" w:color="auto"/>
            <w:left w:val="none" w:sz="0" w:space="0" w:color="auto"/>
            <w:bottom w:val="none" w:sz="0" w:space="0" w:color="auto"/>
            <w:right w:val="none" w:sz="0" w:space="0" w:color="auto"/>
          </w:divBdr>
          <w:divsChild>
            <w:div w:id="212010435">
              <w:marLeft w:val="0"/>
              <w:marRight w:val="0"/>
              <w:marTop w:val="0"/>
              <w:marBottom w:val="0"/>
              <w:divBdr>
                <w:top w:val="none" w:sz="0" w:space="0" w:color="auto"/>
                <w:left w:val="none" w:sz="0" w:space="0" w:color="auto"/>
                <w:bottom w:val="none" w:sz="0" w:space="0" w:color="auto"/>
                <w:right w:val="none" w:sz="0" w:space="0" w:color="auto"/>
              </w:divBdr>
            </w:div>
          </w:divsChild>
        </w:div>
        <w:div w:id="443428776">
          <w:marLeft w:val="0"/>
          <w:marRight w:val="0"/>
          <w:marTop w:val="0"/>
          <w:marBottom w:val="0"/>
          <w:divBdr>
            <w:top w:val="none" w:sz="0" w:space="0" w:color="auto"/>
            <w:left w:val="none" w:sz="0" w:space="0" w:color="auto"/>
            <w:bottom w:val="none" w:sz="0" w:space="0" w:color="auto"/>
            <w:right w:val="none" w:sz="0" w:space="0" w:color="auto"/>
          </w:divBdr>
          <w:divsChild>
            <w:div w:id="85267578">
              <w:marLeft w:val="0"/>
              <w:marRight w:val="0"/>
              <w:marTop w:val="0"/>
              <w:marBottom w:val="0"/>
              <w:divBdr>
                <w:top w:val="none" w:sz="0" w:space="0" w:color="auto"/>
                <w:left w:val="none" w:sz="0" w:space="0" w:color="auto"/>
                <w:bottom w:val="none" w:sz="0" w:space="0" w:color="auto"/>
                <w:right w:val="none" w:sz="0" w:space="0" w:color="auto"/>
              </w:divBdr>
            </w:div>
          </w:divsChild>
        </w:div>
        <w:div w:id="445345299">
          <w:marLeft w:val="0"/>
          <w:marRight w:val="0"/>
          <w:marTop w:val="0"/>
          <w:marBottom w:val="0"/>
          <w:divBdr>
            <w:top w:val="none" w:sz="0" w:space="0" w:color="auto"/>
            <w:left w:val="none" w:sz="0" w:space="0" w:color="auto"/>
            <w:bottom w:val="none" w:sz="0" w:space="0" w:color="auto"/>
            <w:right w:val="none" w:sz="0" w:space="0" w:color="auto"/>
          </w:divBdr>
          <w:divsChild>
            <w:div w:id="1906338123">
              <w:marLeft w:val="0"/>
              <w:marRight w:val="0"/>
              <w:marTop w:val="0"/>
              <w:marBottom w:val="0"/>
              <w:divBdr>
                <w:top w:val="none" w:sz="0" w:space="0" w:color="auto"/>
                <w:left w:val="none" w:sz="0" w:space="0" w:color="auto"/>
                <w:bottom w:val="none" w:sz="0" w:space="0" w:color="auto"/>
                <w:right w:val="none" w:sz="0" w:space="0" w:color="auto"/>
              </w:divBdr>
            </w:div>
          </w:divsChild>
        </w:div>
        <w:div w:id="446120551">
          <w:marLeft w:val="0"/>
          <w:marRight w:val="0"/>
          <w:marTop w:val="0"/>
          <w:marBottom w:val="0"/>
          <w:divBdr>
            <w:top w:val="none" w:sz="0" w:space="0" w:color="auto"/>
            <w:left w:val="none" w:sz="0" w:space="0" w:color="auto"/>
            <w:bottom w:val="none" w:sz="0" w:space="0" w:color="auto"/>
            <w:right w:val="none" w:sz="0" w:space="0" w:color="auto"/>
          </w:divBdr>
          <w:divsChild>
            <w:div w:id="37361469">
              <w:marLeft w:val="0"/>
              <w:marRight w:val="0"/>
              <w:marTop w:val="0"/>
              <w:marBottom w:val="0"/>
              <w:divBdr>
                <w:top w:val="none" w:sz="0" w:space="0" w:color="auto"/>
                <w:left w:val="none" w:sz="0" w:space="0" w:color="auto"/>
                <w:bottom w:val="none" w:sz="0" w:space="0" w:color="auto"/>
                <w:right w:val="none" w:sz="0" w:space="0" w:color="auto"/>
              </w:divBdr>
            </w:div>
          </w:divsChild>
        </w:div>
        <w:div w:id="453908400">
          <w:marLeft w:val="0"/>
          <w:marRight w:val="0"/>
          <w:marTop w:val="0"/>
          <w:marBottom w:val="0"/>
          <w:divBdr>
            <w:top w:val="none" w:sz="0" w:space="0" w:color="auto"/>
            <w:left w:val="none" w:sz="0" w:space="0" w:color="auto"/>
            <w:bottom w:val="none" w:sz="0" w:space="0" w:color="auto"/>
            <w:right w:val="none" w:sz="0" w:space="0" w:color="auto"/>
          </w:divBdr>
          <w:divsChild>
            <w:div w:id="1610507859">
              <w:marLeft w:val="0"/>
              <w:marRight w:val="0"/>
              <w:marTop w:val="0"/>
              <w:marBottom w:val="0"/>
              <w:divBdr>
                <w:top w:val="none" w:sz="0" w:space="0" w:color="auto"/>
                <w:left w:val="none" w:sz="0" w:space="0" w:color="auto"/>
                <w:bottom w:val="none" w:sz="0" w:space="0" w:color="auto"/>
                <w:right w:val="none" w:sz="0" w:space="0" w:color="auto"/>
              </w:divBdr>
            </w:div>
          </w:divsChild>
        </w:div>
        <w:div w:id="455099165">
          <w:marLeft w:val="0"/>
          <w:marRight w:val="0"/>
          <w:marTop w:val="0"/>
          <w:marBottom w:val="0"/>
          <w:divBdr>
            <w:top w:val="none" w:sz="0" w:space="0" w:color="auto"/>
            <w:left w:val="none" w:sz="0" w:space="0" w:color="auto"/>
            <w:bottom w:val="none" w:sz="0" w:space="0" w:color="auto"/>
            <w:right w:val="none" w:sz="0" w:space="0" w:color="auto"/>
          </w:divBdr>
          <w:divsChild>
            <w:div w:id="2077896835">
              <w:marLeft w:val="0"/>
              <w:marRight w:val="0"/>
              <w:marTop w:val="0"/>
              <w:marBottom w:val="0"/>
              <w:divBdr>
                <w:top w:val="none" w:sz="0" w:space="0" w:color="auto"/>
                <w:left w:val="none" w:sz="0" w:space="0" w:color="auto"/>
                <w:bottom w:val="none" w:sz="0" w:space="0" w:color="auto"/>
                <w:right w:val="none" w:sz="0" w:space="0" w:color="auto"/>
              </w:divBdr>
            </w:div>
          </w:divsChild>
        </w:div>
        <w:div w:id="461265464">
          <w:marLeft w:val="0"/>
          <w:marRight w:val="0"/>
          <w:marTop w:val="0"/>
          <w:marBottom w:val="0"/>
          <w:divBdr>
            <w:top w:val="none" w:sz="0" w:space="0" w:color="auto"/>
            <w:left w:val="none" w:sz="0" w:space="0" w:color="auto"/>
            <w:bottom w:val="none" w:sz="0" w:space="0" w:color="auto"/>
            <w:right w:val="none" w:sz="0" w:space="0" w:color="auto"/>
          </w:divBdr>
          <w:divsChild>
            <w:div w:id="1640761602">
              <w:marLeft w:val="0"/>
              <w:marRight w:val="0"/>
              <w:marTop w:val="0"/>
              <w:marBottom w:val="0"/>
              <w:divBdr>
                <w:top w:val="none" w:sz="0" w:space="0" w:color="auto"/>
                <w:left w:val="none" w:sz="0" w:space="0" w:color="auto"/>
                <w:bottom w:val="none" w:sz="0" w:space="0" w:color="auto"/>
                <w:right w:val="none" w:sz="0" w:space="0" w:color="auto"/>
              </w:divBdr>
            </w:div>
          </w:divsChild>
        </w:div>
        <w:div w:id="473572193">
          <w:marLeft w:val="0"/>
          <w:marRight w:val="0"/>
          <w:marTop w:val="0"/>
          <w:marBottom w:val="0"/>
          <w:divBdr>
            <w:top w:val="none" w:sz="0" w:space="0" w:color="auto"/>
            <w:left w:val="none" w:sz="0" w:space="0" w:color="auto"/>
            <w:bottom w:val="none" w:sz="0" w:space="0" w:color="auto"/>
            <w:right w:val="none" w:sz="0" w:space="0" w:color="auto"/>
          </w:divBdr>
          <w:divsChild>
            <w:div w:id="1324235821">
              <w:marLeft w:val="0"/>
              <w:marRight w:val="0"/>
              <w:marTop w:val="0"/>
              <w:marBottom w:val="0"/>
              <w:divBdr>
                <w:top w:val="none" w:sz="0" w:space="0" w:color="auto"/>
                <w:left w:val="none" w:sz="0" w:space="0" w:color="auto"/>
                <w:bottom w:val="none" w:sz="0" w:space="0" w:color="auto"/>
                <w:right w:val="none" w:sz="0" w:space="0" w:color="auto"/>
              </w:divBdr>
            </w:div>
          </w:divsChild>
        </w:div>
        <w:div w:id="476806097">
          <w:marLeft w:val="0"/>
          <w:marRight w:val="0"/>
          <w:marTop w:val="0"/>
          <w:marBottom w:val="0"/>
          <w:divBdr>
            <w:top w:val="none" w:sz="0" w:space="0" w:color="auto"/>
            <w:left w:val="none" w:sz="0" w:space="0" w:color="auto"/>
            <w:bottom w:val="none" w:sz="0" w:space="0" w:color="auto"/>
            <w:right w:val="none" w:sz="0" w:space="0" w:color="auto"/>
          </w:divBdr>
          <w:divsChild>
            <w:div w:id="1596210811">
              <w:marLeft w:val="0"/>
              <w:marRight w:val="0"/>
              <w:marTop w:val="0"/>
              <w:marBottom w:val="0"/>
              <w:divBdr>
                <w:top w:val="none" w:sz="0" w:space="0" w:color="auto"/>
                <w:left w:val="none" w:sz="0" w:space="0" w:color="auto"/>
                <w:bottom w:val="none" w:sz="0" w:space="0" w:color="auto"/>
                <w:right w:val="none" w:sz="0" w:space="0" w:color="auto"/>
              </w:divBdr>
            </w:div>
          </w:divsChild>
        </w:div>
        <w:div w:id="480772817">
          <w:marLeft w:val="0"/>
          <w:marRight w:val="0"/>
          <w:marTop w:val="0"/>
          <w:marBottom w:val="0"/>
          <w:divBdr>
            <w:top w:val="none" w:sz="0" w:space="0" w:color="auto"/>
            <w:left w:val="none" w:sz="0" w:space="0" w:color="auto"/>
            <w:bottom w:val="none" w:sz="0" w:space="0" w:color="auto"/>
            <w:right w:val="none" w:sz="0" w:space="0" w:color="auto"/>
          </w:divBdr>
          <w:divsChild>
            <w:div w:id="1366950256">
              <w:marLeft w:val="0"/>
              <w:marRight w:val="0"/>
              <w:marTop w:val="0"/>
              <w:marBottom w:val="0"/>
              <w:divBdr>
                <w:top w:val="none" w:sz="0" w:space="0" w:color="auto"/>
                <w:left w:val="none" w:sz="0" w:space="0" w:color="auto"/>
                <w:bottom w:val="none" w:sz="0" w:space="0" w:color="auto"/>
                <w:right w:val="none" w:sz="0" w:space="0" w:color="auto"/>
              </w:divBdr>
            </w:div>
          </w:divsChild>
        </w:div>
        <w:div w:id="485585855">
          <w:marLeft w:val="0"/>
          <w:marRight w:val="0"/>
          <w:marTop w:val="0"/>
          <w:marBottom w:val="0"/>
          <w:divBdr>
            <w:top w:val="none" w:sz="0" w:space="0" w:color="auto"/>
            <w:left w:val="none" w:sz="0" w:space="0" w:color="auto"/>
            <w:bottom w:val="none" w:sz="0" w:space="0" w:color="auto"/>
            <w:right w:val="none" w:sz="0" w:space="0" w:color="auto"/>
          </w:divBdr>
          <w:divsChild>
            <w:div w:id="1664549445">
              <w:marLeft w:val="0"/>
              <w:marRight w:val="0"/>
              <w:marTop w:val="0"/>
              <w:marBottom w:val="0"/>
              <w:divBdr>
                <w:top w:val="none" w:sz="0" w:space="0" w:color="auto"/>
                <w:left w:val="none" w:sz="0" w:space="0" w:color="auto"/>
                <w:bottom w:val="none" w:sz="0" w:space="0" w:color="auto"/>
                <w:right w:val="none" w:sz="0" w:space="0" w:color="auto"/>
              </w:divBdr>
            </w:div>
          </w:divsChild>
        </w:div>
        <w:div w:id="487864667">
          <w:marLeft w:val="0"/>
          <w:marRight w:val="0"/>
          <w:marTop w:val="0"/>
          <w:marBottom w:val="0"/>
          <w:divBdr>
            <w:top w:val="none" w:sz="0" w:space="0" w:color="auto"/>
            <w:left w:val="none" w:sz="0" w:space="0" w:color="auto"/>
            <w:bottom w:val="none" w:sz="0" w:space="0" w:color="auto"/>
            <w:right w:val="none" w:sz="0" w:space="0" w:color="auto"/>
          </w:divBdr>
          <w:divsChild>
            <w:div w:id="342897018">
              <w:marLeft w:val="0"/>
              <w:marRight w:val="0"/>
              <w:marTop w:val="0"/>
              <w:marBottom w:val="0"/>
              <w:divBdr>
                <w:top w:val="none" w:sz="0" w:space="0" w:color="auto"/>
                <w:left w:val="none" w:sz="0" w:space="0" w:color="auto"/>
                <w:bottom w:val="none" w:sz="0" w:space="0" w:color="auto"/>
                <w:right w:val="none" w:sz="0" w:space="0" w:color="auto"/>
              </w:divBdr>
            </w:div>
          </w:divsChild>
        </w:div>
        <w:div w:id="504436539">
          <w:marLeft w:val="0"/>
          <w:marRight w:val="0"/>
          <w:marTop w:val="0"/>
          <w:marBottom w:val="0"/>
          <w:divBdr>
            <w:top w:val="none" w:sz="0" w:space="0" w:color="auto"/>
            <w:left w:val="none" w:sz="0" w:space="0" w:color="auto"/>
            <w:bottom w:val="none" w:sz="0" w:space="0" w:color="auto"/>
            <w:right w:val="none" w:sz="0" w:space="0" w:color="auto"/>
          </w:divBdr>
          <w:divsChild>
            <w:div w:id="1640184613">
              <w:marLeft w:val="0"/>
              <w:marRight w:val="0"/>
              <w:marTop w:val="0"/>
              <w:marBottom w:val="0"/>
              <w:divBdr>
                <w:top w:val="none" w:sz="0" w:space="0" w:color="auto"/>
                <w:left w:val="none" w:sz="0" w:space="0" w:color="auto"/>
                <w:bottom w:val="none" w:sz="0" w:space="0" w:color="auto"/>
                <w:right w:val="none" w:sz="0" w:space="0" w:color="auto"/>
              </w:divBdr>
            </w:div>
          </w:divsChild>
        </w:div>
        <w:div w:id="504589703">
          <w:marLeft w:val="0"/>
          <w:marRight w:val="0"/>
          <w:marTop w:val="0"/>
          <w:marBottom w:val="0"/>
          <w:divBdr>
            <w:top w:val="none" w:sz="0" w:space="0" w:color="auto"/>
            <w:left w:val="none" w:sz="0" w:space="0" w:color="auto"/>
            <w:bottom w:val="none" w:sz="0" w:space="0" w:color="auto"/>
            <w:right w:val="none" w:sz="0" w:space="0" w:color="auto"/>
          </w:divBdr>
          <w:divsChild>
            <w:div w:id="1308902779">
              <w:marLeft w:val="0"/>
              <w:marRight w:val="0"/>
              <w:marTop w:val="0"/>
              <w:marBottom w:val="0"/>
              <w:divBdr>
                <w:top w:val="none" w:sz="0" w:space="0" w:color="auto"/>
                <w:left w:val="none" w:sz="0" w:space="0" w:color="auto"/>
                <w:bottom w:val="none" w:sz="0" w:space="0" w:color="auto"/>
                <w:right w:val="none" w:sz="0" w:space="0" w:color="auto"/>
              </w:divBdr>
            </w:div>
          </w:divsChild>
        </w:div>
        <w:div w:id="510263540">
          <w:marLeft w:val="0"/>
          <w:marRight w:val="0"/>
          <w:marTop w:val="0"/>
          <w:marBottom w:val="0"/>
          <w:divBdr>
            <w:top w:val="none" w:sz="0" w:space="0" w:color="auto"/>
            <w:left w:val="none" w:sz="0" w:space="0" w:color="auto"/>
            <w:bottom w:val="none" w:sz="0" w:space="0" w:color="auto"/>
            <w:right w:val="none" w:sz="0" w:space="0" w:color="auto"/>
          </w:divBdr>
          <w:divsChild>
            <w:div w:id="1254513691">
              <w:marLeft w:val="0"/>
              <w:marRight w:val="0"/>
              <w:marTop w:val="0"/>
              <w:marBottom w:val="0"/>
              <w:divBdr>
                <w:top w:val="none" w:sz="0" w:space="0" w:color="auto"/>
                <w:left w:val="none" w:sz="0" w:space="0" w:color="auto"/>
                <w:bottom w:val="none" w:sz="0" w:space="0" w:color="auto"/>
                <w:right w:val="none" w:sz="0" w:space="0" w:color="auto"/>
              </w:divBdr>
            </w:div>
          </w:divsChild>
        </w:div>
        <w:div w:id="514345885">
          <w:marLeft w:val="0"/>
          <w:marRight w:val="0"/>
          <w:marTop w:val="0"/>
          <w:marBottom w:val="0"/>
          <w:divBdr>
            <w:top w:val="none" w:sz="0" w:space="0" w:color="auto"/>
            <w:left w:val="none" w:sz="0" w:space="0" w:color="auto"/>
            <w:bottom w:val="none" w:sz="0" w:space="0" w:color="auto"/>
            <w:right w:val="none" w:sz="0" w:space="0" w:color="auto"/>
          </w:divBdr>
          <w:divsChild>
            <w:div w:id="155146577">
              <w:marLeft w:val="0"/>
              <w:marRight w:val="0"/>
              <w:marTop w:val="0"/>
              <w:marBottom w:val="0"/>
              <w:divBdr>
                <w:top w:val="none" w:sz="0" w:space="0" w:color="auto"/>
                <w:left w:val="none" w:sz="0" w:space="0" w:color="auto"/>
                <w:bottom w:val="none" w:sz="0" w:space="0" w:color="auto"/>
                <w:right w:val="none" w:sz="0" w:space="0" w:color="auto"/>
              </w:divBdr>
            </w:div>
          </w:divsChild>
        </w:div>
        <w:div w:id="520971054">
          <w:marLeft w:val="0"/>
          <w:marRight w:val="0"/>
          <w:marTop w:val="0"/>
          <w:marBottom w:val="0"/>
          <w:divBdr>
            <w:top w:val="none" w:sz="0" w:space="0" w:color="auto"/>
            <w:left w:val="none" w:sz="0" w:space="0" w:color="auto"/>
            <w:bottom w:val="none" w:sz="0" w:space="0" w:color="auto"/>
            <w:right w:val="none" w:sz="0" w:space="0" w:color="auto"/>
          </w:divBdr>
          <w:divsChild>
            <w:div w:id="404455370">
              <w:marLeft w:val="0"/>
              <w:marRight w:val="0"/>
              <w:marTop w:val="0"/>
              <w:marBottom w:val="0"/>
              <w:divBdr>
                <w:top w:val="none" w:sz="0" w:space="0" w:color="auto"/>
                <w:left w:val="none" w:sz="0" w:space="0" w:color="auto"/>
                <w:bottom w:val="none" w:sz="0" w:space="0" w:color="auto"/>
                <w:right w:val="none" w:sz="0" w:space="0" w:color="auto"/>
              </w:divBdr>
            </w:div>
          </w:divsChild>
        </w:div>
        <w:div w:id="530336956">
          <w:marLeft w:val="0"/>
          <w:marRight w:val="0"/>
          <w:marTop w:val="0"/>
          <w:marBottom w:val="0"/>
          <w:divBdr>
            <w:top w:val="none" w:sz="0" w:space="0" w:color="auto"/>
            <w:left w:val="none" w:sz="0" w:space="0" w:color="auto"/>
            <w:bottom w:val="none" w:sz="0" w:space="0" w:color="auto"/>
            <w:right w:val="none" w:sz="0" w:space="0" w:color="auto"/>
          </w:divBdr>
          <w:divsChild>
            <w:div w:id="1502504905">
              <w:marLeft w:val="0"/>
              <w:marRight w:val="0"/>
              <w:marTop w:val="0"/>
              <w:marBottom w:val="0"/>
              <w:divBdr>
                <w:top w:val="none" w:sz="0" w:space="0" w:color="auto"/>
                <w:left w:val="none" w:sz="0" w:space="0" w:color="auto"/>
                <w:bottom w:val="none" w:sz="0" w:space="0" w:color="auto"/>
                <w:right w:val="none" w:sz="0" w:space="0" w:color="auto"/>
              </w:divBdr>
            </w:div>
          </w:divsChild>
        </w:div>
        <w:div w:id="531184401">
          <w:marLeft w:val="0"/>
          <w:marRight w:val="0"/>
          <w:marTop w:val="0"/>
          <w:marBottom w:val="0"/>
          <w:divBdr>
            <w:top w:val="none" w:sz="0" w:space="0" w:color="auto"/>
            <w:left w:val="none" w:sz="0" w:space="0" w:color="auto"/>
            <w:bottom w:val="none" w:sz="0" w:space="0" w:color="auto"/>
            <w:right w:val="none" w:sz="0" w:space="0" w:color="auto"/>
          </w:divBdr>
          <w:divsChild>
            <w:div w:id="68818226">
              <w:marLeft w:val="0"/>
              <w:marRight w:val="0"/>
              <w:marTop w:val="0"/>
              <w:marBottom w:val="0"/>
              <w:divBdr>
                <w:top w:val="none" w:sz="0" w:space="0" w:color="auto"/>
                <w:left w:val="none" w:sz="0" w:space="0" w:color="auto"/>
                <w:bottom w:val="none" w:sz="0" w:space="0" w:color="auto"/>
                <w:right w:val="none" w:sz="0" w:space="0" w:color="auto"/>
              </w:divBdr>
            </w:div>
          </w:divsChild>
        </w:div>
        <w:div w:id="545292217">
          <w:marLeft w:val="0"/>
          <w:marRight w:val="0"/>
          <w:marTop w:val="0"/>
          <w:marBottom w:val="0"/>
          <w:divBdr>
            <w:top w:val="none" w:sz="0" w:space="0" w:color="auto"/>
            <w:left w:val="none" w:sz="0" w:space="0" w:color="auto"/>
            <w:bottom w:val="none" w:sz="0" w:space="0" w:color="auto"/>
            <w:right w:val="none" w:sz="0" w:space="0" w:color="auto"/>
          </w:divBdr>
          <w:divsChild>
            <w:div w:id="1291205280">
              <w:marLeft w:val="0"/>
              <w:marRight w:val="0"/>
              <w:marTop w:val="0"/>
              <w:marBottom w:val="0"/>
              <w:divBdr>
                <w:top w:val="none" w:sz="0" w:space="0" w:color="auto"/>
                <w:left w:val="none" w:sz="0" w:space="0" w:color="auto"/>
                <w:bottom w:val="none" w:sz="0" w:space="0" w:color="auto"/>
                <w:right w:val="none" w:sz="0" w:space="0" w:color="auto"/>
              </w:divBdr>
            </w:div>
          </w:divsChild>
        </w:div>
        <w:div w:id="556015084">
          <w:marLeft w:val="0"/>
          <w:marRight w:val="0"/>
          <w:marTop w:val="0"/>
          <w:marBottom w:val="0"/>
          <w:divBdr>
            <w:top w:val="none" w:sz="0" w:space="0" w:color="auto"/>
            <w:left w:val="none" w:sz="0" w:space="0" w:color="auto"/>
            <w:bottom w:val="none" w:sz="0" w:space="0" w:color="auto"/>
            <w:right w:val="none" w:sz="0" w:space="0" w:color="auto"/>
          </w:divBdr>
          <w:divsChild>
            <w:div w:id="1844318423">
              <w:marLeft w:val="0"/>
              <w:marRight w:val="0"/>
              <w:marTop w:val="0"/>
              <w:marBottom w:val="0"/>
              <w:divBdr>
                <w:top w:val="none" w:sz="0" w:space="0" w:color="auto"/>
                <w:left w:val="none" w:sz="0" w:space="0" w:color="auto"/>
                <w:bottom w:val="none" w:sz="0" w:space="0" w:color="auto"/>
                <w:right w:val="none" w:sz="0" w:space="0" w:color="auto"/>
              </w:divBdr>
            </w:div>
          </w:divsChild>
        </w:div>
        <w:div w:id="558173499">
          <w:marLeft w:val="0"/>
          <w:marRight w:val="0"/>
          <w:marTop w:val="0"/>
          <w:marBottom w:val="0"/>
          <w:divBdr>
            <w:top w:val="none" w:sz="0" w:space="0" w:color="auto"/>
            <w:left w:val="none" w:sz="0" w:space="0" w:color="auto"/>
            <w:bottom w:val="none" w:sz="0" w:space="0" w:color="auto"/>
            <w:right w:val="none" w:sz="0" w:space="0" w:color="auto"/>
          </w:divBdr>
          <w:divsChild>
            <w:div w:id="218590430">
              <w:marLeft w:val="0"/>
              <w:marRight w:val="0"/>
              <w:marTop w:val="0"/>
              <w:marBottom w:val="0"/>
              <w:divBdr>
                <w:top w:val="none" w:sz="0" w:space="0" w:color="auto"/>
                <w:left w:val="none" w:sz="0" w:space="0" w:color="auto"/>
                <w:bottom w:val="none" w:sz="0" w:space="0" w:color="auto"/>
                <w:right w:val="none" w:sz="0" w:space="0" w:color="auto"/>
              </w:divBdr>
            </w:div>
          </w:divsChild>
        </w:div>
        <w:div w:id="560798757">
          <w:marLeft w:val="0"/>
          <w:marRight w:val="0"/>
          <w:marTop w:val="0"/>
          <w:marBottom w:val="0"/>
          <w:divBdr>
            <w:top w:val="none" w:sz="0" w:space="0" w:color="auto"/>
            <w:left w:val="none" w:sz="0" w:space="0" w:color="auto"/>
            <w:bottom w:val="none" w:sz="0" w:space="0" w:color="auto"/>
            <w:right w:val="none" w:sz="0" w:space="0" w:color="auto"/>
          </w:divBdr>
          <w:divsChild>
            <w:div w:id="1671173419">
              <w:marLeft w:val="0"/>
              <w:marRight w:val="0"/>
              <w:marTop w:val="0"/>
              <w:marBottom w:val="0"/>
              <w:divBdr>
                <w:top w:val="none" w:sz="0" w:space="0" w:color="auto"/>
                <w:left w:val="none" w:sz="0" w:space="0" w:color="auto"/>
                <w:bottom w:val="none" w:sz="0" w:space="0" w:color="auto"/>
                <w:right w:val="none" w:sz="0" w:space="0" w:color="auto"/>
              </w:divBdr>
            </w:div>
          </w:divsChild>
        </w:div>
        <w:div w:id="563225824">
          <w:marLeft w:val="0"/>
          <w:marRight w:val="0"/>
          <w:marTop w:val="0"/>
          <w:marBottom w:val="0"/>
          <w:divBdr>
            <w:top w:val="none" w:sz="0" w:space="0" w:color="auto"/>
            <w:left w:val="none" w:sz="0" w:space="0" w:color="auto"/>
            <w:bottom w:val="none" w:sz="0" w:space="0" w:color="auto"/>
            <w:right w:val="none" w:sz="0" w:space="0" w:color="auto"/>
          </w:divBdr>
          <w:divsChild>
            <w:div w:id="135536273">
              <w:marLeft w:val="0"/>
              <w:marRight w:val="0"/>
              <w:marTop w:val="0"/>
              <w:marBottom w:val="0"/>
              <w:divBdr>
                <w:top w:val="none" w:sz="0" w:space="0" w:color="auto"/>
                <w:left w:val="none" w:sz="0" w:space="0" w:color="auto"/>
                <w:bottom w:val="none" w:sz="0" w:space="0" w:color="auto"/>
                <w:right w:val="none" w:sz="0" w:space="0" w:color="auto"/>
              </w:divBdr>
            </w:div>
            <w:div w:id="1207789922">
              <w:marLeft w:val="0"/>
              <w:marRight w:val="0"/>
              <w:marTop w:val="0"/>
              <w:marBottom w:val="0"/>
              <w:divBdr>
                <w:top w:val="none" w:sz="0" w:space="0" w:color="auto"/>
                <w:left w:val="none" w:sz="0" w:space="0" w:color="auto"/>
                <w:bottom w:val="none" w:sz="0" w:space="0" w:color="auto"/>
                <w:right w:val="none" w:sz="0" w:space="0" w:color="auto"/>
              </w:divBdr>
            </w:div>
          </w:divsChild>
        </w:div>
        <w:div w:id="563374775">
          <w:marLeft w:val="0"/>
          <w:marRight w:val="0"/>
          <w:marTop w:val="0"/>
          <w:marBottom w:val="0"/>
          <w:divBdr>
            <w:top w:val="none" w:sz="0" w:space="0" w:color="auto"/>
            <w:left w:val="none" w:sz="0" w:space="0" w:color="auto"/>
            <w:bottom w:val="none" w:sz="0" w:space="0" w:color="auto"/>
            <w:right w:val="none" w:sz="0" w:space="0" w:color="auto"/>
          </w:divBdr>
          <w:divsChild>
            <w:div w:id="2101217251">
              <w:marLeft w:val="0"/>
              <w:marRight w:val="0"/>
              <w:marTop w:val="0"/>
              <w:marBottom w:val="0"/>
              <w:divBdr>
                <w:top w:val="none" w:sz="0" w:space="0" w:color="auto"/>
                <w:left w:val="none" w:sz="0" w:space="0" w:color="auto"/>
                <w:bottom w:val="none" w:sz="0" w:space="0" w:color="auto"/>
                <w:right w:val="none" w:sz="0" w:space="0" w:color="auto"/>
              </w:divBdr>
            </w:div>
          </w:divsChild>
        </w:div>
        <w:div w:id="564294225">
          <w:marLeft w:val="0"/>
          <w:marRight w:val="0"/>
          <w:marTop w:val="0"/>
          <w:marBottom w:val="0"/>
          <w:divBdr>
            <w:top w:val="none" w:sz="0" w:space="0" w:color="auto"/>
            <w:left w:val="none" w:sz="0" w:space="0" w:color="auto"/>
            <w:bottom w:val="none" w:sz="0" w:space="0" w:color="auto"/>
            <w:right w:val="none" w:sz="0" w:space="0" w:color="auto"/>
          </w:divBdr>
          <w:divsChild>
            <w:div w:id="1508204264">
              <w:marLeft w:val="0"/>
              <w:marRight w:val="0"/>
              <w:marTop w:val="0"/>
              <w:marBottom w:val="0"/>
              <w:divBdr>
                <w:top w:val="none" w:sz="0" w:space="0" w:color="auto"/>
                <w:left w:val="none" w:sz="0" w:space="0" w:color="auto"/>
                <w:bottom w:val="none" w:sz="0" w:space="0" w:color="auto"/>
                <w:right w:val="none" w:sz="0" w:space="0" w:color="auto"/>
              </w:divBdr>
            </w:div>
          </w:divsChild>
        </w:div>
        <w:div w:id="578295249">
          <w:marLeft w:val="0"/>
          <w:marRight w:val="0"/>
          <w:marTop w:val="0"/>
          <w:marBottom w:val="0"/>
          <w:divBdr>
            <w:top w:val="none" w:sz="0" w:space="0" w:color="auto"/>
            <w:left w:val="none" w:sz="0" w:space="0" w:color="auto"/>
            <w:bottom w:val="none" w:sz="0" w:space="0" w:color="auto"/>
            <w:right w:val="none" w:sz="0" w:space="0" w:color="auto"/>
          </w:divBdr>
          <w:divsChild>
            <w:div w:id="1351176292">
              <w:marLeft w:val="0"/>
              <w:marRight w:val="0"/>
              <w:marTop w:val="0"/>
              <w:marBottom w:val="0"/>
              <w:divBdr>
                <w:top w:val="none" w:sz="0" w:space="0" w:color="auto"/>
                <w:left w:val="none" w:sz="0" w:space="0" w:color="auto"/>
                <w:bottom w:val="none" w:sz="0" w:space="0" w:color="auto"/>
                <w:right w:val="none" w:sz="0" w:space="0" w:color="auto"/>
              </w:divBdr>
            </w:div>
          </w:divsChild>
        </w:div>
        <w:div w:id="578684143">
          <w:marLeft w:val="0"/>
          <w:marRight w:val="0"/>
          <w:marTop w:val="0"/>
          <w:marBottom w:val="0"/>
          <w:divBdr>
            <w:top w:val="none" w:sz="0" w:space="0" w:color="auto"/>
            <w:left w:val="none" w:sz="0" w:space="0" w:color="auto"/>
            <w:bottom w:val="none" w:sz="0" w:space="0" w:color="auto"/>
            <w:right w:val="none" w:sz="0" w:space="0" w:color="auto"/>
          </w:divBdr>
          <w:divsChild>
            <w:div w:id="423381922">
              <w:marLeft w:val="0"/>
              <w:marRight w:val="0"/>
              <w:marTop w:val="0"/>
              <w:marBottom w:val="0"/>
              <w:divBdr>
                <w:top w:val="none" w:sz="0" w:space="0" w:color="auto"/>
                <w:left w:val="none" w:sz="0" w:space="0" w:color="auto"/>
                <w:bottom w:val="none" w:sz="0" w:space="0" w:color="auto"/>
                <w:right w:val="none" w:sz="0" w:space="0" w:color="auto"/>
              </w:divBdr>
            </w:div>
          </w:divsChild>
        </w:div>
        <w:div w:id="583295231">
          <w:marLeft w:val="0"/>
          <w:marRight w:val="0"/>
          <w:marTop w:val="0"/>
          <w:marBottom w:val="0"/>
          <w:divBdr>
            <w:top w:val="none" w:sz="0" w:space="0" w:color="auto"/>
            <w:left w:val="none" w:sz="0" w:space="0" w:color="auto"/>
            <w:bottom w:val="none" w:sz="0" w:space="0" w:color="auto"/>
            <w:right w:val="none" w:sz="0" w:space="0" w:color="auto"/>
          </w:divBdr>
          <w:divsChild>
            <w:div w:id="224606520">
              <w:marLeft w:val="0"/>
              <w:marRight w:val="0"/>
              <w:marTop w:val="0"/>
              <w:marBottom w:val="0"/>
              <w:divBdr>
                <w:top w:val="none" w:sz="0" w:space="0" w:color="auto"/>
                <w:left w:val="none" w:sz="0" w:space="0" w:color="auto"/>
                <w:bottom w:val="none" w:sz="0" w:space="0" w:color="auto"/>
                <w:right w:val="none" w:sz="0" w:space="0" w:color="auto"/>
              </w:divBdr>
            </w:div>
          </w:divsChild>
        </w:div>
        <w:div w:id="591931477">
          <w:marLeft w:val="0"/>
          <w:marRight w:val="0"/>
          <w:marTop w:val="0"/>
          <w:marBottom w:val="0"/>
          <w:divBdr>
            <w:top w:val="none" w:sz="0" w:space="0" w:color="auto"/>
            <w:left w:val="none" w:sz="0" w:space="0" w:color="auto"/>
            <w:bottom w:val="none" w:sz="0" w:space="0" w:color="auto"/>
            <w:right w:val="none" w:sz="0" w:space="0" w:color="auto"/>
          </w:divBdr>
          <w:divsChild>
            <w:div w:id="208078813">
              <w:marLeft w:val="0"/>
              <w:marRight w:val="0"/>
              <w:marTop w:val="0"/>
              <w:marBottom w:val="0"/>
              <w:divBdr>
                <w:top w:val="none" w:sz="0" w:space="0" w:color="auto"/>
                <w:left w:val="none" w:sz="0" w:space="0" w:color="auto"/>
                <w:bottom w:val="none" w:sz="0" w:space="0" w:color="auto"/>
                <w:right w:val="none" w:sz="0" w:space="0" w:color="auto"/>
              </w:divBdr>
            </w:div>
          </w:divsChild>
        </w:div>
        <w:div w:id="610940694">
          <w:marLeft w:val="0"/>
          <w:marRight w:val="0"/>
          <w:marTop w:val="0"/>
          <w:marBottom w:val="0"/>
          <w:divBdr>
            <w:top w:val="none" w:sz="0" w:space="0" w:color="auto"/>
            <w:left w:val="none" w:sz="0" w:space="0" w:color="auto"/>
            <w:bottom w:val="none" w:sz="0" w:space="0" w:color="auto"/>
            <w:right w:val="none" w:sz="0" w:space="0" w:color="auto"/>
          </w:divBdr>
          <w:divsChild>
            <w:div w:id="1466579519">
              <w:marLeft w:val="0"/>
              <w:marRight w:val="0"/>
              <w:marTop w:val="0"/>
              <w:marBottom w:val="0"/>
              <w:divBdr>
                <w:top w:val="none" w:sz="0" w:space="0" w:color="auto"/>
                <w:left w:val="none" w:sz="0" w:space="0" w:color="auto"/>
                <w:bottom w:val="none" w:sz="0" w:space="0" w:color="auto"/>
                <w:right w:val="none" w:sz="0" w:space="0" w:color="auto"/>
              </w:divBdr>
            </w:div>
          </w:divsChild>
        </w:div>
        <w:div w:id="611789535">
          <w:marLeft w:val="0"/>
          <w:marRight w:val="0"/>
          <w:marTop w:val="0"/>
          <w:marBottom w:val="0"/>
          <w:divBdr>
            <w:top w:val="none" w:sz="0" w:space="0" w:color="auto"/>
            <w:left w:val="none" w:sz="0" w:space="0" w:color="auto"/>
            <w:bottom w:val="none" w:sz="0" w:space="0" w:color="auto"/>
            <w:right w:val="none" w:sz="0" w:space="0" w:color="auto"/>
          </w:divBdr>
          <w:divsChild>
            <w:div w:id="1380324464">
              <w:marLeft w:val="0"/>
              <w:marRight w:val="0"/>
              <w:marTop w:val="0"/>
              <w:marBottom w:val="0"/>
              <w:divBdr>
                <w:top w:val="none" w:sz="0" w:space="0" w:color="auto"/>
                <w:left w:val="none" w:sz="0" w:space="0" w:color="auto"/>
                <w:bottom w:val="none" w:sz="0" w:space="0" w:color="auto"/>
                <w:right w:val="none" w:sz="0" w:space="0" w:color="auto"/>
              </w:divBdr>
            </w:div>
          </w:divsChild>
        </w:div>
        <w:div w:id="616449723">
          <w:marLeft w:val="0"/>
          <w:marRight w:val="0"/>
          <w:marTop w:val="0"/>
          <w:marBottom w:val="0"/>
          <w:divBdr>
            <w:top w:val="none" w:sz="0" w:space="0" w:color="auto"/>
            <w:left w:val="none" w:sz="0" w:space="0" w:color="auto"/>
            <w:bottom w:val="none" w:sz="0" w:space="0" w:color="auto"/>
            <w:right w:val="none" w:sz="0" w:space="0" w:color="auto"/>
          </w:divBdr>
          <w:divsChild>
            <w:div w:id="460417843">
              <w:marLeft w:val="0"/>
              <w:marRight w:val="0"/>
              <w:marTop w:val="0"/>
              <w:marBottom w:val="0"/>
              <w:divBdr>
                <w:top w:val="none" w:sz="0" w:space="0" w:color="auto"/>
                <w:left w:val="none" w:sz="0" w:space="0" w:color="auto"/>
                <w:bottom w:val="none" w:sz="0" w:space="0" w:color="auto"/>
                <w:right w:val="none" w:sz="0" w:space="0" w:color="auto"/>
              </w:divBdr>
            </w:div>
          </w:divsChild>
        </w:div>
        <w:div w:id="621880205">
          <w:marLeft w:val="0"/>
          <w:marRight w:val="0"/>
          <w:marTop w:val="0"/>
          <w:marBottom w:val="0"/>
          <w:divBdr>
            <w:top w:val="none" w:sz="0" w:space="0" w:color="auto"/>
            <w:left w:val="none" w:sz="0" w:space="0" w:color="auto"/>
            <w:bottom w:val="none" w:sz="0" w:space="0" w:color="auto"/>
            <w:right w:val="none" w:sz="0" w:space="0" w:color="auto"/>
          </w:divBdr>
          <w:divsChild>
            <w:div w:id="501966856">
              <w:marLeft w:val="0"/>
              <w:marRight w:val="0"/>
              <w:marTop w:val="0"/>
              <w:marBottom w:val="0"/>
              <w:divBdr>
                <w:top w:val="none" w:sz="0" w:space="0" w:color="auto"/>
                <w:left w:val="none" w:sz="0" w:space="0" w:color="auto"/>
                <w:bottom w:val="none" w:sz="0" w:space="0" w:color="auto"/>
                <w:right w:val="none" w:sz="0" w:space="0" w:color="auto"/>
              </w:divBdr>
            </w:div>
          </w:divsChild>
        </w:div>
        <w:div w:id="623344982">
          <w:marLeft w:val="0"/>
          <w:marRight w:val="0"/>
          <w:marTop w:val="0"/>
          <w:marBottom w:val="0"/>
          <w:divBdr>
            <w:top w:val="none" w:sz="0" w:space="0" w:color="auto"/>
            <w:left w:val="none" w:sz="0" w:space="0" w:color="auto"/>
            <w:bottom w:val="none" w:sz="0" w:space="0" w:color="auto"/>
            <w:right w:val="none" w:sz="0" w:space="0" w:color="auto"/>
          </w:divBdr>
          <w:divsChild>
            <w:div w:id="1222447777">
              <w:marLeft w:val="0"/>
              <w:marRight w:val="0"/>
              <w:marTop w:val="0"/>
              <w:marBottom w:val="0"/>
              <w:divBdr>
                <w:top w:val="none" w:sz="0" w:space="0" w:color="auto"/>
                <w:left w:val="none" w:sz="0" w:space="0" w:color="auto"/>
                <w:bottom w:val="none" w:sz="0" w:space="0" w:color="auto"/>
                <w:right w:val="none" w:sz="0" w:space="0" w:color="auto"/>
              </w:divBdr>
            </w:div>
          </w:divsChild>
        </w:div>
        <w:div w:id="624894707">
          <w:marLeft w:val="0"/>
          <w:marRight w:val="0"/>
          <w:marTop w:val="0"/>
          <w:marBottom w:val="0"/>
          <w:divBdr>
            <w:top w:val="none" w:sz="0" w:space="0" w:color="auto"/>
            <w:left w:val="none" w:sz="0" w:space="0" w:color="auto"/>
            <w:bottom w:val="none" w:sz="0" w:space="0" w:color="auto"/>
            <w:right w:val="none" w:sz="0" w:space="0" w:color="auto"/>
          </w:divBdr>
          <w:divsChild>
            <w:div w:id="821192749">
              <w:marLeft w:val="0"/>
              <w:marRight w:val="0"/>
              <w:marTop w:val="0"/>
              <w:marBottom w:val="0"/>
              <w:divBdr>
                <w:top w:val="none" w:sz="0" w:space="0" w:color="auto"/>
                <w:left w:val="none" w:sz="0" w:space="0" w:color="auto"/>
                <w:bottom w:val="none" w:sz="0" w:space="0" w:color="auto"/>
                <w:right w:val="none" w:sz="0" w:space="0" w:color="auto"/>
              </w:divBdr>
            </w:div>
          </w:divsChild>
        </w:div>
        <w:div w:id="630672841">
          <w:marLeft w:val="0"/>
          <w:marRight w:val="0"/>
          <w:marTop w:val="0"/>
          <w:marBottom w:val="0"/>
          <w:divBdr>
            <w:top w:val="none" w:sz="0" w:space="0" w:color="auto"/>
            <w:left w:val="none" w:sz="0" w:space="0" w:color="auto"/>
            <w:bottom w:val="none" w:sz="0" w:space="0" w:color="auto"/>
            <w:right w:val="none" w:sz="0" w:space="0" w:color="auto"/>
          </w:divBdr>
          <w:divsChild>
            <w:div w:id="155726973">
              <w:marLeft w:val="0"/>
              <w:marRight w:val="0"/>
              <w:marTop w:val="0"/>
              <w:marBottom w:val="0"/>
              <w:divBdr>
                <w:top w:val="none" w:sz="0" w:space="0" w:color="auto"/>
                <w:left w:val="none" w:sz="0" w:space="0" w:color="auto"/>
                <w:bottom w:val="none" w:sz="0" w:space="0" w:color="auto"/>
                <w:right w:val="none" w:sz="0" w:space="0" w:color="auto"/>
              </w:divBdr>
            </w:div>
          </w:divsChild>
        </w:div>
        <w:div w:id="642858573">
          <w:marLeft w:val="0"/>
          <w:marRight w:val="0"/>
          <w:marTop w:val="0"/>
          <w:marBottom w:val="0"/>
          <w:divBdr>
            <w:top w:val="none" w:sz="0" w:space="0" w:color="auto"/>
            <w:left w:val="none" w:sz="0" w:space="0" w:color="auto"/>
            <w:bottom w:val="none" w:sz="0" w:space="0" w:color="auto"/>
            <w:right w:val="none" w:sz="0" w:space="0" w:color="auto"/>
          </w:divBdr>
          <w:divsChild>
            <w:div w:id="680664761">
              <w:marLeft w:val="0"/>
              <w:marRight w:val="0"/>
              <w:marTop w:val="0"/>
              <w:marBottom w:val="0"/>
              <w:divBdr>
                <w:top w:val="none" w:sz="0" w:space="0" w:color="auto"/>
                <w:left w:val="none" w:sz="0" w:space="0" w:color="auto"/>
                <w:bottom w:val="none" w:sz="0" w:space="0" w:color="auto"/>
                <w:right w:val="none" w:sz="0" w:space="0" w:color="auto"/>
              </w:divBdr>
            </w:div>
            <w:div w:id="1868836081">
              <w:marLeft w:val="0"/>
              <w:marRight w:val="0"/>
              <w:marTop w:val="0"/>
              <w:marBottom w:val="0"/>
              <w:divBdr>
                <w:top w:val="none" w:sz="0" w:space="0" w:color="auto"/>
                <w:left w:val="none" w:sz="0" w:space="0" w:color="auto"/>
                <w:bottom w:val="none" w:sz="0" w:space="0" w:color="auto"/>
                <w:right w:val="none" w:sz="0" w:space="0" w:color="auto"/>
              </w:divBdr>
            </w:div>
          </w:divsChild>
        </w:div>
        <w:div w:id="649095551">
          <w:marLeft w:val="0"/>
          <w:marRight w:val="0"/>
          <w:marTop w:val="0"/>
          <w:marBottom w:val="0"/>
          <w:divBdr>
            <w:top w:val="none" w:sz="0" w:space="0" w:color="auto"/>
            <w:left w:val="none" w:sz="0" w:space="0" w:color="auto"/>
            <w:bottom w:val="none" w:sz="0" w:space="0" w:color="auto"/>
            <w:right w:val="none" w:sz="0" w:space="0" w:color="auto"/>
          </w:divBdr>
          <w:divsChild>
            <w:div w:id="937951350">
              <w:marLeft w:val="0"/>
              <w:marRight w:val="0"/>
              <w:marTop w:val="0"/>
              <w:marBottom w:val="0"/>
              <w:divBdr>
                <w:top w:val="none" w:sz="0" w:space="0" w:color="auto"/>
                <w:left w:val="none" w:sz="0" w:space="0" w:color="auto"/>
                <w:bottom w:val="none" w:sz="0" w:space="0" w:color="auto"/>
                <w:right w:val="none" w:sz="0" w:space="0" w:color="auto"/>
              </w:divBdr>
            </w:div>
          </w:divsChild>
        </w:div>
        <w:div w:id="652026752">
          <w:marLeft w:val="0"/>
          <w:marRight w:val="0"/>
          <w:marTop w:val="0"/>
          <w:marBottom w:val="0"/>
          <w:divBdr>
            <w:top w:val="none" w:sz="0" w:space="0" w:color="auto"/>
            <w:left w:val="none" w:sz="0" w:space="0" w:color="auto"/>
            <w:bottom w:val="none" w:sz="0" w:space="0" w:color="auto"/>
            <w:right w:val="none" w:sz="0" w:space="0" w:color="auto"/>
          </w:divBdr>
          <w:divsChild>
            <w:div w:id="1479419107">
              <w:marLeft w:val="0"/>
              <w:marRight w:val="0"/>
              <w:marTop w:val="0"/>
              <w:marBottom w:val="0"/>
              <w:divBdr>
                <w:top w:val="none" w:sz="0" w:space="0" w:color="auto"/>
                <w:left w:val="none" w:sz="0" w:space="0" w:color="auto"/>
                <w:bottom w:val="none" w:sz="0" w:space="0" w:color="auto"/>
                <w:right w:val="none" w:sz="0" w:space="0" w:color="auto"/>
              </w:divBdr>
            </w:div>
          </w:divsChild>
        </w:div>
        <w:div w:id="657879290">
          <w:marLeft w:val="0"/>
          <w:marRight w:val="0"/>
          <w:marTop w:val="0"/>
          <w:marBottom w:val="0"/>
          <w:divBdr>
            <w:top w:val="none" w:sz="0" w:space="0" w:color="auto"/>
            <w:left w:val="none" w:sz="0" w:space="0" w:color="auto"/>
            <w:bottom w:val="none" w:sz="0" w:space="0" w:color="auto"/>
            <w:right w:val="none" w:sz="0" w:space="0" w:color="auto"/>
          </w:divBdr>
          <w:divsChild>
            <w:div w:id="620457986">
              <w:marLeft w:val="0"/>
              <w:marRight w:val="0"/>
              <w:marTop w:val="0"/>
              <w:marBottom w:val="0"/>
              <w:divBdr>
                <w:top w:val="none" w:sz="0" w:space="0" w:color="auto"/>
                <w:left w:val="none" w:sz="0" w:space="0" w:color="auto"/>
                <w:bottom w:val="none" w:sz="0" w:space="0" w:color="auto"/>
                <w:right w:val="none" w:sz="0" w:space="0" w:color="auto"/>
              </w:divBdr>
            </w:div>
          </w:divsChild>
        </w:div>
        <w:div w:id="663824443">
          <w:marLeft w:val="0"/>
          <w:marRight w:val="0"/>
          <w:marTop w:val="0"/>
          <w:marBottom w:val="0"/>
          <w:divBdr>
            <w:top w:val="none" w:sz="0" w:space="0" w:color="auto"/>
            <w:left w:val="none" w:sz="0" w:space="0" w:color="auto"/>
            <w:bottom w:val="none" w:sz="0" w:space="0" w:color="auto"/>
            <w:right w:val="none" w:sz="0" w:space="0" w:color="auto"/>
          </w:divBdr>
          <w:divsChild>
            <w:div w:id="335887298">
              <w:marLeft w:val="0"/>
              <w:marRight w:val="0"/>
              <w:marTop w:val="0"/>
              <w:marBottom w:val="0"/>
              <w:divBdr>
                <w:top w:val="none" w:sz="0" w:space="0" w:color="auto"/>
                <w:left w:val="none" w:sz="0" w:space="0" w:color="auto"/>
                <w:bottom w:val="none" w:sz="0" w:space="0" w:color="auto"/>
                <w:right w:val="none" w:sz="0" w:space="0" w:color="auto"/>
              </w:divBdr>
            </w:div>
          </w:divsChild>
        </w:div>
        <w:div w:id="669678995">
          <w:marLeft w:val="0"/>
          <w:marRight w:val="0"/>
          <w:marTop w:val="0"/>
          <w:marBottom w:val="0"/>
          <w:divBdr>
            <w:top w:val="none" w:sz="0" w:space="0" w:color="auto"/>
            <w:left w:val="none" w:sz="0" w:space="0" w:color="auto"/>
            <w:bottom w:val="none" w:sz="0" w:space="0" w:color="auto"/>
            <w:right w:val="none" w:sz="0" w:space="0" w:color="auto"/>
          </w:divBdr>
          <w:divsChild>
            <w:div w:id="283077787">
              <w:marLeft w:val="0"/>
              <w:marRight w:val="0"/>
              <w:marTop w:val="0"/>
              <w:marBottom w:val="0"/>
              <w:divBdr>
                <w:top w:val="none" w:sz="0" w:space="0" w:color="auto"/>
                <w:left w:val="none" w:sz="0" w:space="0" w:color="auto"/>
                <w:bottom w:val="none" w:sz="0" w:space="0" w:color="auto"/>
                <w:right w:val="none" w:sz="0" w:space="0" w:color="auto"/>
              </w:divBdr>
            </w:div>
          </w:divsChild>
        </w:div>
        <w:div w:id="672075477">
          <w:marLeft w:val="0"/>
          <w:marRight w:val="0"/>
          <w:marTop w:val="0"/>
          <w:marBottom w:val="0"/>
          <w:divBdr>
            <w:top w:val="none" w:sz="0" w:space="0" w:color="auto"/>
            <w:left w:val="none" w:sz="0" w:space="0" w:color="auto"/>
            <w:bottom w:val="none" w:sz="0" w:space="0" w:color="auto"/>
            <w:right w:val="none" w:sz="0" w:space="0" w:color="auto"/>
          </w:divBdr>
          <w:divsChild>
            <w:div w:id="342320963">
              <w:marLeft w:val="0"/>
              <w:marRight w:val="0"/>
              <w:marTop w:val="0"/>
              <w:marBottom w:val="0"/>
              <w:divBdr>
                <w:top w:val="none" w:sz="0" w:space="0" w:color="auto"/>
                <w:left w:val="none" w:sz="0" w:space="0" w:color="auto"/>
                <w:bottom w:val="none" w:sz="0" w:space="0" w:color="auto"/>
                <w:right w:val="none" w:sz="0" w:space="0" w:color="auto"/>
              </w:divBdr>
            </w:div>
          </w:divsChild>
        </w:div>
        <w:div w:id="677315850">
          <w:marLeft w:val="0"/>
          <w:marRight w:val="0"/>
          <w:marTop w:val="0"/>
          <w:marBottom w:val="0"/>
          <w:divBdr>
            <w:top w:val="none" w:sz="0" w:space="0" w:color="auto"/>
            <w:left w:val="none" w:sz="0" w:space="0" w:color="auto"/>
            <w:bottom w:val="none" w:sz="0" w:space="0" w:color="auto"/>
            <w:right w:val="none" w:sz="0" w:space="0" w:color="auto"/>
          </w:divBdr>
          <w:divsChild>
            <w:div w:id="507140267">
              <w:marLeft w:val="0"/>
              <w:marRight w:val="0"/>
              <w:marTop w:val="0"/>
              <w:marBottom w:val="0"/>
              <w:divBdr>
                <w:top w:val="none" w:sz="0" w:space="0" w:color="auto"/>
                <w:left w:val="none" w:sz="0" w:space="0" w:color="auto"/>
                <w:bottom w:val="none" w:sz="0" w:space="0" w:color="auto"/>
                <w:right w:val="none" w:sz="0" w:space="0" w:color="auto"/>
              </w:divBdr>
            </w:div>
          </w:divsChild>
        </w:div>
        <w:div w:id="684749982">
          <w:marLeft w:val="0"/>
          <w:marRight w:val="0"/>
          <w:marTop w:val="0"/>
          <w:marBottom w:val="0"/>
          <w:divBdr>
            <w:top w:val="none" w:sz="0" w:space="0" w:color="auto"/>
            <w:left w:val="none" w:sz="0" w:space="0" w:color="auto"/>
            <w:bottom w:val="none" w:sz="0" w:space="0" w:color="auto"/>
            <w:right w:val="none" w:sz="0" w:space="0" w:color="auto"/>
          </w:divBdr>
          <w:divsChild>
            <w:div w:id="777988220">
              <w:marLeft w:val="0"/>
              <w:marRight w:val="0"/>
              <w:marTop w:val="0"/>
              <w:marBottom w:val="0"/>
              <w:divBdr>
                <w:top w:val="none" w:sz="0" w:space="0" w:color="auto"/>
                <w:left w:val="none" w:sz="0" w:space="0" w:color="auto"/>
                <w:bottom w:val="none" w:sz="0" w:space="0" w:color="auto"/>
                <w:right w:val="none" w:sz="0" w:space="0" w:color="auto"/>
              </w:divBdr>
            </w:div>
          </w:divsChild>
        </w:div>
        <w:div w:id="688995374">
          <w:marLeft w:val="0"/>
          <w:marRight w:val="0"/>
          <w:marTop w:val="0"/>
          <w:marBottom w:val="0"/>
          <w:divBdr>
            <w:top w:val="none" w:sz="0" w:space="0" w:color="auto"/>
            <w:left w:val="none" w:sz="0" w:space="0" w:color="auto"/>
            <w:bottom w:val="none" w:sz="0" w:space="0" w:color="auto"/>
            <w:right w:val="none" w:sz="0" w:space="0" w:color="auto"/>
          </w:divBdr>
          <w:divsChild>
            <w:div w:id="380057611">
              <w:marLeft w:val="0"/>
              <w:marRight w:val="0"/>
              <w:marTop w:val="0"/>
              <w:marBottom w:val="0"/>
              <w:divBdr>
                <w:top w:val="none" w:sz="0" w:space="0" w:color="auto"/>
                <w:left w:val="none" w:sz="0" w:space="0" w:color="auto"/>
                <w:bottom w:val="none" w:sz="0" w:space="0" w:color="auto"/>
                <w:right w:val="none" w:sz="0" w:space="0" w:color="auto"/>
              </w:divBdr>
            </w:div>
          </w:divsChild>
        </w:div>
        <w:div w:id="691108434">
          <w:marLeft w:val="0"/>
          <w:marRight w:val="0"/>
          <w:marTop w:val="0"/>
          <w:marBottom w:val="0"/>
          <w:divBdr>
            <w:top w:val="none" w:sz="0" w:space="0" w:color="auto"/>
            <w:left w:val="none" w:sz="0" w:space="0" w:color="auto"/>
            <w:bottom w:val="none" w:sz="0" w:space="0" w:color="auto"/>
            <w:right w:val="none" w:sz="0" w:space="0" w:color="auto"/>
          </w:divBdr>
          <w:divsChild>
            <w:div w:id="202989255">
              <w:marLeft w:val="0"/>
              <w:marRight w:val="0"/>
              <w:marTop w:val="0"/>
              <w:marBottom w:val="0"/>
              <w:divBdr>
                <w:top w:val="none" w:sz="0" w:space="0" w:color="auto"/>
                <w:left w:val="none" w:sz="0" w:space="0" w:color="auto"/>
                <w:bottom w:val="none" w:sz="0" w:space="0" w:color="auto"/>
                <w:right w:val="none" w:sz="0" w:space="0" w:color="auto"/>
              </w:divBdr>
            </w:div>
          </w:divsChild>
        </w:div>
        <w:div w:id="692266403">
          <w:marLeft w:val="0"/>
          <w:marRight w:val="0"/>
          <w:marTop w:val="0"/>
          <w:marBottom w:val="0"/>
          <w:divBdr>
            <w:top w:val="none" w:sz="0" w:space="0" w:color="auto"/>
            <w:left w:val="none" w:sz="0" w:space="0" w:color="auto"/>
            <w:bottom w:val="none" w:sz="0" w:space="0" w:color="auto"/>
            <w:right w:val="none" w:sz="0" w:space="0" w:color="auto"/>
          </w:divBdr>
          <w:divsChild>
            <w:div w:id="1892689680">
              <w:marLeft w:val="0"/>
              <w:marRight w:val="0"/>
              <w:marTop w:val="0"/>
              <w:marBottom w:val="0"/>
              <w:divBdr>
                <w:top w:val="none" w:sz="0" w:space="0" w:color="auto"/>
                <w:left w:val="none" w:sz="0" w:space="0" w:color="auto"/>
                <w:bottom w:val="none" w:sz="0" w:space="0" w:color="auto"/>
                <w:right w:val="none" w:sz="0" w:space="0" w:color="auto"/>
              </w:divBdr>
            </w:div>
          </w:divsChild>
        </w:div>
        <w:div w:id="697662267">
          <w:marLeft w:val="0"/>
          <w:marRight w:val="0"/>
          <w:marTop w:val="0"/>
          <w:marBottom w:val="0"/>
          <w:divBdr>
            <w:top w:val="none" w:sz="0" w:space="0" w:color="auto"/>
            <w:left w:val="none" w:sz="0" w:space="0" w:color="auto"/>
            <w:bottom w:val="none" w:sz="0" w:space="0" w:color="auto"/>
            <w:right w:val="none" w:sz="0" w:space="0" w:color="auto"/>
          </w:divBdr>
          <w:divsChild>
            <w:div w:id="1842043291">
              <w:marLeft w:val="0"/>
              <w:marRight w:val="0"/>
              <w:marTop w:val="0"/>
              <w:marBottom w:val="0"/>
              <w:divBdr>
                <w:top w:val="none" w:sz="0" w:space="0" w:color="auto"/>
                <w:left w:val="none" w:sz="0" w:space="0" w:color="auto"/>
                <w:bottom w:val="none" w:sz="0" w:space="0" w:color="auto"/>
                <w:right w:val="none" w:sz="0" w:space="0" w:color="auto"/>
              </w:divBdr>
            </w:div>
          </w:divsChild>
        </w:div>
        <w:div w:id="703942106">
          <w:marLeft w:val="0"/>
          <w:marRight w:val="0"/>
          <w:marTop w:val="0"/>
          <w:marBottom w:val="0"/>
          <w:divBdr>
            <w:top w:val="none" w:sz="0" w:space="0" w:color="auto"/>
            <w:left w:val="none" w:sz="0" w:space="0" w:color="auto"/>
            <w:bottom w:val="none" w:sz="0" w:space="0" w:color="auto"/>
            <w:right w:val="none" w:sz="0" w:space="0" w:color="auto"/>
          </w:divBdr>
          <w:divsChild>
            <w:div w:id="2059544830">
              <w:marLeft w:val="0"/>
              <w:marRight w:val="0"/>
              <w:marTop w:val="0"/>
              <w:marBottom w:val="0"/>
              <w:divBdr>
                <w:top w:val="none" w:sz="0" w:space="0" w:color="auto"/>
                <w:left w:val="none" w:sz="0" w:space="0" w:color="auto"/>
                <w:bottom w:val="none" w:sz="0" w:space="0" w:color="auto"/>
                <w:right w:val="none" w:sz="0" w:space="0" w:color="auto"/>
              </w:divBdr>
            </w:div>
          </w:divsChild>
        </w:div>
        <w:div w:id="704790398">
          <w:marLeft w:val="0"/>
          <w:marRight w:val="0"/>
          <w:marTop w:val="0"/>
          <w:marBottom w:val="0"/>
          <w:divBdr>
            <w:top w:val="none" w:sz="0" w:space="0" w:color="auto"/>
            <w:left w:val="none" w:sz="0" w:space="0" w:color="auto"/>
            <w:bottom w:val="none" w:sz="0" w:space="0" w:color="auto"/>
            <w:right w:val="none" w:sz="0" w:space="0" w:color="auto"/>
          </w:divBdr>
          <w:divsChild>
            <w:div w:id="1869565605">
              <w:marLeft w:val="0"/>
              <w:marRight w:val="0"/>
              <w:marTop w:val="0"/>
              <w:marBottom w:val="0"/>
              <w:divBdr>
                <w:top w:val="none" w:sz="0" w:space="0" w:color="auto"/>
                <w:left w:val="none" w:sz="0" w:space="0" w:color="auto"/>
                <w:bottom w:val="none" w:sz="0" w:space="0" w:color="auto"/>
                <w:right w:val="none" w:sz="0" w:space="0" w:color="auto"/>
              </w:divBdr>
            </w:div>
          </w:divsChild>
        </w:div>
        <w:div w:id="710618747">
          <w:marLeft w:val="0"/>
          <w:marRight w:val="0"/>
          <w:marTop w:val="0"/>
          <w:marBottom w:val="0"/>
          <w:divBdr>
            <w:top w:val="none" w:sz="0" w:space="0" w:color="auto"/>
            <w:left w:val="none" w:sz="0" w:space="0" w:color="auto"/>
            <w:bottom w:val="none" w:sz="0" w:space="0" w:color="auto"/>
            <w:right w:val="none" w:sz="0" w:space="0" w:color="auto"/>
          </w:divBdr>
          <w:divsChild>
            <w:div w:id="1870794003">
              <w:marLeft w:val="0"/>
              <w:marRight w:val="0"/>
              <w:marTop w:val="0"/>
              <w:marBottom w:val="0"/>
              <w:divBdr>
                <w:top w:val="none" w:sz="0" w:space="0" w:color="auto"/>
                <w:left w:val="none" w:sz="0" w:space="0" w:color="auto"/>
                <w:bottom w:val="none" w:sz="0" w:space="0" w:color="auto"/>
                <w:right w:val="none" w:sz="0" w:space="0" w:color="auto"/>
              </w:divBdr>
            </w:div>
          </w:divsChild>
        </w:div>
        <w:div w:id="720635521">
          <w:marLeft w:val="0"/>
          <w:marRight w:val="0"/>
          <w:marTop w:val="0"/>
          <w:marBottom w:val="0"/>
          <w:divBdr>
            <w:top w:val="none" w:sz="0" w:space="0" w:color="auto"/>
            <w:left w:val="none" w:sz="0" w:space="0" w:color="auto"/>
            <w:bottom w:val="none" w:sz="0" w:space="0" w:color="auto"/>
            <w:right w:val="none" w:sz="0" w:space="0" w:color="auto"/>
          </w:divBdr>
          <w:divsChild>
            <w:div w:id="221793607">
              <w:marLeft w:val="0"/>
              <w:marRight w:val="0"/>
              <w:marTop w:val="0"/>
              <w:marBottom w:val="0"/>
              <w:divBdr>
                <w:top w:val="none" w:sz="0" w:space="0" w:color="auto"/>
                <w:left w:val="none" w:sz="0" w:space="0" w:color="auto"/>
                <w:bottom w:val="none" w:sz="0" w:space="0" w:color="auto"/>
                <w:right w:val="none" w:sz="0" w:space="0" w:color="auto"/>
              </w:divBdr>
            </w:div>
          </w:divsChild>
        </w:div>
        <w:div w:id="724645567">
          <w:marLeft w:val="0"/>
          <w:marRight w:val="0"/>
          <w:marTop w:val="0"/>
          <w:marBottom w:val="0"/>
          <w:divBdr>
            <w:top w:val="none" w:sz="0" w:space="0" w:color="auto"/>
            <w:left w:val="none" w:sz="0" w:space="0" w:color="auto"/>
            <w:bottom w:val="none" w:sz="0" w:space="0" w:color="auto"/>
            <w:right w:val="none" w:sz="0" w:space="0" w:color="auto"/>
          </w:divBdr>
          <w:divsChild>
            <w:div w:id="1272056981">
              <w:marLeft w:val="0"/>
              <w:marRight w:val="0"/>
              <w:marTop w:val="0"/>
              <w:marBottom w:val="0"/>
              <w:divBdr>
                <w:top w:val="none" w:sz="0" w:space="0" w:color="auto"/>
                <w:left w:val="none" w:sz="0" w:space="0" w:color="auto"/>
                <w:bottom w:val="none" w:sz="0" w:space="0" w:color="auto"/>
                <w:right w:val="none" w:sz="0" w:space="0" w:color="auto"/>
              </w:divBdr>
            </w:div>
          </w:divsChild>
        </w:div>
        <w:div w:id="731121297">
          <w:marLeft w:val="0"/>
          <w:marRight w:val="0"/>
          <w:marTop w:val="0"/>
          <w:marBottom w:val="0"/>
          <w:divBdr>
            <w:top w:val="none" w:sz="0" w:space="0" w:color="auto"/>
            <w:left w:val="none" w:sz="0" w:space="0" w:color="auto"/>
            <w:bottom w:val="none" w:sz="0" w:space="0" w:color="auto"/>
            <w:right w:val="none" w:sz="0" w:space="0" w:color="auto"/>
          </w:divBdr>
          <w:divsChild>
            <w:div w:id="666591423">
              <w:marLeft w:val="0"/>
              <w:marRight w:val="0"/>
              <w:marTop w:val="0"/>
              <w:marBottom w:val="0"/>
              <w:divBdr>
                <w:top w:val="none" w:sz="0" w:space="0" w:color="auto"/>
                <w:left w:val="none" w:sz="0" w:space="0" w:color="auto"/>
                <w:bottom w:val="none" w:sz="0" w:space="0" w:color="auto"/>
                <w:right w:val="none" w:sz="0" w:space="0" w:color="auto"/>
              </w:divBdr>
            </w:div>
          </w:divsChild>
        </w:div>
        <w:div w:id="733741114">
          <w:marLeft w:val="0"/>
          <w:marRight w:val="0"/>
          <w:marTop w:val="0"/>
          <w:marBottom w:val="0"/>
          <w:divBdr>
            <w:top w:val="none" w:sz="0" w:space="0" w:color="auto"/>
            <w:left w:val="none" w:sz="0" w:space="0" w:color="auto"/>
            <w:bottom w:val="none" w:sz="0" w:space="0" w:color="auto"/>
            <w:right w:val="none" w:sz="0" w:space="0" w:color="auto"/>
          </w:divBdr>
          <w:divsChild>
            <w:div w:id="782697857">
              <w:marLeft w:val="0"/>
              <w:marRight w:val="0"/>
              <w:marTop w:val="0"/>
              <w:marBottom w:val="0"/>
              <w:divBdr>
                <w:top w:val="none" w:sz="0" w:space="0" w:color="auto"/>
                <w:left w:val="none" w:sz="0" w:space="0" w:color="auto"/>
                <w:bottom w:val="none" w:sz="0" w:space="0" w:color="auto"/>
                <w:right w:val="none" w:sz="0" w:space="0" w:color="auto"/>
              </w:divBdr>
            </w:div>
          </w:divsChild>
        </w:div>
        <w:div w:id="739910098">
          <w:marLeft w:val="0"/>
          <w:marRight w:val="0"/>
          <w:marTop w:val="0"/>
          <w:marBottom w:val="0"/>
          <w:divBdr>
            <w:top w:val="none" w:sz="0" w:space="0" w:color="auto"/>
            <w:left w:val="none" w:sz="0" w:space="0" w:color="auto"/>
            <w:bottom w:val="none" w:sz="0" w:space="0" w:color="auto"/>
            <w:right w:val="none" w:sz="0" w:space="0" w:color="auto"/>
          </w:divBdr>
          <w:divsChild>
            <w:div w:id="954479684">
              <w:marLeft w:val="0"/>
              <w:marRight w:val="0"/>
              <w:marTop w:val="0"/>
              <w:marBottom w:val="0"/>
              <w:divBdr>
                <w:top w:val="none" w:sz="0" w:space="0" w:color="auto"/>
                <w:left w:val="none" w:sz="0" w:space="0" w:color="auto"/>
                <w:bottom w:val="none" w:sz="0" w:space="0" w:color="auto"/>
                <w:right w:val="none" w:sz="0" w:space="0" w:color="auto"/>
              </w:divBdr>
            </w:div>
          </w:divsChild>
        </w:div>
        <w:div w:id="744913109">
          <w:marLeft w:val="0"/>
          <w:marRight w:val="0"/>
          <w:marTop w:val="0"/>
          <w:marBottom w:val="0"/>
          <w:divBdr>
            <w:top w:val="none" w:sz="0" w:space="0" w:color="auto"/>
            <w:left w:val="none" w:sz="0" w:space="0" w:color="auto"/>
            <w:bottom w:val="none" w:sz="0" w:space="0" w:color="auto"/>
            <w:right w:val="none" w:sz="0" w:space="0" w:color="auto"/>
          </w:divBdr>
          <w:divsChild>
            <w:div w:id="1076511880">
              <w:marLeft w:val="0"/>
              <w:marRight w:val="0"/>
              <w:marTop w:val="0"/>
              <w:marBottom w:val="0"/>
              <w:divBdr>
                <w:top w:val="none" w:sz="0" w:space="0" w:color="auto"/>
                <w:left w:val="none" w:sz="0" w:space="0" w:color="auto"/>
                <w:bottom w:val="none" w:sz="0" w:space="0" w:color="auto"/>
                <w:right w:val="none" w:sz="0" w:space="0" w:color="auto"/>
              </w:divBdr>
            </w:div>
          </w:divsChild>
        </w:div>
        <w:div w:id="749161007">
          <w:marLeft w:val="0"/>
          <w:marRight w:val="0"/>
          <w:marTop w:val="0"/>
          <w:marBottom w:val="0"/>
          <w:divBdr>
            <w:top w:val="none" w:sz="0" w:space="0" w:color="auto"/>
            <w:left w:val="none" w:sz="0" w:space="0" w:color="auto"/>
            <w:bottom w:val="none" w:sz="0" w:space="0" w:color="auto"/>
            <w:right w:val="none" w:sz="0" w:space="0" w:color="auto"/>
          </w:divBdr>
          <w:divsChild>
            <w:div w:id="279991096">
              <w:marLeft w:val="0"/>
              <w:marRight w:val="0"/>
              <w:marTop w:val="0"/>
              <w:marBottom w:val="0"/>
              <w:divBdr>
                <w:top w:val="none" w:sz="0" w:space="0" w:color="auto"/>
                <w:left w:val="none" w:sz="0" w:space="0" w:color="auto"/>
                <w:bottom w:val="none" w:sz="0" w:space="0" w:color="auto"/>
                <w:right w:val="none" w:sz="0" w:space="0" w:color="auto"/>
              </w:divBdr>
            </w:div>
          </w:divsChild>
        </w:div>
        <w:div w:id="749422503">
          <w:marLeft w:val="0"/>
          <w:marRight w:val="0"/>
          <w:marTop w:val="0"/>
          <w:marBottom w:val="0"/>
          <w:divBdr>
            <w:top w:val="none" w:sz="0" w:space="0" w:color="auto"/>
            <w:left w:val="none" w:sz="0" w:space="0" w:color="auto"/>
            <w:bottom w:val="none" w:sz="0" w:space="0" w:color="auto"/>
            <w:right w:val="none" w:sz="0" w:space="0" w:color="auto"/>
          </w:divBdr>
          <w:divsChild>
            <w:div w:id="862132917">
              <w:marLeft w:val="0"/>
              <w:marRight w:val="0"/>
              <w:marTop w:val="0"/>
              <w:marBottom w:val="0"/>
              <w:divBdr>
                <w:top w:val="none" w:sz="0" w:space="0" w:color="auto"/>
                <w:left w:val="none" w:sz="0" w:space="0" w:color="auto"/>
                <w:bottom w:val="none" w:sz="0" w:space="0" w:color="auto"/>
                <w:right w:val="none" w:sz="0" w:space="0" w:color="auto"/>
              </w:divBdr>
            </w:div>
          </w:divsChild>
        </w:div>
        <w:div w:id="750736478">
          <w:marLeft w:val="0"/>
          <w:marRight w:val="0"/>
          <w:marTop w:val="0"/>
          <w:marBottom w:val="0"/>
          <w:divBdr>
            <w:top w:val="none" w:sz="0" w:space="0" w:color="auto"/>
            <w:left w:val="none" w:sz="0" w:space="0" w:color="auto"/>
            <w:bottom w:val="none" w:sz="0" w:space="0" w:color="auto"/>
            <w:right w:val="none" w:sz="0" w:space="0" w:color="auto"/>
          </w:divBdr>
          <w:divsChild>
            <w:div w:id="1215576990">
              <w:marLeft w:val="0"/>
              <w:marRight w:val="0"/>
              <w:marTop w:val="0"/>
              <w:marBottom w:val="0"/>
              <w:divBdr>
                <w:top w:val="none" w:sz="0" w:space="0" w:color="auto"/>
                <w:left w:val="none" w:sz="0" w:space="0" w:color="auto"/>
                <w:bottom w:val="none" w:sz="0" w:space="0" w:color="auto"/>
                <w:right w:val="none" w:sz="0" w:space="0" w:color="auto"/>
              </w:divBdr>
            </w:div>
          </w:divsChild>
        </w:div>
        <w:div w:id="756096245">
          <w:marLeft w:val="0"/>
          <w:marRight w:val="0"/>
          <w:marTop w:val="0"/>
          <w:marBottom w:val="0"/>
          <w:divBdr>
            <w:top w:val="none" w:sz="0" w:space="0" w:color="auto"/>
            <w:left w:val="none" w:sz="0" w:space="0" w:color="auto"/>
            <w:bottom w:val="none" w:sz="0" w:space="0" w:color="auto"/>
            <w:right w:val="none" w:sz="0" w:space="0" w:color="auto"/>
          </w:divBdr>
          <w:divsChild>
            <w:div w:id="83260185">
              <w:marLeft w:val="0"/>
              <w:marRight w:val="0"/>
              <w:marTop w:val="0"/>
              <w:marBottom w:val="0"/>
              <w:divBdr>
                <w:top w:val="none" w:sz="0" w:space="0" w:color="auto"/>
                <w:left w:val="none" w:sz="0" w:space="0" w:color="auto"/>
                <w:bottom w:val="none" w:sz="0" w:space="0" w:color="auto"/>
                <w:right w:val="none" w:sz="0" w:space="0" w:color="auto"/>
              </w:divBdr>
            </w:div>
          </w:divsChild>
        </w:div>
        <w:div w:id="765732149">
          <w:marLeft w:val="0"/>
          <w:marRight w:val="0"/>
          <w:marTop w:val="0"/>
          <w:marBottom w:val="0"/>
          <w:divBdr>
            <w:top w:val="none" w:sz="0" w:space="0" w:color="auto"/>
            <w:left w:val="none" w:sz="0" w:space="0" w:color="auto"/>
            <w:bottom w:val="none" w:sz="0" w:space="0" w:color="auto"/>
            <w:right w:val="none" w:sz="0" w:space="0" w:color="auto"/>
          </w:divBdr>
          <w:divsChild>
            <w:div w:id="1903983793">
              <w:marLeft w:val="0"/>
              <w:marRight w:val="0"/>
              <w:marTop w:val="0"/>
              <w:marBottom w:val="0"/>
              <w:divBdr>
                <w:top w:val="none" w:sz="0" w:space="0" w:color="auto"/>
                <w:left w:val="none" w:sz="0" w:space="0" w:color="auto"/>
                <w:bottom w:val="none" w:sz="0" w:space="0" w:color="auto"/>
                <w:right w:val="none" w:sz="0" w:space="0" w:color="auto"/>
              </w:divBdr>
            </w:div>
          </w:divsChild>
        </w:div>
        <w:div w:id="768618537">
          <w:marLeft w:val="0"/>
          <w:marRight w:val="0"/>
          <w:marTop w:val="0"/>
          <w:marBottom w:val="0"/>
          <w:divBdr>
            <w:top w:val="none" w:sz="0" w:space="0" w:color="auto"/>
            <w:left w:val="none" w:sz="0" w:space="0" w:color="auto"/>
            <w:bottom w:val="none" w:sz="0" w:space="0" w:color="auto"/>
            <w:right w:val="none" w:sz="0" w:space="0" w:color="auto"/>
          </w:divBdr>
          <w:divsChild>
            <w:div w:id="1256089718">
              <w:marLeft w:val="0"/>
              <w:marRight w:val="0"/>
              <w:marTop w:val="0"/>
              <w:marBottom w:val="0"/>
              <w:divBdr>
                <w:top w:val="none" w:sz="0" w:space="0" w:color="auto"/>
                <w:left w:val="none" w:sz="0" w:space="0" w:color="auto"/>
                <w:bottom w:val="none" w:sz="0" w:space="0" w:color="auto"/>
                <w:right w:val="none" w:sz="0" w:space="0" w:color="auto"/>
              </w:divBdr>
            </w:div>
          </w:divsChild>
        </w:div>
        <w:div w:id="769738808">
          <w:marLeft w:val="0"/>
          <w:marRight w:val="0"/>
          <w:marTop w:val="0"/>
          <w:marBottom w:val="0"/>
          <w:divBdr>
            <w:top w:val="none" w:sz="0" w:space="0" w:color="auto"/>
            <w:left w:val="none" w:sz="0" w:space="0" w:color="auto"/>
            <w:bottom w:val="none" w:sz="0" w:space="0" w:color="auto"/>
            <w:right w:val="none" w:sz="0" w:space="0" w:color="auto"/>
          </w:divBdr>
          <w:divsChild>
            <w:div w:id="2101216181">
              <w:marLeft w:val="0"/>
              <w:marRight w:val="0"/>
              <w:marTop w:val="0"/>
              <w:marBottom w:val="0"/>
              <w:divBdr>
                <w:top w:val="none" w:sz="0" w:space="0" w:color="auto"/>
                <w:left w:val="none" w:sz="0" w:space="0" w:color="auto"/>
                <w:bottom w:val="none" w:sz="0" w:space="0" w:color="auto"/>
                <w:right w:val="none" w:sz="0" w:space="0" w:color="auto"/>
              </w:divBdr>
            </w:div>
          </w:divsChild>
        </w:div>
        <w:div w:id="778792497">
          <w:marLeft w:val="0"/>
          <w:marRight w:val="0"/>
          <w:marTop w:val="0"/>
          <w:marBottom w:val="0"/>
          <w:divBdr>
            <w:top w:val="none" w:sz="0" w:space="0" w:color="auto"/>
            <w:left w:val="none" w:sz="0" w:space="0" w:color="auto"/>
            <w:bottom w:val="none" w:sz="0" w:space="0" w:color="auto"/>
            <w:right w:val="none" w:sz="0" w:space="0" w:color="auto"/>
          </w:divBdr>
          <w:divsChild>
            <w:div w:id="938637922">
              <w:marLeft w:val="0"/>
              <w:marRight w:val="0"/>
              <w:marTop w:val="0"/>
              <w:marBottom w:val="0"/>
              <w:divBdr>
                <w:top w:val="none" w:sz="0" w:space="0" w:color="auto"/>
                <w:left w:val="none" w:sz="0" w:space="0" w:color="auto"/>
                <w:bottom w:val="none" w:sz="0" w:space="0" w:color="auto"/>
                <w:right w:val="none" w:sz="0" w:space="0" w:color="auto"/>
              </w:divBdr>
            </w:div>
          </w:divsChild>
        </w:div>
        <w:div w:id="783420790">
          <w:marLeft w:val="0"/>
          <w:marRight w:val="0"/>
          <w:marTop w:val="0"/>
          <w:marBottom w:val="0"/>
          <w:divBdr>
            <w:top w:val="none" w:sz="0" w:space="0" w:color="auto"/>
            <w:left w:val="none" w:sz="0" w:space="0" w:color="auto"/>
            <w:bottom w:val="none" w:sz="0" w:space="0" w:color="auto"/>
            <w:right w:val="none" w:sz="0" w:space="0" w:color="auto"/>
          </w:divBdr>
          <w:divsChild>
            <w:div w:id="2140026508">
              <w:marLeft w:val="0"/>
              <w:marRight w:val="0"/>
              <w:marTop w:val="0"/>
              <w:marBottom w:val="0"/>
              <w:divBdr>
                <w:top w:val="none" w:sz="0" w:space="0" w:color="auto"/>
                <w:left w:val="none" w:sz="0" w:space="0" w:color="auto"/>
                <w:bottom w:val="none" w:sz="0" w:space="0" w:color="auto"/>
                <w:right w:val="none" w:sz="0" w:space="0" w:color="auto"/>
              </w:divBdr>
            </w:div>
          </w:divsChild>
        </w:div>
        <w:div w:id="783496701">
          <w:marLeft w:val="0"/>
          <w:marRight w:val="0"/>
          <w:marTop w:val="0"/>
          <w:marBottom w:val="0"/>
          <w:divBdr>
            <w:top w:val="none" w:sz="0" w:space="0" w:color="auto"/>
            <w:left w:val="none" w:sz="0" w:space="0" w:color="auto"/>
            <w:bottom w:val="none" w:sz="0" w:space="0" w:color="auto"/>
            <w:right w:val="none" w:sz="0" w:space="0" w:color="auto"/>
          </w:divBdr>
          <w:divsChild>
            <w:div w:id="1554273894">
              <w:marLeft w:val="0"/>
              <w:marRight w:val="0"/>
              <w:marTop w:val="0"/>
              <w:marBottom w:val="0"/>
              <w:divBdr>
                <w:top w:val="none" w:sz="0" w:space="0" w:color="auto"/>
                <w:left w:val="none" w:sz="0" w:space="0" w:color="auto"/>
                <w:bottom w:val="none" w:sz="0" w:space="0" w:color="auto"/>
                <w:right w:val="none" w:sz="0" w:space="0" w:color="auto"/>
              </w:divBdr>
            </w:div>
          </w:divsChild>
        </w:div>
        <w:div w:id="783768952">
          <w:marLeft w:val="0"/>
          <w:marRight w:val="0"/>
          <w:marTop w:val="0"/>
          <w:marBottom w:val="0"/>
          <w:divBdr>
            <w:top w:val="none" w:sz="0" w:space="0" w:color="auto"/>
            <w:left w:val="none" w:sz="0" w:space="0" w:color="auto"/>
            <w:bottom w:val="none" w:sz="0" w:space="0" w:color="auto"/>
            <w:right w:val="none" w:sz="0" w:space="0" w:color="auto"/>
          </w:divBdr>
          <w:divsChild>
            <w:div w:id="2035105611">
              <w:marLeft w:val="0"/>
              <w:marRight w:val="0"/>
              <w:marTop w:val="0"/>
              <w:marBottom w:val="0"/>
              <w:divBdr>
                <w:top w:val="none" w:sz="0" w:space="0" w:color="auto"/>
                <w:left w:val="none" w:sz="0" w:space="0" w:color="auto"/>
                <w:bottom w:val="none" w:sz="0" w:space="0" w:color="auto"/>
                <w:right w:val="none" w:sz="0" w:space="0" w:color="auto"/>
              </w:divBdr>
            </w:div>
          </w:divsChild>
        </w:div>
        <w:div w:id="786048660">
          <w:marLeft w:val="0"/>
          <w:marRight w:val="0"/>
          <w:marTop w:val="0"/>
          <w:marBottom w:val="0"/>
          <w:divBdr>
            <w:top w:val="none" w:sz="0" w:space="0" w:color="auto"/>
            <w:left w:val="none" w:sz="0" w:space="0" w:color="auto"/>
            <w:bottom w:val="none" w:sz="0" w:space="0" w:color="auto"/>
            <w:right w:val="none" w:sz="0" w:space="0" w:color="auto"/>
          </w:divBdr>
          <w:divsChild>
            <w:div w:id="2076736695">
              <w:marLeft w:val="0"/>
              <w:marRight w:val="0"/>
              <w:marTop w:val="0"/>
              <w:marBottom w:val="0"/>
              <w:divBdr>
                <w:top w:val="none" w:sz="0" w:space="0" w:color="auto"/>
                <w:left w:val="none" w:sz="0" w:space="0" w:color="auto"/>
                <w:bottom w:val="none" w:sz="0" w:space="0" w:color="auto"/>
                <w:right w:val="none" w:sz="0" w:space="0" w:color="auto"/>
              </w:divBdr>
            </w:div>
          </w:divsChild>
        </w:div>
        <w:div w:id="795179190">
          <w:marLeft w:val="0"/>
          <w:marRight w:val="0"/>
          <w:marTop w:val="0"/>
          <w:marBottom w:val="0"/>
          <w:divBdr>
            <w:top w:val="none" w:sz="0" w:space="0" w:color="auto"/>
            <w:left w:val="none" w:sz="0" w:space="0" w:color="auto"/>
            <w:bottom w:val="none" w:sz="0" w:space="0" w:color="auto"/>
            <w:right w:val="none" w:sz="0" w:space="0" w:color="auto"/>
          </w:divBdr>
          <w:divsChild>
            <w:div w:id="530073413">
              <w:marLeft w:val="0"/>
              <w:marRight w:val="0"/>
              <w:marTop w:val="0"/>
              <w:marBottom w:val="0"/>
              <w:divBdr>
                <w:top w:val="none" w:sz="0" w:space="0" w:color="auto"/>
                <w:left w:val="none" w:sz="0" w:space="0" w:color="auto"/>
                <w:bottom w:val="none" w:sz="0" w:space="0" w:color="auto"/>
                <w:right w:val="none" w:sz="0" w:space="0" w:color="auto"/>
              </w:divBdr>
            </w:div>
          </w:divsChild>
        </w:div>
        <w:div w:id="795565931">
          <w:marLeft w:val="0"/>
          <w:marRight w:val="0"/>
          <w:marTop w:val="0"/>
          <w:marBottom w:val="0"/>
          <w:divBdr>
            <w:top w:val="none" w:sz="0" w:space="0" w:color="auto"/>
            <w:left w:val="none" w:sz="0" w:space="0" w:color="auto"/>
            <w:bottom w:val="none" w:sz="0" w:space="0" w:color="auto"/>
            <w:right w:val="none" w:sz="0" w:space="0" w:color="auto"/>
          </w:divBdr>
          <w:divsChild>
            <w:div w:id="127091724">
              <w:marLeft w:val="0"/>
              <w:marRight w:val="0"/>
              <w:marTop w:val="0"/>
              <w:marBottom w:val="0"/>
              <w:divBdr>
                <w:top w:val="none" w:sz="0" w:space="0" w:color="auto"/>
                <w:left w:val="none" w:sz="0" w:space="0" w:color="auto"/>
                <w:bottom w:val="none" w:sz="0" w:space="0" w:color="auto"/>
                <w:right w:val="none" w:sz="0" w:space="0" w:color="auto"/>
              </w:divBdr>
            </w:div>
          </w:divsChild>
        </w:div>
        <w:div w:id="795607380">
          <w:marLeft w:val="0"/>
          <w:marRight w:val="0"/>
          <w:marTop w:val="0"/>
          <w:marBottom w:val="0"/>
          <w:divBdr>
            <w:top w:val="none" w:sz="0" w:space="0" w:color="auto"/>
            <w:left w:val="none" w:sz="0" w:space="0" w:color="auto"/>
            <w:bottom w:val="none" w:sz="0" w:space="0" w:color="auto"/>
            <w:right w:val="none" w:sz="0" w:space="0" w:color="auto"/>
          </w:divBdr>
          <w:divsChild>
            <w:div w:id="1399592416">
              <w:marLeft w:val="0"/>
              <w:marRight w:val="0"/>
              <w:marTop w:val="0"/>
              <w:marBottom w:val="0"/>
              <w:divBdr>
                <w:top w:val="none" w:sz="0" w:space="0" w:color="auto"/>
                <w:left w:val="none" w:sz="0" w:space="0" w:color="auto"/>
                <w:bottom w:val="none" w:sz="0" w:space="0" w:color="auto"/>
                <w:right w:val="none" w:sz="0" w:space="0" w:color="auto"/>
              </w:divBdr>
            </w:div>
          </w:divsChild>
        </w:div>
        <w:div w:id="798960020">
          <w:marLeft w:val="0"/>
          <w:marRight w:val="0"/>
          <w:marTop w:val="0"/>
          <w:marBottom w:val="0"/>
          <w:divBdr>
            <w:top w:val="none" w:sz="0" w:space="0" w:color="auto"/>
            <w:left w:val="none" w:sz="0" w:space="0" w:color="auto"/>
            <w:bottom w:val="none" w:sz="0" w:space="0" w:color="auto"/>
            <w:right w:val="none" w:sz="0" w:space="0" w:color="auto"/>
          </w:divBdr>
          <w:divsChild>
            <w:div w:id="1227305422">
              <w:marLeft w:val="0"/>
              <w:marRight w:val="0"/>
              <w:marTop w:val="0"/>
              <w:marBottom w:val="0"/>
              <w:divBdr>
                <w:top w:val="none" w:sz="0" w:space="0" w:color="auto"/>
                <w:left w:val="none" w:sz="0" w:space="0" w:color="auto"/>
                <w:bottom w:val="none" w:sz="0" w:space="0" w:color="auto"/>
                <w:right w:val="none" w:sz="0" w:space="0" w:color="auto"/>
              </w:divBdr>
            </w:div>
          </w:divsChild>
        </w:div>
        <w:div w:id="825971828">
          <w:marLeft w:val="0"/>
          <w:marRight w:val="0"/>
          <w:marTop w:val="0"/>
          <w:marBottom w:val="0"/>
          <w:divBdr>
            <w:top w:val="none" w:sz="0" w:space="0" w:color="auto"/>
            <w:left w:val="none" w:sz="0" w:space="0" w:color="auto"/>
            <w:bottom w:val="none" w:sz="0" w:space="0" w:color="auto"/>
            <w:right w:val="none" w:sz="0" w:space="0" w:color="auto"/>
          </w:divBdr>
          <w:divsChild>
            <w:div w:id="225607180">
              <w:marLeft w:val="0"/>
              <w:marRight w:val="0"/>
              <w:marTop w:val="0"/>
              <w:marBottom w:val="0"/>
              <w:divBdr>
                <w:top w:val="none" w:sz="0" w:space="0" w:color="auto"/>
                <w:left w:val="none" w:sz="0" w:space="0" w:color="auto"/>
                <w:bottom w:val="none" w:sz="0" w:space="0" w:color="auto"/>
                <w:right w:val="none" w:sz="0" w:space="0" w:color="auto"/>
              </w:divBdr>
            </w:div>
          </w:divsChild>
        </w:div>
        <w:div w:id="830800235">
          <w:marLeft w:val="0"/>
          <w:marRight w:val="0"/>
          <w:marTop w:val="0"/>
          <w:marBottom w:val="0"/>
          <w:divBdr>
            <w:top w:val="none" w:sz="0" w:space="0" w:color="auto"/>
            <w:left w:val="none" w:sz="0" w:space="0" w:color="auto"/>
            <w:bottom w:val="none" w:sz="0" w:space="0" w:color="auto"/>
            <w:right w:val="none" w:sz="0" w:space="0" w:color="auto"/>
          </w:divBdr>
          <w:divsChild>
            <w:div w:id="721904578">
              <w:marLeft w:val="0"/>
              <w:marRight w:val="0"/>
              <w:marTop w:val="0"/>
              <w:marBottom w:val="0"/>
              <w:divBdr>
                <w:top w:val="none" w:sz="0" w:space="0" w:color="auto"/>
                <w:left w:val="none" w:sz="0" w:space="0" w:color="auto"/>
                <w:bottom w:val="none" w:sz="0" w:space="0" w:color="auto"/>
                <w:right w:val="none" w:sz="0" w:space="0" w:color="auto"/>
              </w:divBdr>
            </w:div>
          </w:divsChild>
        </w:div>
        <w:div w:id="838614915">
          <w:marLeft w:val="0"/>
          <w:marRight w:val="0"/>
          <w:marTop w:val="0"/>
          <w:marBottom w:val="0"/>
          <w:divBdr>
            <w:top w:val="none" w:sz="0" w:space="0" w:color="auto"/>
            <w:left w:val="none" w:sz="0" w:space="0" w:color="auto"/>
            <w:bottom w:val="none" w:sz="0" w:space="0" w:color="auto"/>
            <w:right w:val="none" w:sz="0" w:space="0" w:color="auto"/>
          </w:divBdr>
          <w:divsChild>
            <w:div w:id="1611470827">
              <w:marLeft w:val="0"/>
              <w:marRight w:val="0"/>
              <w:marTop w:val="0"/>
              <w:marBottom w:val="0"/>
              <w:divBdr>
                <w:top w:val="none" w:sz="0" w:space="0" w:color="auto"/>
                <w:left w:val="none" w:sz="0" w:space="0" w:color="auto"/>
                <w:bottom w:val="none" w:sz="0" w:space="0" w:color="auto"/>
                <w:right w:val="none" w:sz="0" w:space="0" w:color="auto"/>
              </w:divBdr>
            </w:div>
          </w:divsChild>
        </w:div>
        <w:div w:id="863059190">
          <w:marLeft w:val="0"/>
          <w:marRight w:val="0"/>
          <w:marTop w:val="0"/>
          <w:marBottom w:val="0"/>
          <w:divBdr>
            <w:top w:val="none" w:sz="0" w:space="0" w:color="auto"/>
            <w:left w:val="none" w:sz="0" w:space="0" w:color="auto"/>
            <w:bottom w:val="none" w:sz="0" w:space="0" w:color="auto"/>
            <w:right w:val="none" w:sz="0" w:space="0" w:color="auto"/>
          </w:divBdr>
          <w:divsChild>
            <w:div w:id="747193320">
              <w:marLeft w:val="0"/>
              <w:marRight w:val="0"/>
              <w:marTop w:val="0"/>
              <w:marBottom w:val="0"/>
              <w:divBdr>
                <w:top w:val="none" w:sz="0" w:space="0" w:color="auto"/>
                <w:left w:val="none" w:sz="0" w:space="0" w:color="auto"/>
                <w:bottom w:val="none" w:sz="0" w:space="0" w:color="auto"/>
                <w:right w:val="none" w:sz="0" w:space="0" w:color="auto"/>
              </w:divBdr>
            </w:div>
            <w:div w:id="1490169734">
              <w:marLeft w:val="0"/>
              <w:marRight w:val="0"/>
              <w:marTop w:val="0"/>
              <w:marBottom w:val="0"/>
              <w:divBdr>
                <w:top w:val="none" w:sz="0" w:space="0" w:color="auto"/>
                <w:left w:val="none" w:sz="0" w:space="0" w:color="auto"/>
                <w:bottom w:val="none" w:sz="0" w:space="0" w:color="auto"/>
                <w:right w:val="none" w:sz="0" w:space="0" w:color="auto"/>
              </w:divBdr>
            </w:div>
          </w:divsChild>
        </w:div>
        <w:div w:id="875965589">
          <w:marLeft w:val="0"/>
          <w:marRight w:val="0"/>
          <w:marTop w:val="0"/>
          <w:marBottom w:val="0"/>
          <w:divBdr>
            <w:top w:val="none" w:sz="0" w:space="0" w:color="auto"/>
            <w:left w:val="none" w:sz="0" w:space="0" w:color="auto"/>
            <w:bottom w:val="none" w:sz="0" w:space="0" w:color="auto"/>
            <w:right w:val="none" w:sz="0" w:space="0" w:color="auto"/>
          </w:divBdr>
          <w:divsChild>
            <w:div w:id="455951640">
              <w:marLeft w:val="0"/>
              <w:marRight w:val="0"/>
              <w:marTop w:val="0"/>
              <w:marBottom w:val="0"/>
              <w:divBdr>
                <w:top w:val="none" w:sz="0" w:space="0" w:color="auto"/>
                <w:left w:val="none" w:sz="0" w:space="0" w:color="auto"/>
                <w:bottom w:val="none" w:sz="0" w:space="0" w:color="auto"/>
                <w:right w:val="none" w:sz="0" w:space="0" w:color="auto"/>
              </w:divBdr>
            </w:div>
          </w:divsChild>
        </w:div>
        <w:div w:id="876163091">
          <w:marLeft w:val="0"/>
          <w:marRight w:val="0"/>
          <w:marTop w:val="0"/>
          <w:marBottom w:val="0"/>
          <w:divBdr>
            <w:top w:val="none" w:sz="0" w:space="0" w:color="auto"/>
            <w:left w:val="none" w:sz="0" w:space="0" w:color="auto"/>
            <w:bottom w:val="none" w:sz="0" w:space="0" w:color="auto"/>
            <w:right w:val="none" w:sz="0" w:space="0" w:color="auto"/>
          </w:divBdr>
          <w:divsChild>
            <w:div w:id="1909993253">
              <w:marLeft w:val="0"/>
              <w:marRight w:val="0"/>
              <w:marTop w:val="0"/>
              <w:marBottom w:val="0"/>
              <w:divBdr>
                <w:top w:val="none" w:sz="0" w:space="0" w:color="auto"/>
                <w:left w:val="none" w:sz="0" w:space="0" w:color="auto"/>
                <w:bottom w:val="none" w:sz="0" w:space="0" w:color="auto"/>
                <w:right w:val="none" w:sz="0" w:space="0" w:color="auto"/>
              </w:divBdr>
            </w:div>
          </w:divsChild>
        </w:div>
        <w:div w:id="878474259">
          <w:marLeft w:val="0"/>
          <w:marRight w:val="0"/>
          <w:marTop w:val="0"/>
          <w:marBottom w:val="0"/>
          <w:divBdr>
            <w:top w:val="none" w:sz="0" w:space="0" w:color="auto"/>
            <w:left w:val="none" w:sz="0" w:space="0" w:color="auto"/>
            <w:bottom w:val="none" w:sz="0" w:space="0" w:color="auto"/>
            <w:right w:val="none" w:sz="0" w:space="0" w:color="auto"/>
          </w:divBdr>
          <w:divsChild>
            <w:div w:id="916551152">
              <w:marLeft w:val="0"/>
              <w:marRight w:val="0"/>
              <w:marTop w:val="0"/>
              <w:marBottom w:val="0"/>
              <w:divBdr>
                <w:top w:val="none" w:sz="0" w:space="0" w:color="auto"/>
                <w:left w:val="none" w:sz="0" w:space="0" w:color="auto"/>
                <w:bottom w:val="none" w:sz="0" w:space="0" w:color="auto"/>
                <w:right w:val="none" w:sz="0" w:space="0" w:color="auto"/>
              </w:divBdr>
            </w:div>
          </w:divsChild>
        </w:div>
        <w:div w:id="878662131">
          <w:marLeft w:val="0"/>
          <w:marRight w:val="0"/>
          <w:marTop w:val="0"/>
          <w:marBottom w:val="0"/>
          <w:divBdr>
            <w:top w:val="none" w:sz="0" w:space="0" w:color="auto"/>
            <w:left w:val="none" w:sz="0" w:space="0" w:color="auto"/>
            <w:bottom w:val="none" w:sz="0" w:space="0" w:color="auto"/>
            <w:right w:val="none" w:sz="0" w:space="0" w:color="auto"/>
          </w:divBdr>
          <w:divsChild>
            <w:div w:id="1561281469">
              <w:marLeft w:val="0"/>
              <w:marRight w:val="0"/>
              <w:marTop w:val="0"/>
              <w:marBottom w:val="0"/>
              <w:divBdr>
                <w:top w:val="none" w:sz="0" w:space="0" w:color="auto"/>
                <w:left w:val="none" w:sz="0" w:space="0" w:color="auto"/>
                <w:bottom w:val="none" w:sz="0" w:space="0" w:color="auto"/>
                <w:right w:val="none" w:sz="0" w:space="0" w:color="auto"/>
              </w:divBdr>
            </w:div>
          </w:divsChild>
        </w:div>
        <w:div w:id="882520036">
          <w:marLeft w:val="0"/>
          <w:marRight w:val="0"/>
          <w:marTop w:val="0"/>
          <w:marBottom w:val="0"/>
          <w:divBdr>
            <w:top w:val="none" w:sz="0" w:space="0" w:color="auto"/>
            <w:left w:val="none" w:sz="0" w:space="0" w:color="auto"/>
            <w:bottom w:val="none" w:sz="0" w:space="0" w:color="auto"/>
            <w:right w:val="none" w:sz="0" w:space="0" w:color="auto"/>
          </w:divBdr>
          <w:divsChild>
            <w:div w:id="1859538797">
              <w:marLeft w:val="0"/>
              <w:marRight w:val="0"/>
              <w:marTop w:val="0"/>
              <w:marBottom w:val="0"/>
              <w:divBdr>
                <w:top w:val="none" w:sz="0" w:space="0" w:color="auto"/>
                <w:left w:val="none" w:sz="0" w:space="0" w:color="auto"/>
                <w:bottom w:val="none" w:sz="0" w:space="0" w:color="auto"/>
                <w:right w:val="none" w:sz="0" w:space="0" w:color="auto"/>
              </w:divBdr>
            </w:div>
          </w:divsChild>
        </w:div>
        <w:div w:id="890724244">
          <w:marLeft w:val="0"/>
          <w:marRight w:val="0"/>
          <w:marTop w:val="0"/>
          <w:marBottom w:val="0"/>
          <w:divBdr>
            <w:top w:val="none" w:sz="0" w:space="0" w:color="auto"/>
            <w:left w:val="none" w:sz="0" w:space="0" w:color="auto"/>
            <w:bottom w:val="none" w:sz="0" w:space="0" w:color="auto"/>
            <w:right w:val="none" w:sz="0" w:space="0" w:color="auto"/>
          </w:divBdr>
          <w:divsChild>
            <w:div w:id="572811820">
              <w:marLeft w:val="0"/>
              <w:marRight w:val="0"/>
              <w:marTop w:val="0"/>
              <w:marBottom w:val="0"/>
              <w:divBdr>
                <w:top w:val="none" w:sz="0" w:space="0" w:color="auto"/>
                <w:left w:val="none" w:sz="0" w:space="0" w:color="auto"/>
                <w:bottom w:val="none" w:sz="0" w:space="0" w:color="auto"/>
                <w:right w:val="none" w:sz="0" w:space="0" w:color="auto"/>
              </w:divBdr>
            </w:div>
          </w:divsChild>
        </w:div>
        <w:div w:id="891117743">
          <w:marLeft w:val="0"/>
          <w:marRight w:val="0"/>
          <w:marTop w:val="0"/>
          <w:marBottom w:val="0"/>
          <w:divBdr>
            <w:top w:val="none" w:sz="0" w:space="0" w:color="auto"/>
            <w:left w:val="none" w:sz="0" w:space="0" w:color="auto"/>
            <w:bottom w:val="none" w:sz="0" w:space="0" w:color="auto"/>
            <w:right w:val="none" w:sz="0" w:space="0" w:color="auto"/>
          </w:divBdr>
          <w:divsChild>
            <w:div w:id="1851140407">
              <w:marLeft w:val="0"/>
              <w:marRight w:val="0"/>
              <w:marTop w:val="0"/>
              <w:marBottom w:val="0"/>
              <w:divBdr>
                <w:top w:val="none" w:sz="0" w:space="0" w:color="auto"/>
                <w:left w:val="none" w:sz="0" w:space="0" w:color="auto"/>
                <w:bottom w:val="none" w:sz="0" w:space="0" w:color="auto"/>
                <w:right w:val="none" w:sz="0" w:space="0" w:color="auto"/>
              </w:divBdr>
            </w:div>
          </w:divsChild>
        </w:div>
        <w:div w:id="893782086">
          <w:marLeft w:val="0"/>
          <w:marRight w:val="0"/>
          <w:marTop w:val="0"/>
          <w:marBottom w:val="0"/>
          <w:divBdr>
            <w:top w:val="none" w:sz="0" w:space="0" w:color="auto"/>
            <w:left w:val="none" w:sz="0" w:space="0" w:color="auto"/>
            <w:bottom w:val="none" w:sz="0" w:space="0" w:color="auto"/>
            <w:right w:val="none" w:sz="0" w:space="0" w:color="auto"/>
          </w:divBdr>
          <w:divsChild>
            <w:div w:id="943925359">
              <w:marLeft w:val="0"/>
              <w:marRight w:val="0"/>
              <w:marTop w:val="0"/>
              <w:marBottom w:val="0"/>
              <w:divBdr>
                <w:top w:val="none" w:sz="0" w:space="0" w:color="auto"/>
                <w:left w:val="none" w:sz="0" w:space="0" w:color="auto"/>
                <w:bottom w:val="none" w:sz="0" w:space="0" w:color="auto"/>
                <w:right w:val="none" w:sz="0" w:space="0" w:color="auto"/>
              </w:divBdr>
            </w:div>
          </w:divsChild>
        </w:div>
        <w:div w:id="898443834">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902451128">
          <w:marLeft w:val="0"/>
          <w:marRight w:val="0"/>
          <w:marTop w:val="0"/>
          <w:marBottom w:val="0"/>
          <w:divBdr>
            <w:top w:val="none" w:sz="0" w:space="0" w:color="auto"/>
            <w:left w:val="none" w:sz="0" w:space="0" w:color="auto"/>
            <w:bottom w:val="none" w:sz="0" w:space="0" w:color="auto"/>
            <w:right w:val="none" w:sz="0" w:space="0" w:color="auto"/>
          </w:divBdr>
          <w:divsChild>
            <w:div w:id="1083450946">
              <w:marLeft w:val="0"/>
              <w:marRight w:val="0"/>
              <w:marTop w:val="0"/>
              <w:marBottom w:val="0"/>
              <w:divBdr>
                <w:top w:val="none" w:sz="0" w:space="0" w:color="auto"/>
                <w:left w:val="none" w:sz="0" w:space="0" w:color="auto"/>
                <w:bottom w:val="none" w:sz="0" w:space="0" w:color="auto"/>
                <w:right w:val="none" w:sz="0" w:space="0" w:color="auto"/>
              </w:divBdr>
            </w:div>
          </w:divsChild>
        </w:div>
        <w:div w:id="910382449">
          <w:marLeft w:val="0"/>
          <w:marRight w:val="0"/>
          <w:marTop w:val="0"/>
          <w:marBottom w:val="0"/>
          <w:divBdr>
            <w:top w:val="none" w:sz="0" w:space="0" w:color="auto"/>
            <w:left w:val="none" w:sz="0" w:space="0" w:color="auto"/>
            <w:bottom w:val="none" w:sz="0" w:space="0" w:color="auto"/>
            <w:right w:val="none" w:sz="0" w:space="0" w:color="auto"/>
          </w:divBdr>
          <w:divsChild>
            <w:div w:id="818499007">
              <w:marLeft w:val="0"/>
              <w:marRight w:val="0"/>
              <w:marTop w:val="0"/>
              <w:marBottom w:val="0"/>
              <w:divBdr>
                <w:top w:val="none" w:sz="0" w:space="0" w:color="auto"/>
                <w:left w:val="none" w:sz="0" w:space="0" w:color="auto"/>
                <w:bottom w:val="none" w:sz="0" w:space="0" w:color="auto"/>
                <w:right w:val="none" w:sz="0" w:space="0" w:color="auto"/>
              </w:divBdr>
            </w:div>
          </w:divsChild>
        </w:div>
        <w:div w:id="915556072">
          <w:marLeft w:val="0"/>
          <w:marRight w:val="0"/>
          <w:marTop w:val="0"/>
          <w:marBottom w:val="0"/>
          <w:divBdr>
            <w:top w:val="none" w:sz="0" w:space="0" w:color="auto"/>
            <w:left w:val="none" w:sz="0" w:space="0" w:color="auto"/>
            <w:bottom w:val="none" w:sz="0" w:space="0" w:color="auto"/>
            <w:right w:val="none" w:sz="0" w:space="0" w:color="auto"/>
          </w:divBdr>
          <w:divsChild>
            <w:div w:id="2017154249">
              <w:marLeft w:val="0"/>
              <w:marRight w:val="0"/>
              <w:marTop w:val="0"/>
              <w:marBottom w:val="0"/>
              <w:divBdr>
                <w:top w:val="none" w:sz="0" w:space="0" w:color="auto"/>
                <w:left w:val="none" w:sz="0" w:space="0" w:color="auto"/>
                <w:bottom w:val="none" w:sz="0" w:space="0" w:color="auto"/>
                <w:right w:val="none" w:sz="0" w:space="0" w:color="auto"/>
              </w:divBdr>
            </w:div>
          </w:divsChild>
        </w:div>
        <w:div w:id="920136223">
          <w:marLeft w:val="0"/>
          <w:marRight w:val="0"/>
          <w:marTop w:val="0"/>
          <w:marBottom w:val="0"/>
          <w:divBdr>
            <w:top w:val="none" w:sz="0" w:space="0" w:color="auto"/>
            <w:left w:val="none" w:sz="0" w:space="0" w:color="auto"/>
            <w:bottom w:val="none" w:sz="0" w:space="0" w:color="auto"/>
            <w:right w:val="none" w:sz="0" w:space="0" w:color="auto"/>
          </w:divBdr>
          <w:divsChild>
            <w:div w:id="1301229649">
              <w:marLeft w:val="0"/>
              <w:marRight w:val="0"/>
              <w:marTop w:val="0"/>
              <w:marBottom w:val="0"/>
              <w:divBdr>
                <w:top w:val="none" w:sz="0" w:space="0" w:color="auto"/>
                <w:left w:val="none" w:sz="0" w:space="0" w:color="auto"/>
                <w:bottom w:val="none" w:sz="0" w:space="0" w:color="auto"/>
                <w:right w:val="none" w:sz="0" w:space="0" w:color="auto"/>
              </w:divBdr>
            </w:div>
          </w:divsChild>
        </w:div>
        <w:div w:id="927465721">
          <w:marLeft w:val="0"/>
          <w:marRight w:val="0"/>
          <w:marTop w:val="0"/>
          <w:marBottom w:val="0"/>
          <w:divBdr>
            <w:top w:val="none" w:sz="0" w:space="0" w:color="auto"/>
            <w:left w:val="none" w:sz="0" w:space="0" w:color="auto"/>
            <w:bottom w:val="none" w:sz="0" w:space="0" w:color="auto"/>
            <w:right w:val="none" w:sz="0" w:space="0" w:color="auto"/>
          </w:divBdr>
          <w:divsChild>
            <w:div w:id="1921207326">
              <w:marLeft w:val="0"/>
              <w:marRight w:val="0"/>
              <w:marTop w:val="0"/>
              <w:marBottom w:val="0"/>
              <w:divBdr>
                <w:top w:val="none" w:sz="0" w:space="0" w:color="auto"/>
                <w:left w:val="none" w:sz="0" w:space="0" w:color="auto"/>
                <w:bottom w:val="none" w:sz="0" w:space="0" w:color="auto"/>
                <w:right w:val="none" w:sz="0" w:space="0" w:color="auto"/>
              </w:divBdr>
            </w:div>
          </w:divsChild>
        </w:div>
        <w:div w:id="930310836">
          <w:marLeft w:val="0"/>
          <w:marRight w:val="0"/>
          <w:marTop w:val="0"/>
          <w:marBottom w:val="0"/>
          <w:divBdr>
            <w:top w:val="none" w:sz="0" w:space="0" w:color="auto"/>
            <w:left w:val="none" w:sz="0" w:space="0" w:color="auto"/>
            <w:bottom w:val="none" w:sz="0" w:space="0" w:color="auto"/>
            <w:right w:val="none" w:sz="0" w:space="0" w:color="auto"/>
          </w:divBdr>
          <w:divsChild>
            <w:div w:id="1076124460">
              <w:marLeft w:val="0"/>
              <w:marRight w:val="0"/>
              <w:marTop w:val="0"/>
              <w:marBottom w:val="0"/>
              <w:divBdr>
                <w:top w:val="none" w:sz="0" w:space="0" w:color="auto"/>
                <w:left w:val="none" w:sz="0" w:space="0" w:color="auto"/>
                <w:bottom w:val="none" w:sz="0" w:space="0" w:color="auto"/>
                <w:right w:val="none" w:sz="0" w:space="0" w:color="auto"/>
              </w:divBdr>
            </w:div>
          </w:divsChild>
        </w:div>
        <w:div w:id="930897085">
          <w:marLeft w:val="0"/>
          <w:marRight w:val="0"/>
          <w:marTop w:val="0"/>
          <w:marBottom w:val="0"/>
          <w:divBdr>
            <w:top w:val="none" w:sz="0" w:space="0" w:color="auto"/>
            <w:left w:val="none" w:sz="0" w:space="0" w:color="auto"/>
            <w:bottom w:val="none" w:sz="0" w:space="0" w:color="auto"/>
            <w:right w:val="none" w:sz="0" w:space="0" w:color="auto"/>
          </w:divBdr>
          <w:divsChild>
            <w:div w:id="1767188651">
              <w:marLeft w:val="0"/>
              <w:marRight w:val="0"/>
              <w:marTop w:val="0"/>
              <w:marBottom w:val="0"/>
              <w:divBdr>
                <w:top w:val="none" w:sz="0" w:space="0" w:color="auto"/>
                <w:left w:val="none" w:sz="0" w:space="0" w:color="auto"/>
                <w:bottom w:val="none" w:sz="0" w:space="0" w:color="auto"/>
                <w:right w:val="none" w:sz="0" w:space="0" w:color="auto"/>
              </w:divBdr>
            </w:div>
          </w:divsChild>
        </w:div>
        <w:div w:id="931402176">
          <w:marLeft w:val="0"/>
          <w:marRight w:val="0"/>
          <w:marTop w:val="0"/>
          <w:marBottom w:val="0"/>
          <w:divBdr>
            <w:top w:val="none" w:sz="0" w:space="0" w:color="auto"/>
            <w:left w:val="none" w:sz="0" w:space="0" w:color="auto"/>
            <w:bottom w:val="none" w:sz="0" w:space="0" w:color="auto"/>
            <w:right w:val="none" w:sz="0" w:space="0" w:color="auto"/>
          </w:divBdr>
          <w:divsChild>
            <w:div w:id="1968244624">
              <w:marLeft w:val="0"/>
              <w:marRight w:val="0"/>
              <w:marTop w:val="0"/>
              <w:marBottom w:val="0"/>
              <w:divBdr>
                <w:top w:val="none" w:sz="0" w:space="0" w:color="auto"/>
                <w:left w:val="none" w:sz="0" w:space="0" w:color="auto"/>
                <w:bottom w:val="none" w:sz="0" w:space="0" w:color="auto"/>
                <w:right w:val="none" w:sz="0" w:space="0" w:color="auto"/>
              </w:divBdr>
            </w:div>
          </w:divsChild>
        </w:div>
        <w:div w:id="934092919">
          <w:marLeft w:val="0"/>
          <w:marRight w:val="0"/>
          <w:marTop w:val="0"/>
          <w:marBottom w:val="0"/>
          <w:divBdr>
            <w:top w:val="none" w:sz="0" w:space="0" w:color="auto"/>
            <w:left w:val="none" w:sz="0" w:space="0" w:color="auto"/>
            <w:bottom w:val="none" w:sz="0" w:space="0" w:color="auto"/>
            <w:right w:val="none" w:sz="0" w:space="0" w:color="auto"/>
          </w:divBdr>
          <w:divsChild>
            <w:div w:id="1917588222">
              <w:marLeft w:val="0"/>
              <w:marRight w:val="0"/>
              <w:marTop w:val="0"/>
              <w:marBottom w:val="0"/>
              <w:divBdr>
                <w:top w:val="none" w:sz="0" w:space="0" w:color="auto"/>
                <w:left w:val="none" w:sz="0" w:space="0" w:color="auto"/>
                <w:bottom w:val="none" w:sz="0" w:space="0" w:color="auto"/>
                <w:right w:val="none" w:sz="0" w:space="0" w:color="auto"/>
              </w:divBdr>
            </w:div>
          </w:divsChild>
        </w:div>
        <w:div w:id="943146098">
          <w:marLeft w:val="0"/>
          <w:marRight w:val="0"/>
          <w:marTop w:val="0"/>
          <w:marBottom w:val="0"/>
          <w:divBdr>
            <w:top w:val="none" w:sz="0" w:space="0" w:color="auto"/>
            <w:left w:val="none" w:sz="0" w:space="0" w:color="auto"/>
            <w:bottom w:val="none" w:sz="0" w:space="0" w:color="auto"/>
            <w:right w:val="none" w:sz="0" w:space="0" w:color="auto"/>
          </w:divBdr>
          <w:divsChild>
            <w:div w:id="1451901191">
              <w:marLeft w:val="0"/>
              <w:marRight w:val="0"/>
              <w:marTop w:val="0"/>
              <w:marBottom w:val="0"/>
              <w:divBdr>
                <w:top w:val="none" w:sz="0" w:space="0" w:color="auto"/>
                <w:left w:val="none" w:sz="0" w:space="0" w:color="auto"/>
                <w:bottom w:val="none" w:sz="0" w:space="0" w:color="auto"/>
                <w:right w:val="none" w:sz="0" w:space="0" w:color="auto"/>
              </w:divBdr>
            </w:div>
          </w:divsChild>
        </w:div>
        <w:div w:id="949506318">
          <w:marLeft w:val="0"/>
          <w:marRight w:val="0"/>
          <w:marTop w:val="0"/>
          <w:marBottom w:val="0"/>
          <w:divBdr>
            <w:top w:val="none" w:sz="0" w:space="0" w:color="auto"/>
            <w:left w:val="none" w:sz="0" w:space="0" w:color="auto"/>
            <w:bottom w:val="none" w:sz="0" w:space="0" w:color="auto"/>
            <w:right w:val="none" w:sz="0" w:space="0" w:color="auto"/>
          </w:divBdr>
          <w:divsChild>
            <w:div w:id="2095782942">
              <w:marLeft w:val="0"/>
              <w:marRight w:val="0"/>
              <w:marTop w:val="0"/>
              <w:marBottom w:val="0"/>
              <w:divBdr>
                <w:top w:val="none" w:sz="0" w:space="0" w:color="auto"/>
                <w:left w:val="none" w:sz="0" w:space="0" w:color="auto"/>
                <w:bottom w:val="none" w:sz="0" w:space="0" w:color="auto"/>
                <w:right w:val="none" w:sz="0" w:space="0" w:color="auto"/>
              </w:divBdr>
            </w:div>
          </w:divsChild>
        </w:div>
        <w:div w:id="951472783">
          <w:marLeft w:val="0"/>
          <w:marRight w:val="0"/>
          <w:marTop w:val="0"/>
          <w:marBottom w:val="0"/>
          <w:divBdr>
            <w:top w:val="none" w:sz="0" w:space="0" w:color="auto"/>
            <w:left w:val="none" w:sz="0" w:space="0" w:color="auto"/>
            <w:bottom w:val="none" w:sz="0" w:space="0" w:color="auto"/>
            <w:right w:val="none" w:sz="0" w:space="0" w:color="auto"/>
          </w:divBdr>
          <w:divsChild>
            <w:div w:id="1248807409">
              <w:marLeft w:val="0"/>
              <w:marRight w:val="0"/>
              <w:marTop w:val="0"/>
              <w:marBottom w:val="0"/>
              <w:divBdr>
                <w:top w:val="none" w:sz="0" w:space="0" w:color="auto"/>
                <w:left w:val="none" w:sz="0" w:space="0" w:color="auto"/>
                <w:bottom w:val="none" w:sz="0" w:space="0" w:color="auto"/>
                <w:right w:val="none" w:sz="0" w:space="0" w:color="auto"/>
              </w:divBdr>
            </w:div>
          </w:divsChild>
        </w:div>
        <w:div w:id="958217411">
          <w:marLeft w:val="0"/>
          <w:marRight w:val="0"/>
          <w:marTop w:val="0"/>
          <w:marBottom w:val="0"/>
          <w:divBdr>
            <w:top w:val="none" w:sz="0" w:space="0" w:color="auto"/>
            <w:left w:val="none" w:sz="0" w:space="0" w:color="auto"/>
            <w:bottom w:val="none" w:sz="0" w:space="0" w:color="auto"/>
            <w:right w:val="none" w:sz="0" w:space="0" w:color="auto"/>
          </w:divBdr>
          <w:divsChild>
            <w:div w:id="1308629646">
              <w:marLeft w:val="0"/>
              <w:marRight w:val="0"/>
              <w:marTop w:val="0"/>
              <w:marBottom w:val="0"/>
              <w:divBdr>
                <w:top w:val="none" w:sz="0" w:space="0" w:color="auto"/>
                <w:left w:val="none" w:sz="0" w:space="0" w:color="auto"/>
                <w:bottom w:val="none" w:sz="0" w:space="0" w:color="auto"/>
                <w:right w:val="none" w:sz="0" w:space="0" w:color="auto"/>
              </w:divBdr>
            </w:div>
          </w:divsChild>
        </w:div>
        <w:div w:id="958609559">
          <w:marLeft w:val="0"/>
          <w:marRight w:val="0"/>
          <w:marTop w:val="0"/>
          <w:marBottom w:val="0"/>
          <w:divBdr>
            <w:top w:val="none" w:sz="0" w:space="0" w:color="auto"/>
            <w:left w:val="none" w:sz="0" w:space="0" w:color="auto"/>
            <w:bottom w:val="none" w:sz="0" w:space="0" w:color="auto"/>
            <w:right w:val="none" w:sz="0" w:space="0" w:color="auto"/>
          </w:divBdr>
          <w:divsChild>
            <w:div w:id="376124041">
              <w:marLeft w:val="0"/>
              <w:marRight w:val="0"/>
              <w:marTop w:val="0"/>
              <w:marBottom w:val="0"/>
              <w:divBdr>
                <w:top w:val="none" w:sz="0" w:space="0" w:color="auto"/>
                <w:left w:val="none" w:sz="0" w:space="0" w:color="auto"/>
                <w:bottom w:val="none" w:sz="0" w:space="0" w:color="auto"/>
                <w:right w:val="none" w:sz="0" w:space="0" w:color="auto"/>
              </w:divBdr>
            </w:div>
          </w:divsChild>
        </w:div>
        <w:div w:id="965114070">
          <w:marLeft w:val="0"/>
          <w:marRight w:val="0"/>
          <w:marTop w:val="0"/>
          <w:marBottom w:val="0"/>
          <w:divBdr>
            <w:top w:val="none" w:sz="0" w:space="0" w:color="auto"/>
            <w:left w:val="none" w:sz="0" w:space="0" w:color="auto"/>
            <w:bottom w:val="none" w:sz="0" w:space="0" w:color="auto"/>
            <w:right w:val="none" w:sz="0" w:space="0" w:color="auto"/>
          </w:divBdr>
          <w:divsChild>
            <w:div w:id="802193261">
              <w:marLeft w:val="0"/>
              <w:marRight w:val="0"/>
              <w:marTop w:val="0"/>
              <w:marBottom w:val="0"/>
              <w:divBdr>
                <w:top w:val="none" w:sz="0" w:space="0" w:color="auto"/>
                <w:left w:val="none" w:sz="0" w:space="0" w:color="auto"/>
                <w:bottom w:val="none" w:sz="0" w:space="0" w:color="auto"/>
                <w:right w:val="none" w:sz="0" w:space="0" w:color="auto"/>
              </w:divBdr>
            </w:div>
          </w:divsChild>
        </w:div>
        <w:div w:id="973560045">
          <w:marLeft w:val="0"/>
          <w:marRight w:val="0"/>
          <w:marTop w:val="0"/>
          <w:marBottom w:val="0"/>
          <w:divBdr>
            <w:top w:val="none" w:sz="0" w:space="0" w:color="auto"/>
            <w:left w:val="none" w:sz="0" w:space="0" w:color="auto"/>
            <w:bottom w:val="none" w:sz="0" w:space="0" w:color="auto"/>
            <w:right w:val="none" w:sz="0" w:space="0" w:color="auto"/>
          </w:divBdr>
          <w:divsChild>
            <w:div w:id="1543056238">
              <w:marLeft w:val="0"/>
              <w:marRight w:val="0"/>
              <w:marTop w:val="0"/>
              <w:marBottom w:val="0"/>
              <w:divBdr>
                <w:top w:val="none" w:sz="0" w:space="0" w:color="auto"/>
                <w:left w:val="none" w:sz="0" w:space="0" w:color="auto"/>
                <w:bottom w:val="none" w:sz="0" w:space="0" w:color="auto"/>
                <w:right w:val="none" w:sz="0" w:space="0" w:color="auto"/>
              </w:divBdr>
            </w:div>
          </w:divsChild>
        </w:div>
        <w:div w:id="975573592">
          <w:marLeft w:val="0"/>
          <w:marRight w:val="0"/>
          <w:marTop w:val="0"/>
          <w:marBottom w:val="0"/>
          <w:divBdr>
            <w:top w:val="none" w:sz="0" w:space="0" w:color="auto"/>
            <w:left w:val="none" w:sz="0" w:space="0" w:color="auto"/>
            <w:bottom w:val="none" w:sz="0" w:space="0" w:color="auto"/>
            <w:right w:val="none" w:sz="0" w:space="0" w:color="auto"/>
          </w:divBdr>
          <w:divsChild>
            <w:div w:id="1526017796">
              <w:marLeft w:val="0"/>
              <w:marRight w:val="0"/>
              <w:marTop w:val="0"/>
              <w:marBottom w:val="0"/>
              <w:divBdr>
                <w:top w:val="none" w:sz="0" w:space="0" w:color="auto"/>
                <w:left w:val="none" w:sz="0" w:space="0" w:color="auto"/>
                <w:bottom w:val="none" w:sz="0" w:space="0" w:color="auto"/>
                <w:right w:val="none" w:sz="0" w:space="0" w:color="auto"/>
              </w:divBdr>
            </w:div>
          </w:divsChild>
        </w:div>
        <w:div w:id="977228661">
          <w:marLeft w:val="0"/>
          <w:marRight w:val="0"/>
          <w:marTop w:val="0"/>
          <w:marBottom w:val="0"/>
          <w:divBdr>
            <w:top w:val="none" w:sz="0" w:space="0" w:color="auto"/>
            <w:left w:val="none" w:sz="0" w:space="0" w:color="auto"/>
            <w:bottom w:val="none" w:sz="0" w:space="0" w:color="auto"/>
            <w:right w:val="none" w:sz="0" w:space="0" w:color="auto"/>
          </w:divBdr>
          <w:divsChild>
            <w:div w:id="1570846362">
              <w:marLeft w:val="0"/>
              <w:marRight w:val="0"/>
              <w:marTop w:val="0"/>
              <w:marBottom w:val="0"/>
              <w:divBdr>
                <w:top w:val="none" w:sz="0" w:space="0" w:color="auto"/>
                <w:left w:val="none" w:sz="0" w:space="0" w:color="auto"/>
                <w:bottom w:val="none" w:sz="0" w:space="0" w:color="auto"/>
                <w:right w:val="none" w:sz="0" w:space="0" w:color="auto"/>
              </w:divBdr>
            </w:div>
          </w:divsChild>
        </w:div>
        <w:div w:id="982350747">
          <w:marLeft w:val="0"/>
          <w:marRight w:val="0"/>
          <w:marTop w:val="0"/>
          <w:marBottom w:val="0"/>
          <w:divBdr>
            <w:top w:val="none" w:sz="0" w:space="0" w:color="auto"/>
            <w:left w:val="none" w:sz="0" w:space="0" w:color="auto"/>
            <w:bottom w:val="none" w:sz="0" w:space="0" w:color="auto"/>
            <w:right w:val="none" w:sz="0" w:space="0" w:color="auto"/>
          </w:divBdr>
          <w:divsChild>
            <w:div w:id="143591529">
              <w:marLeft w:val="0"/>
              <w:marRight w:val="0"/>
              <w:marTop w:val="0"/>
              <w:marBottom w:val="0"/>
              <w:divBdr>
                <w:top w:val="none" w:sz="0" w:space="0" w:color="auto"/>
                <w:left w:val="none" w:sz="0" w:space="0" w:color="auto"/>
                <w:bottom w:val="none" w:sz="0" w:space="0" w:color="auto"/>
                <w:right w:val="none" w:sz="0" w:space="0" w:color="auto"/>
              </w:divBdr>
            </w:div>
          </w:divsChild>
        </w:div>
        <w:div w:id="983696950">
          <w:marLeft w:val="0"/>
          <w:marRight w:val="0"/>
          <w:marTop w:val="0"/>
          <w:marBottom w:val="0"/>
          <w:divBdr>
            <w:top w:val="none" w:sz="0" w:space="0" w:color="auto"/>
            <w:left w:val="none" w:sz="0" w:space="0" w:color="auto"/>
            <w:bottom w:val="none" w:sz="0" w:space="0" w:color="auto"/>
            <w:right w:val="none" w:sz="0" w:space="0" w:color="auto"/>
          </w:divBdr>
          <w:divsChild>
            <w:div w:id="1848668746">
              <w:marLeft w:val="0"/>
              <w:marRight w:val="0"/>
              <w:marTop w:val="0"/>
              <w:marBottom w:val="0"/>
              <w:divBdr>
                <w:top w:val="none" w:sz="0" w:space="0" w:color="auto"/>
                <w:left w:val="none" w:sz="0" w:space="0" w:color="auto"/>
                <w:bottom w:val="none" w:sz="0" w:space="0" w:color="auto"/>
                <w:right w:val="none" w:sz="0" w:space="0" w:color="auto"/>
              </w:divBdr>
            </w:div>
          </w:divsChild>
        </w:div>
        <w:div w:id="985470327">
          <w:marLeft w:val="0"/>
          <w:marRight w:val="0"/>
          <w:marTop w:val="0"/>
          <w:marBottom w:val="0"/>
          <w:divBdr>
            <w:top w:val="none" w:sz="0" w:space="0" w:color="auto"/>
            <w:left w:val="none" w:sz="0" w:space="0" w:color="auto"/>
            <w:bottom w:val="none" w:sz="0" w:space="0" w:color="auto"/>
            <w:right w:val="none" w:sz="0" w:space="0" w:color="auto"/>
          </w:divBdr>
          <w:divsChild>
            <w:div w:id="713777113">
              <w:marLeft w:val="0"/>
              <w:marRight w:val="0"/>
              <w:marTop w:val="0"/>
              <w:marBottom w:val="0"/>
              <w:divBdr>
                <w:top w:val="none" w:sz="0" w:space="0" w:color="auto"/>
                <w:left w:val="none" w:sz="0" w:space="0" w:color="auto"/>
                <w:bottom w:val="none" w:sz="0" w:space="0" w:color="auto"/>
                <w:right w:val="none" w:sz="0" w:space="0" w:color="auto"/>
              </w:divBdr>
            </w:div>
          </w:divsChild>
        </w:div>
        <w:div w:id="998923132">
          <w:marLeft w:val="0"/>
          <w:marRight w:val="0"/>
          <w:marTop w:val="0"/>
          <w:marBottom w:val="0"/>
          <w:divBdr>
            <w:top w:val="none" w:sz="0" w:space="0" w:color="auto"/>
            <w:left w:val="none" w:sz="0" w:space="0" w:color="auto"/>
            <w:bottom w:val="none" w:sz="0" w:space="0" w:color="auto"/>
            <w:right w:val="none" w:sz="0" w:space="0" w:color="auto"/>
          </w:divBdr>
          <w:divsChild>
            <w:div w:id="321469736">
              <w:marLeft w:val="0"/>
              <w:marRight w:val="0"/>
              <w:marTop w:val="0"/>
              <w:marBottom w:val="0"/>
              <w:divBdr>
                <w:top w:val="none" w:sz="0" w:space="0" w:color="auto"/>
                <w:left w:val="none" w:sz="0" w:space="0" w:color="auto"/>
                <w:bottom w:val="none" w:sz="0" w:space="0" w:color="auto"/>
                <w:right w:val="none" w:sz="0" w:space="0" w:color="auto"/>
              </w:divBdr>
            </w:div>
          </w:divsChild>
        </w:div>
        <w:div w:id="1009451152">
          <w:marLeft w:val="0"/>
          <w:marRight w:val="0"/>
          <w:marTop w:val="0"/>
          <w:marBottom w:val="0"/>
          <w:divBdr>
            <w:top w:val="none" w:sz="0" w:space="0" w:color="auto"/>
            <w:left w:val="none" w:sz="0" w:space="0" w:color="auto"/>
            <w:bottom w:val="none" w:sz="0" w:space="0" w:color="auto"/>
            <w:right w:val="none" w:sz="0" w:space="0" w:color="auto"/>
          </w:divBdr>
          <w:divsChild>
            <w:div w:id="499007804">
              <w:marLeft w:val="0"/>
              <w:marRight w:val="0"/>
              <w:marTop w:val="0"/>
              <w:marBottom w:val="0"/>
              <w:divBdr>
                <w:top w:val="none" w:sz="0" w:space="0" w:color="auto"/>
                <w:left w:val="none" w:sz="0" w:space="0" w:color="auto"/>
                <w:bottom w:val="none" w:sz="0" w:space="0" w:color="auto"/>
                <w:right w:val="none" w:sz="0" w:space="0" w:color="auto"/>
              </w:divBdr>
            </w:div>
          </w:divsChild>
        </w:div>
        <w:div w:id="1015884936">
          <w:marLeft w:val="0"/>
          <w:marRight w:val="0"/>
          <w:marTop w:val="0"/>
          <w:marBottom w:val="0"/>
          <w:divBdr>
            <w:top w:val="none" w:sz="0" w:space="0" w:color="auto"/>
            <w:left w:val="none" w:sz="0" w:space="0" w:color="auto"/>
            <w:bottom w:val="none" w:sz="0" w:space="0" w:color="auto"/>
            <w:right w:val="none" w:sz="0" w:space="0" w:color="auto"/>
          </w:divBdr>
          <w:divsChild>
            <w:div w:id="1954822553">
              <w:marLeft w:val="0"/>
              <w:marRight w:val="0"/>
              <w:marTop w:val="0"/>
              <w:marBottom w:val="0"/>
              <w:divBdr>
                <w:top w:val="none" w:sz="0" w:space="0" w:color="auto"/>
                <w:left w:val="none" w:sz="0" w:space="0" w:color="auto"/>
                <w:bottom w:val="none" w:sz="0" w:space="0" w:color="auto"/>
                <w:right w:val="none" w:sz="0" w:space="0" w:color="auto"/>
              </w:divBdr>
            </w:div>
          </w:divsChild>
        </w:div>
        <w:div w:id="1041788418">
          <w:marLeft w:val="0"/>
          <w:marRight w:val="0"/>
          <w:marTop w:val="0"/>
          <w:marBottom w:val="0"/>
          <w:divBdr>
            <w:top w:val="none" w:sz="0" w:space="0" w:color="auto"/>
            <w:left w:val="none" w:sz="0" w:space="0" w:color="auto"/>
            <w:bottom w:val="none" w:sz="0" w:space="0" w:color="auto"/>
            <w:right w:val="none" w:sz="0" w:space="0" w:color="auto"/>
          </w:divBdr>
          <w:divsChild>
            <w:div w:id="1839347367">
              <w:marLeft w:val="0"/>
              <w:marRight w:val="0"/>
              <w:marTop w:val="0"/>
              <w:marBottom w:val="0"/>
              <w:divBdr>
                <w:top w:val="none" w:sz="0" w:space="0" w:color="auto"/>
                <w:left w:val="none" w:sz="0" w:space="0" w:color="auto"/>
                <w:bottom w:val="none" w:sz="0" w:space="0" w:color="auto"/>
                <w:right w:val="none" w:sz="0" w:space="0" w:color="auto"/>
              </w:divBdr>
            </w:div>
          </w:divsChild>
        </w:div>
        <w:div w:id="1043868209">
          <w:marLeft w:val="0"/>
          <w:marRight w:val="0"/>
          <w:marTop w:val="0"/>
          <w:marBottom w:val="0"/>
          <w:divBdr>
            <w:top w:val="none" w:sz="0" w:space="0" w:color="auto"/>
            <w:left w:val="none" w:sz="0" w:space="0" w:color="auto"/>
            <w:bottom w:val="none" w:sz="0" w:space="0" w:color="auto"/>
            <w:right w:val="none" w:sz="0" w:space="0" w:color="auto"/>
          </w:divBdr>
          <w:divsChild>
            <w:div w:id="879367044">
              <w:marLeft w:val="0"/>
              <w:marRight w:val="0"/>
              <w:marTop w:val="0"/>
              <w:marBottom w:val="0"/>
              <w:divBdr>
                <w:top w:val="none" w:sz="0" w:space="0" w:color="auto"/>
                <w:left w:val="none" w:sz="0" w:space="0" w:color="auto"/>
                <w:bottom w:val="none" w:sz="0" w:space="0" w:color="auto"/>
                <w:right w:val="none" w:sz="0" w:space="0" w:color="auto"/>
              </w:divBdr>
            </w:div>
          </w:divsChild>
        </w:div>
        <w:div w:id="1050108866">
          <w:marLeft w:val="0"/>
          <w:marRight w:val="0"/>
          <w:marTop w:val="0"/>
          <w:marBottom w:val="0"/>
          <w:divBdr>
            <w:top w:val="none" w:sz="0" w:space="0" w:color="auto"/>
            <w:left w:val="none" w:sz="0" w:space="0" w:color="auto"/>
            <w:bottom w:val="none" w:sz="0" w:space="0" w:color="auto"/>
            <w:right w:val="none" w:sz="0" w:space="0" w:color="auto"/>
          </w:divBdr>
          <w:divsChild>
            <w:div w:id="1934850939">
              <w:marLeft w:val="0"/>
              <w:marRight w:val="0"/>
              <w:marTop w:val="0"/>
              <w:marBottom w:val="0"/>
              <w:divBdr>
                <w:top w:val="none" w:sz="0" w:space="0" w:color="auto"/>
                <w:left w:val="none" w:sz="0" w:space="0" w:color="auto"/>
                <w:bottom w:val="none" w:sz="0" w:space="0" w:color="auto"/>
                <w:right w:val="none" w:sz="0" w:space="0" w:color="auto"/>
              </w:divBdr>
            </w:div>
          </w:divsChild>
        </w:div>
        <w:div w:id="1058700471">
          <w:marLeft w:val="0"/>
          <w:marRight w:val="0"/>
          <w:marTop w:val="0"/>
          <w:marBottom w:val="0"/>
          <w:divBdr>
            <w:top w:val="none" w:sz="0" w:space="0" w:color="auto"/>
            <w:left w:val="none" w:sz="0" w:space="0" w:color="auto"/>
            <w:bottom w:val="none" w:sz="0" w:space="0" w:color="auto"/>
            <w:right w:val="none" w:sz="0" w:space="0" w:color="auto"/>
          </w:divBdr>
          <w:divsChild>
            <w:div w:id="2110201443">
              <w:marLeft w:val="0"/>
              <w:marRight w:val="0"/>
              <w:marTop w:val="0"/>
              <w:marBottom w:val="0"/>
              <w:divBdr>
                <w:top w:val="none" w:sz="0" w:space="0" w:color="auto"/>
                <w:left w:val="none" w:sz="0" w:space="0" w:color="auto"/>
                <w:bottom w:val="none" w:sz="0" w:space="0" w:color="auto"/>
                <w:right w:val="none" w:sz="0" w:space="0" w:color="auto"/>
              </w:divBdr>
            </w:div>
          </w:divsChild>
        </w:div>
        <w:div w:id="1065107800">
          <w:marLeft w:val="0"/>
          <w:marRight w:val="0"/>
          <w:marTop w:val="0"/>
          <w:marBottom w:val="0"/>
          <w:divBdr>
            <w:top w:val="none" w:sz="0" w:space="0" w:color="auto"/>
            <w:left w:val="none" w:sz="0" w:space="0" w:color="auto"/>
            <w:bottom w:val="none" w:sz="0" w:space="0" w:color="auto"/>
            <w:right w:val="none" w:sz="0" w:space="0" w:color="auto"/>
          </w:divBdr>
          <w:divsChild>
            <w:div w:id="527720326">
              <w:marLeft w:val="0"/>
              <w:marRight w:val="0"/>
              <w:marTop w:val="0"/>
              <w:marBottom w:val="0"/>
              <w:divBdr>
                <w:top w:val="none" w:sz="0" w:space="0" w:color="auto"/>
                <w:left w:val="none" w:sz="0" w:space="0" w:color="auto"/>
                <w:bottom w:val="none" w:sz="0" w:space="0" w:color="auto"/>
                <w:right w:val="none" w:sz="0" w:space="0" w:color="auto"/>
              </w:divBdr>
            </w:div>
          </w:divsChild>
        </w:div>
        <w:div w:id="1067066654">
          <w:marLeft w:val="0"/>
          <w:marRight w:val="0"/>
          <w:marTop w:val="0"/>
          <w:marBottom w:val="0"/>
          <w:divBdr>
            <w:top w:val="none" w:sz="0" w:space="0" w:color="auto"/>
            <w:left w:val="none" w:sz="0" w:space="0" w:color="auto"/>
            <w:bottom w:val="none" w:sz="0" w:space="0" w:color="auto"/>
            <w:right w:val="none" w:sz="0" w:space="0" w:color="auto"/>
          </w:divBdr>
          <w:divsChild>
            <w:div w:id="1760788143">
              <w:marLeft w:val="0"/>
              <w:marRight w:val="0"/>
              <w:marTop w:val="0"/>
              <w:marBottom w:val="0"/>
              <w:divBdr>
                <w:top w:val="none" w:sz="0" w:space="0" w:color="auto"/>
                <w:left w:val="none" w:sz="0" w:space="0" w:color="auto"/>
                <w:bottom w:val="none" w:sz="0" w:space="0" w:color="auto"/>
                <w:right w:val="none" w:sz="0" w:space="0" w:color="auto"/>
              </w:divBdr>
            </w:div>
          </w:divsChild>
        </w:div>
        <w:div w:id="1073160235">
          <w:marLeft w:val="0"/>
          <w:marRight w:val="0"/>
          <w:marTop w:val="0"/>
          <w:marBottom w:val="0"/>
          <w:divBdr>
            <w:top w:val="none" w:sz="0" w:space="0" w:color="auto"/>
            <w:left w:val="none" w:sz="0" w:space="0" w:color="auto"/>
            <w:bottom w:val="none" w:sz="0" w:space="0" w:color="auto"/>
            <w:right w:val="none" w:sz="0" w:space="0" w:color="auto"/>
          </w:divBdr>
          <w:divsChild>
            <w:div w:id="1206597327">
              <w:marLeft w:val="0"/>
              <w:marRight w:val="0"/>
              <w:marTop w:val="0"/>
              <w:marBottom w:val="0"/>
              <w:divBdr>
                <w:top w:val="none" w:sz="0" w:space="0" w:color="auto"/>
                <w:left w:val="none" w:sz="0" w:space="0" w:color="auto"/>
                <w:bottom w:val="none" w:sz="0" w:space="0" w:color="auto"/>
                <w:right w:val="none" w:sz="0" w:space="0" w:color="auto"/>
              </w:divBdr>
            </w:div>
          </w:divsChild>
        </w:div>
        <w:div w:id="1074282741">
          <w:marLeft w:val="0"/>
          <w:marRight w:val="0"/>
          <w:marTop w:val="0"/>
          <w:marBottom w:val="0"/>
          <w:divBdr>
            <w:top w:val="none" w:sz="0" w:space="0" w:color="auto"/>
            <w:left w:val="none" w:sz="0" w:space="0" w:color="auto"/>
            <w:bottom w:val="none" w:sz="0" w:space="0" w:color="auto"/>
            <w:right w:val="none" w:sz="0" w:space="0" w:color="auto"/>
          </w:divBdr>
          <w:divsChild>
            <w:div w:id="1251431932">
              <w:marLeft w:val="0"/>
              <w:marRight w:val="0"/>
              <w:marTop w:val="0"/>
              <w:marBottom w:val="0"/>
              <w:divBdr>
                <w:top w:val="none" w:sz="0" w:space="0" w:color="auto"/>
                <w:left w:val="none" w:sz="0" w:space="0" w:color="auto"/>
                <w:bottom w:val="none" w:sz="0" w:space="0" w:color="auto"/>
                <w:right w:val="none" w:sz="0" w:space="0" w:color="auto"/>
              </w:divBdr>
            </w:div>
          </w:divsChild>
        </w:div>
        <w:div w:id="1077630692">
          <w:marLeft w:val="0"/>
          <w:marRight w:val="0"/>
          <w:marTop w:val="0"/>
          <w:marBottom w:val="0"/>
          <w:divBdr>
            <w:top w:val="none" w:sz="0" w:space="0" w:color="auto"/>
            <w:left w:val="none" w:sz="0" w:space="0" w:color="auto"/>
            <w:bottom w:val="none" w:sz="0" w:space="0" w:color="auto"/>
            <w:right w:val="none" w:sz="0" w:space="0" w:color="auto"/>
          </w:divBdr>
          <w:divsChild>
            <w:div w:id="523253155">
              <w:marLeft w:val="0"/>
              <w:marRight w:val="0"/>
              <w:marTop w:val="0"/>
              <w:marBottom w:val="0"/>
              <w:divBdr>
                <w:top w:val="none" w:sz="0" w:space="0" w:color="auto"/>
                <w:left w:val="none" w:sz="0" w:space="0" w:color="auto"/>
                <w:bottom w:val="none" w:sz="0" w:space="0" w:color="auto"/>
                <w:right w:val="none" w:sz="0" w:space="0" w:color="auto"/>
              </w:divBdr>
            </w:div>
          </w:divsChild>
        </w:div>
        <w:div w:id="1078329693">
          <w:marLeft w:val="0"/>
          <w:marRight w:val="0"/>
          <w:marTop w:val="0"/>
          <w:marBottom w:val="0"/>
          <w:divBdr>
            <w:top w:val="none" w:sz="0" w:space="0" w:color="auto"/>
            <w:left w:val="none" w:sz="0" w:space="0" w:color="auto"/>
            <w:bottom w:val="none" w:sz="0" w:space="0" w:color="auto"/>
            <w:right w:val="none" w:sz="0" w:space="0" w:color="auto"/>
          </w:divBdr>
          <w:divsChild>
            <w:div w:id="124349656">
              <w:marLeft w:val="0"/>
              <w:marRight w:val="0"/>
              <w:marTop w:val="0"/>
              <w:marBottom w:val="0"/>
              <w:divBdr>
                <w:top w:val="none" w:sz="0" w:space="0" w:color="auto"/>
                <w:left w:val="none" w:sz="0" w:space="0" w:color="auto"/>
                <w:bottom w:val="none" w:sz="0" w:space="0" w:color="auto"/>
                <w:right w:val="none" w:sz="0" w:space="0" w:color="auto"/>
              </w:divBdr>
            </w:div>
          </w:divsChild>
        </w:div>
        <w:div w:id="1079792568">
          <w:marLeft w:val="0"/>
          <w:marRight w:val="0"/>
          <w:marTop w:val="0"/>
          <w:marBottom w:val="0"/>
          <w:divBdr>
            <w:top w:val="none" w:sz="0" w:space="0" w:color="auto"/>
            <w:left w:val="none" w:sz="0" w:space="0" w:color="auto"/>
            <w:bottom w:val="none" w:sz="0" w:space="0" w:color="auto"/>
            <w:right w:val="none" w:sz="0" w:space="0" w:color="auto"/>
          </w:divBdr>
          <w:divsChild>
            <w:div w:id="1176848347">
              <w:marLeft w:val="0"/>
              <w:marRight w:val="0"/>
              <w:marTop w:val="0"/>
              <w:marBottom w:val="0"/>
              <w:divBdr>
                <w:top w:val="none" w:sz="0" w:space="0" w:color="auto"/>
                <w:left w:val="none" w:sz="0" w:space="0" w:color="auto"/>
                <w:bottom w:val="none" w:sz="0" w:space="0" w:color="auto"/>
                <w:right w:val="none" w:sz="0" w:space="0" w:color="auto"/>
              </w:divBdr>
            </w:div>
          </w:divsChild>
        </w:div>
        <w:div w:id="1082409935">
          <w:marLeft w:val="0"/>
          <w:marRight w:val="0"/>
          <w:marTop w:val="0"/>
          <w:marBottom w:val="0"/>
          <w:divBdr>
            <w:top w:val="none" w:sz="0" w:space="0" w:color="auto"/>
            <w:left w:val="none" w:sz="0" w:space="0" w:color="auto"/>
            <w:bottom w:val="none" w:sz="0" w:space="0" w:color="auto"/>
            <w:right w:val="none" w:sz="0" w:space="0" w:color="auto"/>
          </w:divBdr>
          <w:divsChild>
            <w:div w:id="1063337823">
              <w:marLeft w:val="0"/>
              <w:marRight w:val="0"/>
              <w:marTop w:val="0"/>
              <w:marBottom w:val="0"/>
              <w:divBdr>
                <w:top w:val="none" w:sz="0" w:space="0" w:color="auto"/>
                <w:left w:val="none" w:sz="0" w:space="0" w:color="auto"/>
                <w:bottom w:val="none" w:sz="0" w:space="0" w:color="auto"/>
                <w:right w:val="none" w:sz="0" w:space="0" w:color="auto"/>
              </w:divBdr>
            </w:div>
          </w:divsChild>
        </w:div>
        <w:div w:id="1084643978">
          <w:marLeft w:val="0"/>
          <w:marRight w:val="0"/>
          <w:marTop w:val="0"/>
          <w:marBottom w:val="0"/>
          <w:divBdr>
            <w:top w:val="none" w:sz="0" w:space="0" w:color="auto"/>
            <w:left w:val="none" w:sz="0" w:space="0" w:color="auto"/>
            <w:bottom w:val="none" w:sz="0" w:space="0" w:color="auto"/>
            <w:right w:val="none" w:sz="0" w:space="0" w:color="auto"/>
          </w:divBdr>
          <w:divsChild>
            <w:div w:id="1314482141">
              <w:marLeft w:val="0"/>
              <w:marRight w:val="0"/>
              <w:marTop w:val="0"/>
              <w:marBottom w:val="0"/>
              <w:divBdr>
                <w:top w:val="none" w:sz="0" w:space="0" w:color="auto"/>
                <w:left w:val="none" w:sz="0" w:space="0" w:color="auto"/>
                <w:bottom w:val="none" w:sz="0" w:space="0" w:color="auto"/>
                <w:right w:val="none" w:sz="0" w:space="0" w:color="auto"/>
              </w:divBdr>
            </w:div>
          </w:divsChild>
        </w:div>
        <w:div w:id="1085570655">
          <w:marLeft w:val="0"/>
          <w:marRight w:val="0"/>
          <w:marTop w:val="0"/>
          <w:marBottom w:val="0"/>
          <w:divBdr>
            <w:top w:val="none" w:sz="0" w:space="0" w:color="auto"/>
            <w:left w:val="none" w:sz="0" w:space="0" w:color="auto"/>
            <w:bottom w:val="none" w:sz="0" w:space="0" w:color="auto"/>
            <w:right w:val="none" w:sz="0" w:space="0" w:color="auto"/>
          </w:divBdr>
          <w:divsChild>
            <w:div w:id="2020962453">
              <w:marLeft w:val="0"/>
              <w:marRight w:val="0"/>
              <w:marTop w:val="0"/>
              <w:marBottom w:val="0"/>
              <w:divBdr>
                <w:top w:val="none" w:sz="0" w:space="0" w:color="auto"/>
                <w:left w:val="none" w:sz="0" w:space="0" w:color="auto"/>
                <w:bottom w:val="none" w:sz="0" w:space="0" w:color="auto"/>
                <w:right w:val="none" w:sz="0" w:space="0" w:color="auto"/>
              </w:divBdr>
            </w:div>
          </w:divsChild>
        </w:div>
        <w:div w:id="1099104491">
          <w:marLeft w:val="0"/>
          <w:marRight w:val="0"/>
          <w:marTop w:val="0"/>
          <w:marBottom w:val="0"/>
          <w:divBdr>
            <w:top w:val="none" w:sz="0" w:space="0" w:color="auto"/>
            <w:left w:val="none" w:sz="0" w:space="0" w:color="auto"/>
            <w:bottom w:val="none" w:sz="0" w:space="0" w:color="auto"/>
            <w:right w:val="none" w:sz="0" w:space="0" w:color="auto"/>
          </w:divBdr>
          <w:divsChild>
            <w:div w:id="304430219">
              <w:marLeft w:val="0"/>
              <w:marRight w:val="0"/>
              <w:marTop w:val="0"/>
              <w:marBottom w:val="0"/>
              <w:divBdr>
                <w:top w:val="none" w:sz="0" w:space="0" w:color="auto"/>
                <w:left w:val="none" w:sz="0" w:space="0" w:color="auto"/>
                <w:bottom w:val="none" w:sz="0" w:space="0" w:color="auto"/>
                <w:right w:val="none" w:sz="0" w:space="0" w:color="auto"/>
              </w:divBdr>
            </w:div>
            <w:div w:id="797649119">
              <w:marLeft w:val="0"/>
              <w:marRight w:val="0"/>
              <w:marTop w:val="0"/>
              <w:marBottom w:val="0"/>
              <w:divBdr>
                <w:top w:val="none" w:sz="0" w:space="0" w:color="auto"/>
                <w:left w:val="none" w:sz="0" w:space="0" w:color="auto"/>
                <w:bottom w:val="none" w:sz="0" w:space="0" w:color="auto"/>
                <w:right w:val="none" w:sz="0" w:space="0" w:color="auto"/>
              </w:divBdr>
            </w:div>
          </w:divsChild>
        </w:div>
        <w:div w:id="1105614784">
          <w:marLeft w:val="0"/>
          <w:marRight w:val="0"/>
          <w:marTop w:val="0"/>
          <w:marBottom w:val="0"/>
          <w:divBdr>
            <w:top w:val="none" w:sz="0" w:space="0" w:color="auto"/>
            <w:left w:val="none" w:sz="0" w:space="0" w:color="auto"/>
            <w:bottom w:val="none" w:sz="0" w:space="0" w:color="auto"/>
            <w:right w:val="none" w:sz="0" w:space="0" w:color="auto"/>
          </w:divBdr>
          <w:divsChild>
            <w:div w:id="1457025047">
              <w:marLeft w:val="0"/>
              <w:marRight w:val="0"/>
              <w:marTop w:val="0"/>
              <w:marBottom w:val="0"/>
              <w:divBdr>
                <w:top w:val="none" w:sz="0" w:space="0" w:color="auto"/>
                <w:left w:val="none" w:sz="0" w:space="0" w:color="auto"/>
                <w:bottom w:val="none" w:sz="0" w:space="0" w:color="auto"/>
                <w:right w:val="none" w:sz="0" w:space="0" w:color="auto"/>
              </w:divBdr>
            </w:div>
          </w:divsChild>
        </w:div>
        <w:div w:id="1108622337">
          <w:marLeft w:val="0"/>
          <w:marRight w:val="0"/>
          <w:marTop w:val="0"/>
          <w:marBottom w:val="0"/>
          <w:divBdr>
            <w:top w:val="none" w:sz="0" w:space="0" w:color="auto"/>
            <w:left w:val="none" w:sz="0" w:space="0" w:color="auto"/>
            <w:bottom w:val="none" w:sz="0" w:space="0" w:color="auto"/>
            <w:right w:val="none" w:sz="0" w:space="0" w:color="auto"/>
          </w:divBdr>
          <w:divsChild>
            <w:div w:id="1515682569">
              <w:marLeft w:val="0"/>
              <w:marRight w:val="0"/>
              <w:marTop w:val="0"/>
              <w:marBottom w:val="0"/>
              <w:divBdr>
                <w:top w:val="none" w:sz="0" w:space="0" w:color="auto"/>
                <w:left w:val="none" w:sz="0" w:space="0" w:color="auto"/>
                <w:bottom w:val="none" w:sz="0" w:space="0" w:color="auto"/>
                <w:right w:val="none" w:sz="0" w:space="0" w:color="auto"/>
              </w:divBdr>
            </w:div>
          </w:divsChild>
        </w:div>
        <w:div w:id="1134757349">
          <w:marLeft w:val="0"/>
          <w:marRight w:val="0"/>
          <w:marTop w:val="0"/>
          <w:marBottom w:val="0"/>
          <w:divBdr>
            <w:top w:val="none" w:sz="0" w:space="0" w:color="auto"/>
            <w:left w:val="none" w:sz="0" w:space="0" w:color="auto"/>
            <w:bottom w:val="none" w:sz="0" w:space="0" w:color="auto"/>
            <w:right w:val="none" w:sz="0" w:space="0" w:color="auto"/>
          </w:divBdr>
          <w:divsChild>
            <w:div w:id="1419254007">
              <w:marLeft w:val="0"/>
              <w:marRight w:val="0"/>
              <w:marTop w:val="0"/>
              <w:marBottom w:val="0"/>
              <w:divBdr>
                <w:top w:val="none" w:sz="0" w:space="0" w:color="auto"/>
                <w:left w:val="none" w:sz="0" w:space="0" w:color="auto"/>
                <w:bottom w:val="none" w:sz="0" w:space="0" w:color="auto"/>
                <w:right w:val="none" w:sz="0" w:space="0" w:color="auto"/>
              </w:divBdr>
            </w:div>
          </w:divsChild>
        </w:div>
        <w:div w:id="1139035144">
          <w:marLeft w:val="0"/>
          <w:marRight w:val="0"/>
          <w:marTop w:val="0"/>
          <w:marBottom w:val="0"/>
          <w:divBdr>
            <w:top w:val="none" w:sz="0" w:space="0" w:color="auto"/>
            <w:left w:val="none" w:sz="0" w:space="0" w:color="auto"/>
            <w:bottom w:val="none" w:sz="0" w:space="0" w:color="auto"/>
            <w:right w:val="none" w:sz="0" w:space="0" w:color="auto"/>
          </w:divBdr>
          <w:divsChild>
            <w:div w:id="11304397">
              <w:marLeft w:val="0"/>
              <w:marRight w:val="0"/>
              <w:marTop w:val="0"/>
              <w:marBottom w:val="0"/>
              <w:divBdr>
                <w:top w:val="none" w:sz="0" w:space="0" w:color="auto"/>
                <w:left w:val="none" w:sz="0" w:space="0" w:color="auto"/>
                <w:bottom w:val="none" w:sz="0" w:space="0" w:color="auto"/>
                <w:right w:val="none" w:sz="0" w:space="0" w:color="auto"/>
              </w:divBdr>
            </w:div>
          </w:divsChild>
        </w:div>
        <w:div w:id="1141464941">
          <w:marLeft w:val="0"/>
          <w:marRight w:val="0"/>
          <w:marTop w:val="0"/>
          <w:marBottom w:val="0"/>
          <w:divBdr>
            <w:top w:val="none" w:sz="0" w:space="0" w:color="auto"/>
            <w:left w:val="none" w:sz="0" w:space="0" w:color="auto"/>
            <w:bottom w:val="none" w:sz="0" w:space="0" w:color="auto"/>
            <w:right w:val="none" w:sz="0" w:space="0" w:color="auto"/>
          </w:divBdr>
          <w:divsChild>
            <w:div w:id="284653261">
              <w:marLeft w:val="0"/>
              <w:marRight w:val="0"/>
              <w:marTop w:val="0"/>
              <w:marBottom w:val="0"/>
              <w:divBdr>
                <w:top w:val="none" w:sz="0" w:space="0" w:color="auto"/>
                <w:left w:val="none" w:sz="0" w:space="0" w:color="auto"/>
                <w:bottom w:val="none" w:sz="0" w:space="0" w:color="auto"/>
                <w:right w:val="none" w:sz="0" w:space="0" w:color="auto"/>
              </w:divBdr>
            </w:div>
          </w:divsChild>
        </w:div>
        <w:div w:id="1148131950">
          <w:marLeft w:val="0"/>
          <w:marRight w:val="0"/>
          <w:marTop w:val="0"/>
          <w:marBottom w:val="0"/>
          <w:divBdr>
            <w:top w:val="none" w:sz="0" w:space="0" w:color="auto"/>
            <w:left w:val="none" w:sz="0" w:space="0" w:color="auto"/>
            <w:bottom w:val="none" w:sz="0" w:space="0" w:color="auto"/>
            <w:right w:val="none" w:sz="0" w:space="0" w:color="auto"/>
          </w:divBdr>
          <w:divsChild>
            <w:div w:id="41563201">
              <w:marLeft w:val="0"/>
              <w:marRight w:val="0"/>
              <w:marTop w:val="0"/>
              <w:marBottom w:val="0"/>
              <w:divBdr>
                <w:top w:val="none" w:sz="0" w:space="0" w:color="auto"/>
                <w:left w:val="none" w:sz="0" w:space="0" w:color="auto"/>
                <w:bottom w:val="none" w:sz="0" w:space="0" w:color="auto"/>
                <w:right w:val="none" w:sz="0" w:space="0" w:color="auto"/>
              </w:divBdr>
            </w:div>
          </w:divsChild>
        </w:div>
        <w:div w:id="1157839821">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
          </w:divsChild>
        </w:div>
        <w:div w:id="1160583210">
          <w:marLeft w:val="0"/>
          <w:marRight w:val="0"/>
          <w:marTop w:val="0"/>
          <w:marBottom w:val="0"/>
          <w:divBdr>
            <w:top w:val="none" w:sz="0" w:space="0" w:color="auto"/>
            <w:left w:val="none" w:sz="0" w:space="0" w:color="auto"/>
            <w:bottom w:val="none" w:sz="0" w:space="0" w:color="auto"/>
            <w:right w:val="none" w:sz="0" w:space="0" w:color="auto"/>
          </w:divBdr>
          <w:divsChild>
            <w:div w:id="1423069064">
              <w:marLeft w:val="0"/>
              <w:marRight w:val="0"/>
              <w:marTop w:val="0"/>
              <w:marBottom w:val="0"/>
              <w:divBdr>
                <w:top w:val="none" w:sz="0" w:space="0" w:color="auto"/>
                <w:left w:val="none" w:sz="0" w:space="0" w:color="auto"/>
                <w:bottom w:val="none" w:sz="0" w:space="0" w:color="auto"/>
                <w:right w:val="none" w:sz="0" w:space="0" w:color="auto"/>
              </w:divBdr>
            </w:div>
          </w:divsChild>
        </w:div>
        <w:div w:id="1164511076">
          <w:marLeft w:val="0"/>
          <w:marRight w:val="0"/>
          <w:marTop w:val="0"/>
          <w:marBottom w:val="0"/>
          <w:divBdr>
            <w:top w:val="none" w:sz="0" w:space="0" w:color="auto"/>
            <w:left w:val="none" w:sz="0" w:space="0" w:color="auto"/>
            <w:bottom w:val="none" w:sz="0" w:space="0" w:color="auto"/>
            <w:right w:val="none" w:sz="0" w:space="0" w:color="auto"/>
          </w:divBdr>
          <w:divsChild>
            <w:div w:id="1714034875">
              <w:marLeft w:val="0"/>
              <w:marRight w:val="0"/>
              <w:marTop w:val="0"/>
              <w:marBottom w:val="0"/>
              <w:divBdr>
                <w:top w:val="none" w:sz="0" w:space="0" w:color="auto"/>
                <w:left w:val="none" w:sz="0" w:space="0" w:color="auto"/>
                <w:bottom w:val="none" w:sz="0" w:space="0" w:color="auto"/>
                <w:right w:val="none" w:sz="0" w:space="0" w:color="auto"/>
              </w:divBdr>
            </w:div>
          </w:divsChild>
        </w:div>
        <w:div w:id="1164666189">
          <w:marLeft w:val="0"/>
          <w:marRight w:val="0"/>
          <w:marTop w:val="0"/>
          <w:marBottom w:val="0"/>
          <w:divBdr>
            <w:top w:val="none" w:sz="0" w:space="0" w:color="auto"/>
            <w:left w:val="none" w:sz="0" w:space="0" w:color="auto"/>
            <w:bottom w:val="none" w:sz="0" w:space="0" w:color="auto"/>
            <w:right w:val="none" w:sz="0" w:space="0" w:color="auto"/>
          </w:divBdr>
          <w:divsChild>
            <w:div w:id="56632124">
              <w:marLeft w:val="0"/>
              <w:marRight w:val="0"/>
              <w:marTop w:val="0"/>
              <w:marBottom w:val="0"/>
              <w:divBdr>
                <w:top w:val="none" w:sz="0" w:space="0" w:color="auto"/>
                <w:left w:val="none" w:sz="0" w:space="0" w:color="auto"/>
                <w:bottom w:val="none" w:sz="0" w:space="0" w:color="auto"/>
                <w:right w:val="none" w:sz="0" w:space="0" w:color="auto"/>
              </w:divBdr>
            </w:div>
          </w:divsChild>
        </w:div>
        <w:div w:id="1171990338">
          <w:marLeft w:val="0"/>
          <w:marRight w:val="0"/>
          <w:marTop w:val="0"/>
          <w:marBottom w:val="0"/>
          <w:divBdr>
            <w:top w:val="none" w:sz="0" w:space="0" w:color="auto"/>
            <w:left w:val="none" w:sz="0" w:space="0" w:color="auto"/>
            <w:bottom w:val="none" w:sz="0" w:space="0" w:color="auto"/>
            <w:right w:val="none" w:sz="0" w:space="0" w:color="auto"/>
          </w:divBdr>
          <w:divsChild>
            <w:div w:id="787898787">
              <w:marLeft w:val="0"/>
              <w:marRight w:val="0"/>
              <w:marTop w:val="0"/>
              <w:marBottom w:val="0"/>
              <w:divBdr>
                <w:top w:val="none" w:sz="0" w:space="0" w:color="auto"/>
                <w:left w:val="none" w:sz="0" w:space="0" w:color="auto"/>
                <w:bottom w:val="none" w:sz="0" w:space="0" w:color="auto"/>
                <w:right w:val="none" w:sz="0" w:space="0" w:color="auto"/>
              </w:divBdr>
            </w:div>
          </w:divsChild>
        </w:div>
        <w:div w:id="1181050294">
          <w:marLeft w:val="0"/>
          <w:marRight w:val="0"/>
          <w:marTop w:val="0"/>
          <w:marBottom w:val="0"/>
          <w:divBdr>
            <w:top w:val="none" w:sz="0" w:space="0" w:color="auto"/>
            <w:left w:val="none" w:sz="0" w:space="0" w:color="auto"/>
            <w:bottom w:val="none" w:sz="0" w:space="0" w:color="auto"/>
            <w:right w:val="none" w:sz="0" w:space="0" w:color="auto"/>
          </w:divBdr>
          <w:divsChild>
            <w:div w:id="1368218806">
              <w:marLeft w:val="0"/>
              <w:marRight w:val="0"/>
              <w:marTop w:val="0"/>
              <w:marBottom w:val="0"/>
              <w:divBdr>
                <w:top w:val="none" w:sz="0" w:space="0" w:color="auto"/>
                <w:left w:val="none" w:sz="0" w:space="0" w:color="auto"/>
                <w:bottom w:val="none" w:sz="0" w:space="0" w:color="auto"/>
                <w:right w:val="none" w:sz="0" w:space="0" w:color="auto"/>
              </w:divBdr>
            </w:div>
          </w:divsChild>
        </w:div>
        <w:div w:id="1187719756">
          <w:marLeft w:val="0"/>
          <w:marRight w:val="0"/>
          <w:marTop w:val="0"/>
          <w:marBottom w:val="0"/>
          <w:divBdr>
            <w:top w:val="none" w:sz="0" w:space="0" w:color="auto"/>
            <w:left w:val="none" w:sz="0" w:space="0" w:color="auto"/>
            <w:bottom w:val="none" w:sz="0" w:space="0" w:color="auto"/>
            <w:right w:val="none" w:sz="0" w:space="0" w:color="auto"/>
          </w:divBdr>
          <w:divsChild>
            <w:div w:id="2086102505">
              <w:marLeft w:val="0"/>
              <w:marRight w:val="0"/>
              <w:marTop w:val="0"/>
              <w:marBottom w:val="0"/>
              <w:divBdr>
                <w:top w:val="none" w:sz="0" w:space="0" w:color="auto"/>
                <w:left w:val="none" w:sz="0" w:space="0" w:color="auto"/>
                <w:bottom w:val="none" w:sz="0" w:space="0" w:color="auto"/>
                <w:right w:val="none" w:sz="0" w:space="0" w:color="auto"/>
              </w:divBdr>
            </w:div>
          </w:divsChild>
        </w:div>
        <w:div w:id="1188062591">
          <w:marLeft w:val="0"/>
          <w:marRight w:val="0"/>
          <w:marTop w:val="0"/>
          <w:marBottom w:val="0"/>
          <w:divBdr>
            <w:top w:val="none" w:sz="0" w:space="0" w:color="auto"/>
            <w:left w:val="none" w:sz="0" w:space="0" w:color="auto"/>
            <w:bottom w:val="none" w:sz="0" w:space="0" w:color="auto"/>
            <w:right w:val="none" w:sz="0" w:space="0" w:color="auto"/>
          </w:divBdr>
          <w:divsChild>
            <w:div w:id="653142871">
              <w:marLeft w:val="0"/>
              <w:marRight w:val="0"/>
              <w:marTop w:val="0"/>
              <w:marBottom w:val="0"/>
              <w:divBdr>
                <w:top w:val="none" w:sz="0" w:space="0" w:color="auto"/>
                <w:left w:val="none" w:sz="0" w:space="0" w:color="auto"/>
                <w:bottom w:val="none" w:sz="0" w:space="0" w:color="auto"/>
                <w:right w:val="none" w:sz="0" w:space="0" w:color="auto"/>
              </w:divBdr>
            </w:div>
          </w:divsChild>
        </w:div>
        <w:div w:id="1197081067">
          <w:marLeft w:val="0"/>
          <w:marRight w:val="0"/>
          <w:marTop w:val="0"/>
          <w:marBottom w:val="0"/>
          <w:divBdr>
            <w:top w:val="none" w:sz="0" w:space="0" w:color="auto"/>
            <w:left w:val="none" w:sz="0" w:space="0" w:color="auto"/>
            <w:bottom w:val="none" w:sz="0" w:space="0" w:color="auto"/>
            <w:right w:val="none" w:sz="0" w:space="0" w:color="auto"/>
          </w:divBdr>
          <w:divsChild>
            <w:div w:id="1127311005">
              <w:marLeft w:val="0"/>
              <w:marRight w:val="0"/>
              <w:marTop w:val="0"/>
              <w:marBottom w:val="0"/>
              <w:divBdr>
                <w:top w:val="none" w:sz="0" w:space="0" w:color="auto"/>
                <w:left w:val="none" w:sz="0" w:space="0" w:color="auto"/>
                <w:bottom w:val="none" w:sz="0" w:space="0" w:color="auto"/>
                <w:right w:val="none" w:sz="0" w:space="0" w:color="auto"/>
              </w:divBdr>
            </w:div>
          </w:divsChild>
        </w:div>
        <w:div w:id="1202933890">
          <w:marLeft w:val="0"/>
          <w:marRight w:val="0"/>
          <w:marTop w:val="0"/>
          <w:marBottom w:val="0"/>
          <w:divBdr>
            <w:top w:val="none" w:sz="0" w:space="0" w:color="auto"/>
            <w:left w:val="none" w:sz="0" w:space="0" w:color="auto"/>
            <w:bottom w:val="none" w:sz="0" w:space="0" w:color="auto"/>
            <w:right w:val="none" w:sz="0" w:space="0" w:color="auto"/>
          </w:divBdr>
          <w:divsChild>
            <w:div w:id="1302230633">
              <w:marLeft w:val="0"/>
              <w:marRight w:val="0"/>
              <w:marTop w:val="0"/>
              <w:marBottom w:val="0"/>
              <w:divBdr>
                <w:top w:val="none" w:sz="0" w:space="0" w:color="auto"/>
                <w:left w:val="none" w:sz="0" w:space="0" w:color="auto"/>
                <w:bottom w:val="none" w:sz="0" w:space="0" w:color="auto"/>
                <w:right w:val="none" w:sz="0" w:space="0" w:color="auto"/>
              </w:divBdr>
            </w:div>
          </w:divsChild>
        </w:div>
        <w:div w:id="1206214027">
          <w:marLeft w:val="0"/>
          <w:marRight w:val="0"/>
          <w:marTop w:val="0"/>
          <w:marBottom w:val="0"/>
          <w:divBdr>
            <w:top w:val="none" w:sz="0" w:space="0" w:color="auto"/>
            <w:left w:val="none" w:sz="0" w:space="0" w:color="auto"/>
            <w:bottom w:val="none" w:sz="0" w:space="0" w:color="auto"/>
            <w:right w:val="none" w:sz="0" w:space="0" w:color="auto"/>
          </w:divBdr>
          <w:divsChild>
            <w:div w:id="706836297">
              <w:marLeft w:val="0"/>
              <w:marRight w:val="0"/>
              <w:marTop w:val="0"/>
              <w:marBottom w:val="0"/>
              <w:divBdr>
                <w:top w:val="none" w:sz="0" w:space="0" w:color="auto"/>
                <w:left w:val="none" w:sz="0" w:space="0" w:color="auto"/>
                <w:bottom w:val="none" w:sz="0" w:space="0" w:color="auto"/>
                <w:right w:val="none" w:sz="0" w:space="0" w:color="auto"/>
              </w:divBdr>
            </w:div>
          </w:divsChild>
        </w:div>
        <w:div w:id="1206216478">
          <w:marLeft w:val="0"/>
          <w:marRight w:val="0"/>
          <w:marTop w:val="0"/>
          <w:marBottom w:val="0"/>
          <w:divBdr>
            <w:top w:val="none" w:sz="0" w:space="0" w:color="auto"/>
            <w:left w:val="none" w:sz="0" w:space="0" w:color="auto"/>
            <w:bottom w:val="none" w:sz="0" w:space="0" w:color="auto"/>
            <w:right w:val="none" w:sz="0" w:space="0" w:color="auto"/>
          </w:divBdr>
          <w:divsChild>
            <w:div w:id="552499027">
              <w:marLeft w:val="0"/>
              <w:marRight w:val="0"/>
              <w:marTop w:val="0"/>
              <w:marBottom w:val="0"/>
              <w:divBdr>
                <w:top w:val="none" w:sz="0" w:space="0" w:color="auto"/>
                <w:left w:val="none" w:sz="0" w:space="0" w:color="auto"/>
                <w:bottom w:val="none" w:sz="0" w:space="0" w:color="auto"/>
                <w:right w:val="none" w:sz="0" w:space="0" w:color="auto"/>
              </w:divBdr>
            </w:div>
          </w:divsChild>
        </w:div>
        <w:div w:id="1223371142">
          <w:marLeft w:val="0"/>
          <w:marRight w:val="0"/>
          <w:marTop w:val="0"/>
          <w:marBottom w:val="0"/>
          <w:divBdr>
            <w:top w:val="none" w:sz="0" w:space="0" w:color="auto"/>
            <w:left w:val="none" w:sz="0" w:space="0" w:color="auto"/>
            <w:bottom w:val="none" w:sz="0" w:space="0" w:color="auto"/>
            <w:right w:val="none" w:sz="0" w:space="0" w:color="auto"/>
          </w:divBdr>
          <w:divsChild>
            <w:div w:id="332808045">
              <w:marLeft w:val="0"/>
              <w:marRight w:val="0"/>
              <w:marTop w:val="0"/>
              <w:marBottom w:val="0"/>
              <w:divBdr>
                <w:top w:val="none" w:sz="0" w:space="0" w:color="auto"/>
                <w:left w:val="none" w:sz="0" w:space="0" w:color="auto"/>
                <w:bottom w:val="none" w:sz="0" w:space="0" w:color="auto"/>
                <w:right w:val="none" w:sz="0" w:space="0" w:color="auto"/>
              </w:divBdr>
            </w:div>
          </w:divsChild>
        </w:div>
        <w:div w:id="1224174121">
          <w:marLeft w:val="0"/>
          <w:marRight w:val="0"/>
          <w:marTop w:val="0"/>
          <w:marBottom w:val="0"/>
          <w:divBdr>
            <w:top w:val="none" w:sz="0" w:space="0" w:color="auto"/>
            <w:left w:val="none" w:sz="0" w:space="0" w:color="auto"/>
            <w:bottom w:val="none" w:sz="0" w:space="0" w:color="auto"/>
            <w:right w:val="none" w:sz="0" w:space="0" w:color="auto"/>
          </w:divBdr>
          <w:divsChild>
            <w:div w:id="1050920">
              <w:marLeft w:val="0"/>
              <w:marRight w:val="0"/>
              <w:marTop w:val="0"/>
              <w:marBottom w:val="0"/>
              <w:divBdr>
                <w:top w:val="none" w:sz="0" w:space="0" w:color="auto"/>
                <w:left w:val="none" w:sz="0" w:space="0" w:color="auto"/>
                <w:bottom w:val="none" w:sz="0" w:space="0" w:color="auto"/>
                <w:right w:val="none" w:sz="0" w:space="0" w:color="auto"/>
              </w:divBdr>
            </w:div>
          </w:divsChild>
        </w:div>
        <w:div w:id="1232737440">
          <w:marLeft w:val="0"/>
          <w:marRight w:val="0"/>
          <w:marTop w:val="0"/>
          <w:marBottom w:val="0"/>
          <w:divBdr>
            <w:top w:val="none" w:sz="0" w:space="0" w:color="auto"/>
            <w:left w:val="none" w:sz="0" w:space="0" w:color="auto"/>
            <w:bottom w:val="none" w:sz="0" w:space="0" w:color="auto"/>
            <w:right w:val="none" w:sz="0" w:space="0" w:color="auto"/>
          </w:divBdr>
          <w:divsChild>
            <w:div w:id="191264098">
              <w:marLeft w:val="0"/>
              <w:marRight w:val="0"/>
              <w:marTop w:val="0"/>
              <w:marBottom w:val="0"/>
              <w:divBdr>
                <w:top w:val="none" w:sz="0" w:space="0" w:color="auto"/>
                <w:left w:val="none" w:sz="0" w:space="0" w:color="auto"/>
                <w:bottom w:val="none" w:sz="0" w:space="0" w:color="auto"/>
                <w:right w:val="none" w:sz="0" w:space="0" w:color="auto"/>
              </w:divBdr>
            </w:div>
          </w:divsChild>
        </w:div>
        <w:div w:id="1245064102">
          <w:marLeft w:val="0"/>
          <w:marRight w:val="0"/>
          <w:marTop w:val="0"/>
          <w:marBottom w:val="0"/>
          <w:divBdr>
            <w:top w:val="none" w:sz="0" w:space="0" w:color="auto"/>
            <w:left w:val="none" w:sz="0" w:space="0" w:color="auto"/>
            <w:bottom w:val="none" w:sz="0" w:space="0" w:color="auto"/>
            <w:right w:val="none" w:sz="0" w:space="0" w:color="auto"/>
          </w:divBdr>
          <w:divsChild>
            <w:div w:id="1625575171">
              <w:marLeft w:val="0"/>
              <w:marRight w:val="0"/>
              <w:marTop w:val="0"/>
              <w:marBottom w:val="0"/>
              <w:divBdr>
                <w:top w:val="none" w:sz="0" w:space="0" w:color="auto"/>
                <w:left w:val="none" w:sz="0" w:space="0" w:color="auto"/>
                <w:bottom w:val="none" w:sz="0" w:space="0" w:color="auto"/>
                <w:right w:val="none" w:sz="0" w:space="0" w:color="auto"/>
              </w:divBdr>
            </w:div>
          </w:divsChild>
        </w:div>
        <w:div w:id="1251810358">
          <w:marLeft w:val="0"/>
          <w:marRight w:val="0"/>
          <w:marTop w:val="0"/>
          <w:marBottom w:val="0"/>
          <w:divBdr>
            <w:top w:val="none" w:sz="0" w:space="0" w:color="auto"/>
            <w:left w:val="none" w:sz="0" w:space="0" w:color="auto"/>
            <w:bottom w:val="none" w:sz="0" w:space="0" w:color="auto"/>
            <w:right w:val="none" w:sz="0" w:space="0" w:color="auto"/>
          </w:divBdr>
          <w:divsChild>
            <w:div w:id="566036152">
              <w:marLeft w:val="0"/>
              <w:marRight w:val="0"/>
              <w:marTop w:val="0"/>
              <w:marBottom w:val="0"/>
              <w:divBdr>
                <w:top w:val="none" w:sz="0" w:space="0" w:color="auto"/>
                <w:left w:val="none" w:sz="0" w:space="0" w:color="auto"/>
                <w:bottom w:val="none" w:sz="0" w:space="0" w:color="auto"/>
                <w:right w:val="none" w:sz="0" w:space="0" w:color="auto"/>
              </w:divBdr>
            </w:div>
          </w:divsChild>
        </w:div>
        <w:div w:id="1259605271">
          <w:marLeft w:val="0"/>
          <w:marRight w:val="0"/>
          <w:marTop w:val="0"/>
          <w:marBottom w:val="0"/>
          <w:divBdr>
            <w:top w:val="none" w:sz="0" w:space="0" w:color="auto"/>
            <w:left w:val="none" w:sz="0" w:space="0" w:color="auto"/>
            <w:bottom w:val="none" w:sz="0" w:space="0" w:color="auto"/>
            <w:right w:val="none" w:sz="0" w:space="0" w:color="auto"/>
          </w:divBdr>
          <w:divsChild>
            <w:div w:id="1429423668">
              <w:marLeft w:val="0"/>
              <w:marRight w:val="0"/>
              <w:marTop w:val="0"/>
              <w:marBottom w:val="0"/>
              <w:divBdr>
                <w:top w:val="none" w:sz="0" w:space="0" w:color="auto"/>
                <w:left w:val="none" w:sz="0" w:space="0" w:color="auto"/>
                <w:bottom w:val="none" w:sz="0" w:space="0" w:color="auto"/>
                <w:right w:val="none" w:sz="0" w:space="0" w:color="auto"/>
              </w:divBdr>
            </w:div>
          </w:divsChild>
        </w:div>
        <w:div w:id="1270770443">
          <w:marLeft w:val="0"/>
          <w:marRight w:val="0"/>
          <w:marTop w:val="0"/>
          <w:marBottom w:val="0"/>
          <w:divBdr>
            <w:top w:val="none" w:sz="0" w:space="0" w:color="auto"/>
            <w:left w:val="none" w:sz="0" w:space="0" w:color="auto"/>
            <w:bottom w:val="none" w:sz="0" w:space="0" w:color="auto"/>
            <w:right w:val="none" w:sz="0" w:space="0" w:color="auto"/>
          </w:divBdr>
          <w:divsChild>
            <w:div w:id="1401513226">
              <w:marLeft w:val="0"/>
              <w:marRight w:val="0"/>
              <w:marTop w:val="0"/>
              <w:marBottom w:val="0"/>
              <w:divBdr>
                <w:top w:val="none" w:sz="0" w:space="0" w:color="auto"/>
                <w:left w:val="none" w:sz="0" w:space="0" w:color="auto"/>
                <w:bottom w:val="none" w:sz="0" w:space="0" w:color="auto"/>
                <w:right w:val="none" w:sz="0" w:space="0" w:color="auto"/>
              </w:divBdr>
            </w:div>
          </w:divsChild>
        </w:div>
        <w:div w:id="1276207111">
          <w:marLeft w:val="0"/>
          <w:marRight w:val="0"/>
          <w:marTop w:val="0"/>
          <w:marBottom w:val="0"/>
          <w:divBdr>
            <w:top w:val="none" w:sz="0" w:space="0" w:color="auto"/>
            <w:left w:val="none" w:sz="0" w:space="0" w:color="auto"/>
            <w:bottom w:val="none" w:sz="0" w:space="0" w:color="auto"/>
            <w:right w:val="none" w:sz="0" w:space="0" w:color="auto"/>
          </w:divBdr>
          <w:divsChild>
            <w:div w:id="1868789643">
              <w:marLeft w:val="0"/>
              <w:marRight w:val="0"/>
              <w:marTop w:val="0"/>
              <w:marBottom w:val="0"/>
              <w:divBdr>
                <w:top w:val="none" w:sz="0" w:space="0" w:color="auto"/>
                <w:left w:val="none" w:sz="0" w:space="0" w:color="auto"/>
                <w:bottom w:val="none" w:sz="0" w:space="0" w:color="auto"/>
                <w:right w:val="none" w:sz="0" w:space="0" w:color="auto"/>
              </w:divBdr>
            </w:div>
          </w:divsChild>
        </w:div>
        <w:div w:id="1284309962">
          <w:marLeft w:val="0"/>
          <w:marRight w:val="0"/>
          <w:marTop w:val="0"/>
          <w:marBottom w:val="0"/>
          <w:divBdr>
            <w:top w:val="none" w:sz="0" w:space="0" w:color="auto"/>
            <w:left w:val="none" w:sz="0" w:space="0" w:color="auto"/>
            <w:bottom w:val="none" w:sz="0" w:space="0" w:color="auto"/>
            <w:right w:val="none" w:sz="0" w:space="0" w:color="auto"/>
          </w:divBdr>
          <w:divsChild>
            <w:div w:id="87383782">
              <w:marLeft w:val="0"/>
              <w:marRight w:val="0"/>
              <w:marTop w:val="0"/>
              <w:marBottom w:val="0"/>
              <w:divBdr>
                <w:top w:val="none" w:sz="0" w:space="0" w:color="auto"/>
                <w:left w:val="none" w:sz="0" w:space="0" w:color="auto"/>
                <w:bottom w:val="none" w:sz="0" w:space="0" w:color="auto"/>
                <w:right w:val="none" w:sz="0" w:space="0" w:color="auto"/>
              </w:divBdr>
            </w:div>
          </w:divsChild>
        </w:div>
        <w:div w:id="1286737773">
          <w:marLeft w:val="0"/>
          <w:marRight w:val="0"/>
          <w:marTop w:val="0"/>
          <w:marBottom w:val="0"/>
          <w:divBdr>
            <w:top w:val="none" w:sz="0" w:space="0" w:color="auto"/>
            <w:left w:val="none" w:sz="0" w:space="0" w:color="auto"/>
            <w:bottom w:val="none" w:sz="0" w:space="0" w:color="auto"/>
            <w:right w:val="none" w:sz="0" w:space="0" w:color="auto"/>
          </w:divBdr>
          <w:divsChild>
            <w:div w:id="495800558">
              <w:marLeft w:val="0"/>
              <w:marRight w:val="0"/>
              <w:marTop w:val="0"/>
              <w:marBottom w:val="0"/>
              <w:divBdr>
                <w:top w:val="none" w:sz="0" w:space="0" w:color="auto"/>
                <w:left w:val="none" w:sz="0" w:space="0" w:color="auto"/>
                <w:bottom w:val="none" w:sz="0" w:space="0" w:color="auto"/>
                <w:right w:val="none" w:sz="0" w:space="0" w:color="auto"/>
              </w:divBdr>
            </w:div>
          </w:divsChild>
        </w:div>
        <w:div w:id="1287737472">
          <w:marLeft w:val="0"/>
          <w:marRight w:val="0"/>
          <w:marTop w:val="0"/>
          <w:marBottom w:val="0"/>
          <w:divBdr>
            <w:top w:val="none" w:sz="0" w:space="0" w:color="auto"/>
            <w:left w:val="none" w:sz="0" w:space="0" w:color="auto"/>
            <w:bottom w:val="none" w:sz="0" w:space="0" w:color="auto"/>
            <w:right w:val="none" w:sz="0" w:space="0" w:color="auto"/>
          </w:divBdr>
          <w:divsChild>
            <w:div w:id="1123890035">
              <w:marLeft w:val="0"/>
              <w:marRight w:val="0"/>
              <w:marTop w:val="0"/>
              <w:marBottom w:val="0"/>
              <w:divBdr>
                <w:top w:val="none" w:sz="0" w:space="0" w:color="auto"/>
                <w:left w:val="none" w:sz="0" w:space="0" w:color="auto"/>
                <w:bottom w:val="none" w:sz="0" w:space="0" w:color="auto"/>
                <w:right w:val="none" w:sz="0" w:space="0" w:color="auto"/>
              </w:divBdr>
            </w:div>
          </w:divsChild>
        </w:div>
        <w:div w:id="1287738530">
          <w:marLeft w:val="0"/>
          <w:marRight w:val="0"/>
          <w:marTop w:val="0"/>
          <w:marBottom w:val="0"/>
          <w:divBdr>
            <w:top w:val="none" w:sz="0" w:space="0" w:color="auto"/>
            <w:left w:val="none" w:sz="0" w:space="0" w:color="auto"/>
            <w:bottom w:val="none" w:sz="0" w:space="0" w:color="auto"/>
            <w:right w:val="none" w:sz="0" w:space="0" w:color="auto"/>
          </w:divBdr>
          <w:divsChild>
            <w:div w:id="114252351">
              <w:marLeft w:val="0"/>
              <w:marRight w:val="0"/>
              <w:marTop w:val="0"/>
              <w:marBottom w:val="0"/>
              <w:divBdr>
                <w:top w:val="none" w:sz="0" w:space="0" w:color="auto"/>
                <w:left w:val="none" w:sz="0" w:space="0" w:color="auto"/>
                <w:bottom w:val="none" w:sz="0" w:space="0" w:color="auto"/>
                <w:right w:val="none" w:sz="0" w:space="0" w:color="auto"/>
              </w:divBdr>
            </w:div>
          </w:divsChild>
        </w:div>
        <w:div w:id="1311011384">
          <w:marLeft w:val="0"/>
          <w:marRight w:val="0"/>
          <w:marTop w:val="0"/>
          <w:marBottom w:val="0"/>
          <w:divBdr>
            <w:top w:val="none" w:sz="0" w:space="0" w:color="auto"/>
            <w:left w:val="none" w:sz="0" w:space="0" w:color="auto"/>
            <w:bottom w:val="none" w:sz="0" w:space="0" w:color="auto"/>
            <w:right w:val="none" w:sz="0" w:space="0" w:color="auto"/>
          </w:divBdr>
          <w:divsChild>
            <w:div w:id="1270971423">
              <w:marLeft w:val="0"/>
              <w:marRight w:val="0"/>
              <w:marTop w:val="0"/>
              <w:marBottom w:val="0"/>
              <w:divBdr>
                <w:top w:val="none" w:sz="0" w:space="0" w:color="auto"/>
                <w:left w:val="none" w:sz="0" w:space="0" w:color="auto"/>
                <w:bottom w:val="none" w:sz="0" w:space="0" w:color="auto"/>
                <w:right w:val="none" w:sz="0" w:space="0" w:color="auto"/>
              </w:divBdr>
            </w:div>
          </w:divsChild>
        </w:div>
        <w:div w:id="1311908375">
          <w:marLeft w:val="0"/>
          <w:marRight w:val="0"/>
          <w:marTop w:val="0"/>
          <w:marBottom w:val="0"/>
          <w:divBdr>
            <w:top w:val="none" w:sz="0" w:space="0" w:color="auto"/>
            <w:left w:val="none" w:sz="0" w:space="0" w:color="auto"/>
            <w:bottom w:val="none" w:sz="0" w:space="0" w:color="auto"/>
            <w:right w:val="none" w:sz="0" w:space="0" w:color="auto"/>
          </w:divBdr>
          <w:divsChild>
            <w:div w:id="545262288">
              <w:marLeft w:val="0"/>
              <w:marRight w:val="0"/>
              <w:marTop w:val="0"/>
              <w:marBottom w:val="0"/>
              <w:divBdr>
                <w:top w:val="none" w:sz="0" w:space="0" w:color="auto"/>
                <w:left w:val="none" w:sz="0" w:space="0" w:color="auto"/>
                <w:bottom w:val="none" w:sz="0" w:space="0" w:color="auto"/>
                <w:right w:val="none" w:sz="0" w:space="0" w:color="auto"/>
              </w:divBdr>
            </w:div>
          </w:divsChild>
        </w:div>
        <w:div w:id="1314984530">
          <w:marLeft w:val="0"/>
          <w:marRight w:val="0"/>
          <w:marTop w:val="0"/>
          <w:marBottom w:val="0"/>
          <w:divBdr>
            <w:top w:val="none" w:sz="0" w:space="0" w:color="auto"/>
            <w:left w:val="none" w:sz="0" w:space="0" w:color="auto"/>
            <w:bottom w:val="none" w:sz="0" w:space="0" w:color="auto"/>
            <w:right w:val="none" w:sz="0" w:space="0" w:color="auto"/>
          </w:divBdr>
          <w:divsChild>
            <w:div w:id="1163594137">
              <w:marLeft w:val="0"/>
              <w:marRight w:val="0"/>
              <w:marTop w:val="0"/>
              <w:marBottom w:val="0"/>
              <w:divBdr>
                <w:top w:val="none" w:sz="0" w:space="0" w:color="auto"/>
                <w:left w:val="none" w:sz="0" w:space="0" w:color="auto"/>
                <w:bottom w:val="none" w:sz="0" w:space="0" w:color="auto"/>
                <w:right w:val="none" w:sz="0" w:space="0" w:color="auto"/>
              </w:divBdr>
            </w:div>
          </w:divsChild>
        </w:div>
        <w:div w:id="1315527900">
          <w:marLeft w:val="0"/>
          <w:marRight w:val="0"/>
          <w:marTop w:val="0"/>
          <w:marBottom w:val="0"/>
          <w:divBdr>
            <w:top w:val="none" w:sz="0" w:space="0" w:color="auto"/>
            <w:left w:val="none" w:sz="0" w:space="0" w:color="auto"/>
            <w:bottom w:val="none" w:sz="0" w:space="0" w:color="auto"/>
            <w:right w:val="none" w:sz="0" w:space="0" w:color="auto"/>
          </w:divBdr>
          <w:divsChild>
            <w:div w:id="604849569">
              <w:marLeft w:val="0"/>
              <w:marRight w:val="0"/>
              <w:marTop w:val="0"/>
              <w:marBottom w:val="0"/>
              <w:divBdr>
                <w:top w:val="none" w:sz="0" w:space="0" w:color="auto"/>
                <w:left w:val="none" w:sz="0" w:space="0" w:color="auto"/>
                <w:bottom w:val="none" w:sz="0" w:space="0" w:color="auto"/>
                <w:right w:val="none" w:sz="0" w:space="0" w:color="auto"/>
              </w:divBdr>
            </w:div>
          </w:divsChild>
        </w:div>
        <w:div w:id="1342312723">
          <w:marLeft w:val="0"/>
          <w:marRight w:val="0"/>
          <w:marTop w:val="0"/>
          <w:marBottom w:val="0"/>
          <w:divBdr>
            <w:top w:val="none" w:sz="0" w:space="0" w:color="auto"/>
            <w:left w:val="none" w:sz="0" w:space="0" w:color="auto"/>
            <w:bottom w:val="none" w:sz="0" w:space="0" w:color="auto"/>
            <w:right w:val="none" w:sz="0" w:space="0" w:color="auto"/>
          </w:divBdr>
          <w:divsChild>
            <w:div w:id="630674193">
              <w:marLeft w:val="0"/>
              <w:marRight w:val="0"/>
              <w:marTop w:val="0"/>
              <w:marBottom w:val="0"/>
              <w:divBdr>
                <w:top w:val="none" w:sz="0" w:space="0" w:color="auto"/>
                <w:left w:val="none" w:sz="0" w:space="0" w:color="auto"/>
                <w:bottom w:val="none" w:sz="0" w:space="0" w:color="auto"/>
                <w:right w:val="none" w:sz="0" w:space="0" w:color="auto"/>
              </w:divBdr>
            </w:div>
          </w:divsChild>
        </w:div>
        <w:div w:id="1352492466">
          <w:marLeft w:val="0"/>
          <w:marRight w:val="0"/>
          <w:marTop w:val="0"/>
          <w:marBottom w:val="0"/>
          <w:divBdr>
            <w:top w:val="none" w:sz="0" w:space="0" w:color="auto"/>
            <w:left w:val="none" w:sz="0" w:space="0" w:color="auto"/>
            <w:bottom w:val="none" w:sz="0" w:space="0" w:color="auto"/>
            <w:right w:val="none" w:sz="0" w:space="0" w:color="auto"/>
          </w:divBdr>
          <w:divsChild>
            <w:div w:id="98336425">
              <w:marLeft w:val="0"/>
              <w:marRight w:val="0"/>
              <w:marTop w:val="0"/>
              <w:marBottom w:val="0"/>
              <w:divBdr>
                <w:top w:val="none" w:sz="0" w:space="0" w:color="auto"/>
                <w:left w:val="none" w:sz="0" w:space="0" w:color="auto"/>
                <w:bottom w:val="none" w:sz="0" w:space="0" w:color="auto"/>
                <w:right w:val="none" w:sz="0" w:space="0" w:color="auto"/>
              </w:divBdr>
            </w:div>
          </w:divsChild>
        </w:div>
        <w:div w:id="1368676045">
          <w:marLeft w:val="0"/>
          <w:marRight w:val="0"/>
          <w:marTop w:val="0"/>
          <w:marBottom w:val="0"/>
          <w:divBdr>
            <w:top w:val="none" w:sz="0" w:space="0" w:color="auto"/>
            <w:left w:val="none" w:sz="0" w:space="0" w:color="auto"/>
            <w:bottom w:val="none" w:sz="0" w:space="0" w:color="auto"/>
            <w:right w:val="none" w:sz="0" w:space="0" w:color="auto"/>
          </w:divBdr>
          <w:divsChild>
            <w:div w:id="1326661952">
              <w:marLeft w:val="0"/>
              <w:marRight w:val="0"/>
              <w:marTop w:val="0"/>
              <w:marBottom w:val="0"/>
              <w:divBdr>
                <w:top w:val="none" w:sz="0" w:space="0" w:color="auto"/>
                <w:left w:val="none" w:sz="0" w:space="0" w:color="auto"/>
                <w:bottom w:val="none" w:sz="0" w:space="0" w:color="auto"/>
                <w:right w:val="none" w:sz="0" w:space="0" w:color="auto"/>
              </w:divBdr>
            </w:div>
          </w:divsChild>
        </w:div>
        <w:div w:id="1372879234">
          <w:marLeft w:val="0"/>
          <w:marRight w:val="0"/>
          <w:marTop w:val="0"/>
          <w:marBottom w:val="0"/>
          <w:divBdr>
            <w:top w:val="none" w:sz="0" w:space="0" w:color="auto"/>
            <w:left w:val="none" w:sz="0" w:space="0" w:color="auto"/>
            <w:bottom w:val="none" w:sz="0" w:space="0" w:color="auto"/>
            <w:right w:val="none" w:sz="0" w:space="0" w:color="auto"/>
          </w:divBdr>
          <w:divsChild>
            <w:div w:id="1558398826">
              <w:marLeft w:val="0"/>
              <w:marRight w:val="0"/>
              <w:marTop w:val="0"/>
              <w:marBottom w:val="0"/>
              <w:divBdr>
                <w:top w:val="none" w:sz="0" w:space="0" w:color="auto"/>
                <w:left w:val="none" w:sz="0" w:space="0" w:color="auto"/>
                <w:bottom w:val="none" w:sz="0" w:space="0" w:color="auto"/>
                <w:right w:val="none" w:sz="0" w:space="0" w:color="auto"/>
              </w:divBdr>
            </w:div>
          </w:divsChild>
        </w:div>
        <w:div w:id="1373457552">
          <w:marLeft w:val="0"/>
          <w:marRight w:val="0"/>
          <w:marTop w:val="0"/>
          <w:marBottom w:val="0"/>
          <w:divBdr>
            <w:top w:val="none" w:sz="0" w:space="0" w:color="auto"/>
            <w:left w:val="none" w:sz="0" w:space="0" w:color="auto"/>
            <w:bottom w:val="none" w:sz="0" w:space="0" w:color="auto"/>
            <w:right w:val="none" w:sz="0" w:space="0" w:color="auto"/>
          </w:divBdr>
          <w:divsChild>
            <w:div w:id="1262684313">
              <w:marLeft w:val="0"/>
              <w:marRight w:val="0"/>
              <w:marTop w:val="0"/>
              <w:marBottom w:val="0"/>
              <w:divBdr>
                <w:top w:val="none" w:sz="0" w:space="0" w:color="auto"/>
                <w:left w:val="none" w:sz="0" w:space="0" w:color="auto"/>
                <w:bottom w:val="none" w:sz="0" w:space="0" w:color="auto"/>
                <w:right w:val="none" w:sz="0" w:space="0" w:color="auto"/>
              </w:divBdr>
            </w:div>
          </w:divsChild>
        </w:div>
        <w:div w:id="1393389470">
          <w:marLeft w:val="0"/>
          <w:marRight w:val="0"/>
          <w:marTop w:val="0"/>
          <w:marBottom w:val="0"/>
          <w:divBdr>
            <w:top w:val="none" w:sz="0" w:space="0" w:color="auto"/>
            <w:left w:val="none" w:sz="0" w:space="0" w:color="auto"/>
            <w:bottom w:val="none" w:sz="0" w:space="0" w:color="auto"/>
            <w:right w:val="none" w:sz="0" w:space="0" w:color="auto"/>
          </w:divBdr>
          <w:divsChild>
            <w:div w:id="372773381">
              <w:marLeft w:val="0"/>
              <w:marRight w:val="0"/>
              <w:marTop w:val="0"/>
              <w:marBottom w:val="0"/>
              <w:divBdr>
                <w:top w:val="none" w:sz="0" w:space="0" w:color="auto"/>
                <w:left w:val="none" w:sz="0" w:space="0" w:color="auto"/>
                <w:bottom w:val="none" w:sz="0" w:space="0" w:color="auto"/>
                <w:right w:val="none" w:sz="0" w:space="0" w:color="auto"/>
              </w:divBdr>
            </w:div>
          </w:divsChild>
        </w:div>
        <w:div w:id="1399478014">
          <w:marLeft w:val="0"/>
          <w:marRight w:val="0"/>
          <w:marTop w:val="0"/>
          <w:marBottom w:val="0"/>
          <w:divBdr>
            <w:top w:val="none" w:sz="0" w:space="0" w:color="auto"/>
            <w:left w:val="none" w:sz="0" w:space="0" w:color="auto"/>
            <w:bottom w:val="none" w:sz="0" w:space="0" w:color="auto"/>
            <w:right w:val="none" w:sz="0" w:space="0" w:color="auto"/>
          </w:divBdr>
          <w:divsChild>
            <w:div w:id="114176059">
              <w:marLeft w:val="0"/>
              <w:marRight w:val="0"/>
              <w:marTop w:val="0"/>
              <w:marBottom w:val="0"/>
              <w:divBdr>
                <w:top w:val="none" w:sz="0" w:space="0" w:color="auto"/>
                <w:left w:val="none" w:sz="0" w:space="0" w:color="auto"/>
                <w:bottom w:val="none" w:sz="0" w:space="0" w:color="auto"/>
                <w:right w:val="none" w:sz="0" w:space="0" w:color="auto"/>
              </w:divBdr>
            </w:div>
          </w:divsChild>
        </w:div>
        <w:div w:id="1401825472">
          <w:marLeft w:val="0"/>
          <w:marRight w:val="0"/>
          <w:marTop w:val="0"/>
          <w:marBottom w:val="0"/>
          <w:divBdr>
            <w:top w:val="none" w:sz="0" w:space="0" w:color="auto"/>
            <w:left w:val="none" w:sz="0" w:space="0" w:color="auto"/>
            <w:bottom w:val="none" w:sz="0" w:space="0" w:color="auto"/>
            <w:right w:val="none" w:sz="0" w:space="0" w:color="auto"/>
          </w:divBdr>
          <w:divsChild>
            <w:div w:id="1399131900">
              <w:marLeft w:val="0"/>
              <w:marRight w:val="0"/>
              <w:marTop w:val="0"/>
              <w:marBottom w:val="0"/>
              <w:divBdr>
                <w:top w:val="none" w:sz="0" w:space="0" w:color="auto"/>
                <w:left w:val="none" w:sz="0" w:space="0" w:color="auto"/>
                <w:bottom w:val="none" w:sz="0" w:space="0" w:color="auto"/>
                <w:right w:val="none" w:sz="0" w:space="0" w:color="auto"/>
              </w:divBdr>
            </w:div>
          </w:divsChild>
        </w:div>
        <w:div w:id="1402604914">
          <w:marLeft w:val="0"/>
          <w:marRight w:val="0"/>
          <w:marTop w:val="0"/>
          <w:marBottom w:val="0"/>
          <w:divBdr>
            <w:top w:val="none" w:sz="0" w:space="0" w:color="auto"/>
            <w:left w:val="none" w:sz="0" w:space="0" w:color="auto"/>
            <w:bottom w:val="none" w:sz="0" w:space="0" w:color="auto"/>
            <w:right w:val="none" w:sz="0" w:space="0" w:color="auto"/>
          </w:divBdr>
          <w:divsChild>
            <w:div w:id="1095243423">
              <w:marLeft w:val="0"/>
              <w:marRight w:val="0"/>
              <w:marTop w:val="0"/>
              <w:marBottom w:val="0"/>
              <w:divBdr>
                <w:top w:val="none" w:sz="0" w:space="0" w:color="auto"/>
                <w:left w:val="none" w:sz="0" w:space="0" w:color="auto"/>
                <w:bottom w:val="none" w:sz="0" w:space="0" w:color="auto"/>
                <w:right w:val="none" w:sz="0" w:space="0" w:color="auto"/>
              </w:divBdr>
            </w:div>
          </w:divsChild>
        </w:div>
        <w:div w:id="1404140718">
          <w:marLeft w:val="0"/>
          <w:marRight w:val="0"/>
          <w:marTop w:val="0"/>
          <w:marBottom w:val="0"/>
          <w:divBdr>
            <w:top w:val="none" w:sz="0" w:space="0" w:color="auto"/>
            <w:left w:val="none" w:sz="0" w:space="0" w:color="auto"/>
            <w:bottom w:val="none" w:sz="0" w:space="0" w:color="auto"/>
            <w:right w:val="none" w:sz="0" w:space="0" w:color="auto"/>
          </w:divBdr>
          <w:divsChild>
            <w:div w:id="1419981823">
              <w:marLeft w:val="0"/>
              <w:marRight w:val="0"/>
              <w:marTop w:val="0"/>
              <w:marBottom w:val="0"/>
              <w:divBdr>
                <w:top w:val="none" w:sz="0" w:space="0" w:color="auto"/>
                <w:left w:val="none" w:sz="0" w:space="0" w:color="auto"/>
                <w:bottom w:val="none" w:sz="0" w:space="0" w:color="auto"/>
                <w:right w:val="none" w:sz="0" w:space="0" w:color="auto"/>
              </w:divBdr>
            </w:div>
          </w:divsChild>
        </w:div>
        <w:div w:id="1415472440">
          <w:marLeft w:val="0"/>
          <w:marRight w:val="0"/>
          <w:marTop w:val="0"/>
          <w:marBottom w:val="0"/>
          <w:divBdr>
            <w:top w:val="none" w:sz="0" w:space="0" w:color="auto"/>
            <w:left w:val="none" w:sz="0" w:space="0" w:color="auto"/>
            <w:bottom w:val="none" w:sz="0" w:space="0" w:color="auto"/>
            <w:right w:val="none" w:sz="0" w:space="0" w:color="auto"/>
          </w:divBdr>
          <w:divsChild>
            <w:div w:id="1225681486">
              <w:marLeft w:val="0"/>
              <w:marRight w:val="0"/>
              <w:marTop w:val="0"/>
              <w:marBottom w:val="0"/>
              <w:divBdr>
                <w:top w:val="none" w:sz="0" w:space="0" w:color="auto"/>
                <w:left w:val="none" w:sz="0" w:space="0" w:color="auto"/>
                <w:bottom w:val="none" w:sz="0" w:space="0" w:color="auto"/>
                <w:right w:val="none" w:sz="0" w:space="0" w:color="auto"/>
              </w:divBdr>
            </w:div>
          </w:divsChild>
        </w:div>
        <w:div w:id="1417706858">
          <w:marLeft w:val="0"/>
          <w:marRight w:val="0"/>
          <w:marTop w:val="0"/>
          <w:marBottom w:val="0"/>
          <w:divBdr>
            <w:top w:val="none" w:sz="0" w:space="0" w:color="auto"/>
            <w:left w:val="none" w:sz="0" w:space="0" w:color="auto"/>
            <w:bottom w:val="none" w:sz="0" w:space="0" w:color="auto"/>
            <w:right w:val="none" w:sz="0" w:space="0" w:color="auto"/>
          </w:divBdr>
          <w:divsChild>
            <w:div w:id="1629706685">
              <w:marLeft w:val="0"/>
              <w:marRight w:val="0"/>
              <w:marTop w:val="0"/>
              <w:marBottom w:val="0"/>
              <w:divBdr>
                <w:top w:val="none" w:sz="0" w:space="0" w:color="auto"/>
                <w:left w:val="none" w:sz="0" w:space="0" w:color="auto"/>
                <w:bottom w:val="none" w:sz="0" w:space="0" w:color="auto"/>
                <w:right w:val="none" w:sz="0" w:space="0" w:color="auto"/>
              </w:divBdr>
            </w:div>
          </w:divsChild>
        </w:div>
        <w:div w:id="1440367870">
          <w:marLeft w:val="0"/>
          <w:marRight w:val="0"/>
          <w:marTop w:val="0"/>
          <w:marBottom w:val="0"/>
          <w:divBdr>
            <w:top w:val="none" w:sz="0" w:space="0" w:color="auto"/>
            <w:left w:val="none" w:sz="0" w:space="0" w:color="auto"/>
            <w:bottom w:val="none" w:sz="0" w:space="0" w:color="auto"/>
            <w:right w:val="none" w:sz="0" w:space="0" w:color="auto"/>
          </w:divBdr>
          <w:divsChild>
            <w:div w:id="2079940296">
              <w:marLeft w:val="0"/>
              <w:marRight w:val="0"/>
              <w:marTop w:val="0"/>
              <w:marBottom w:val="0"/>
              <w:divBdr>
                <w:top w:val="none" w:sz="0" w:space="0" w:color="auto"/>
                <w:left w:val="none" w:sz="0" w:space="0" w:color="auto"/>
                <w:bottom w:val="none" w:sz="0" w:space="0" w:color="auto"/>
                <w:right w:val="none" w:sz="0" w:space="0" w:color="auto"/>
              </w:divBdr>
            </w:div>
          </w:divsChild>
        </w:div>
        <w:div w:id="1445884920">
          <w:marLeft w:val="0"/>
          <w:marRight w:val="0"/>
          <w:marTop w:val="0"/>
          <w:marBottom w:val="0"/>
          <w:divBdr>
            <w:top w:val="none" w:sz="0" w:space="0" w:color="auto"/>
            <w:left w:val="none" w:sz="0" w:space="0" w:color="auto"/>
            <w:bottom w:val="none" w:sz="0" w:space="0" w:color="auto"/>
            <w:right w:val="none" w:sz="0" w:space="0" w:color="auto"/>
          </w:divBdr>
          <w:divsChild>
            <w:div w:id="1081295719">
              <w:marLeft w:val="0"/>
              <w:marRight w:val="0"/>
              <w:marTop w:val="0"/>
              <w:marBottom w:val="0"/>
              <w:divBdr>
                <w:top w:val="none" w:sz="0" w:space="0" w:color="auto"/>
                <w:left w:val="none" w:sz="0" w:space="0" w:color="auto"/>
                <w:bottom w:val="none" w:sz="0" w:space="0" w:color="auto"/>
                <w:right w:val="none" w:sz="0" w:space="0" w:color="auto"/>
              </w:divBdr>
            </w:div>
          </w:divsChild>
        </w:div>
        <w:div w:id="1448499536">
          <w:marLeft w:val="0"/>
          <w:marRight w:val="0"/>
          <w:marTop w:val="0"/>
          <w:marBottom w:val="0"/>
          <w:divBdr>
            <w:top w:val="none" w:sz="0" w:space="0" w:color="auto"/>
            <w:left w:val="none" w:sz="0" w:space="0" w:color="auto"/>
            <w:bottom w:val="none" w:sz="0" w:space="0" w:color="auto"/>
            <w:right w:val="none" w:sz="0" w:space="0" w:color="auto"/>
          </w:divBdr>
          <w:divsChild>
            <w:div w:id="217060986">
              <w:marLeft w:val="0"/>
              <w:marRight w:val="0"/>
              <w:marTop w:val="0"/>
              <w:marBottom w:val="0"/>
              <w:divBdr>
                <w:top w:val="none" w:sz="0" w:space="0" w:color="auto"/>
                <w:left w:val="none" w:sz="0" w:space="0" w:color="auto"/>
                <w:bottom w:val="none" w:sz="0" w:space="0" w:color="auto"/>
                <w:right w:val="none" w:sz="0" w:space="0" w:color="auto"/>
              </w:divBdr>
            </w:div>
          </w:divsChild>
        </w:div>
        <w:div w:id="1451783891">
          <w:marLeft w:val="0"/>
          <w:marRight w:val="0"/>
          <w:marTop w:val="0"/>
          <w:marBottom w:val="0"/>
          <w:divBdr>
            <w:top w:val="none" w:sz="0" w:space="0" w:color="auto"/>
            <w:left w:val="none" w:sz="0" w:space="0" w:color="auto"/>
            <w:bottom w:val="none" w:sz="0" w:space="0" w:color="auto"/>
            <w:right w:val="none" w:sz="0" w:space="0" w:color="auto"/>
          </w:divBdr>
          <w:divsChild>
            <w:div w:id="432016921">
              <w:marLeft w:val="0"/>
              <w:marRight w:val="0"/>
              <w:marTop w:val="0"/>
              <w:marBottom w:val="0"/>
              <w:divBdr>
                <w:top w:val="none" w:sz="0" w:space="0" w:color="auto"/>
                <w:left w:val="none" w:sz="0" w:space="0" w:color="auto"/>
                <w:bottom w:val="none" w:sz="0" w:space="0" w:color="auto"/>
                <w:right w:val="none" w:sz="0" w:space="0" w:color="auto"/>
              </w:divBdr>
            </w:div>
          </w:divsChild>
        </w:div>
        <w:div w:id="1466040408">
          <w:marLeft w:val="0"/>
          <w:marRight w:val="0"/>
          <w:marTop w:val="0"/>
          <w:marBottom w:val="0"/>
          <w:divBdr>
            <w:top w:val="none" w:sz="0" w:space="0" w:color="auto"/>
            <w:left w:val="none" w:sz="0" w:space="0" w:color="auto"/>
            <w:bottom w:val="none" w:sz="0" w:space="0" w:color="auto"/>
            <w:right w:val="none" w:sz="0" w:space="0" w:color="auto"/>
          </w:divBdr>
          <w:divsChild>
            <w:div w:id="661467629">
              <w:marLeft w:val="0"/>
              <w:marRight w:val="0"/>
              <w:marTop w:val="0"/>
              <w:marBottom w:val="0"/>
              <w:divBdr>
                <w:top w:val="none" w:sz="0" w:space="0" w:color="auto"/>
                <w:left w:val="none" w:sz="0" w:space="0" w:color="auto"/>
                <w:bottom w:val="none" w:sz="0" w:space="0" w:color="auto"/>
                <w:right w:val="none" w:sz="0" w:space="0" w:color="auto"/>
              </w:divBdr>
            </w:div>
          </w:divsChild>
        </w:div>
        <w:div w:id="1469474489">
          <w:marLeft w:val="0"/>
          <w:marRight w:val="0"/>
          <w:marTop w:val="0"/>
          <w:marBottom w:val="0"/>
          <w:divBdr>
            <w:top w:val="none" w:sz="0" w:space="0" w:color="auto"/>
            <w:left w:val="none" w:sz="0" w:space="0" w:color="auto"/>
            <w:bottom w:val="none" w:sz="0" w:space="0" w:color="auto"/>
            <w:right w:val="none" w:sz="0" w:space="0" w:color="auto"/>
          </w:divBdr>
          <w:divsChild>
            <w:div w:id="1646858146">
              <w:marLeft w:val="0"/>
              <w:marRight w:val="0"/>
              <w:marTop w:val="0"/>
              <w:marBottom w:val="0"/>
              <w:divBdr>
                <w:top w:val="none" w:sz="0" w:space="0" w:color="auto"/>
                <w:left w:val="none" w:sz="0" w:space="0" w:color="auto"/>
                <w:bottom w:val="none" w:sz="0" w:space="0" w:color="auto"/>
                <w:right w:val="none" w:sz="0" w:space="0" w:color="auto"/>
              </w:divBdr>
            </w:div>
          </w:divsChild>
        </w:div>
        <w:div w:id="1474516448">
          <w:marLeft w:val="0"/>
          <w:marRight w:val="0"/>
          <w:marTop w:val="0"/>
          <w:marBottom w:val="0"/>
          <w:divBdr>
            <w:top w:val="none" w:sz="0" w:space="0" w:color="auto"/>
            <w:left w:val="none" w:sz="0" w:space="0" w:color="auto"/>
            <w:bottom w:val="none" w:sz="0" w:space="0" w:color="auto"/>
            <w:right w:val="none" w:sz="0" w:space="0" w:color="auto"/>
          </w:divBdr>
          <w:divsChild>
            <w:div w:id="2063484828">
              <w:marLeft w:val="0"/>
              <w:marRight w:val="0"/>
              <w:marTop w:val="0"/>
              <w:marBottom w:val="0"/>
              <w:divBdr>
                <w:top w:val="none" w:sz="0" w:space="0" w:color="auto"/>
                <w:left w:val="none" w:sz="0" w:space="0" w:color="auto"/>
                <w:bottom w:val="none" w:sz="0" w:space="0" w:color="auto"/>
                <w:right w:val="none" w:sz="0" w:space="0" w:color="auto"/>
              </w:divBdr>
            </w:div>
          </w:divsChild>
        </w:div>
        <w:div w:id="1476221594">
          <w:marLeft w:val="0"/>
          <w:marRight w:val="0"/>
          <w:marTop w:val="0"/>
          <w:marBottom w:val="0"/>
          <w:divBdr>
            <w:top w:val="none" w:sz="0" w:space="0" w:color="auto"/>
            <w:left w:val="none" w:sz="0" w:space="0" w:color="auto"/>
            <w:bottom w:val="none" w:sz="0" w:space="0" w:color="auto"/>
            <w:right w:val="none" w:sz="0" w:space="0" w:color="auto"/>
          </w:divBdr>
          <w:divsChild>
            <w:div w:id="982390000">
              <w:marLeft w:val="0"/>
              <w:marRight w:val="0"/>
              <w:marTop w:val="0"/>
              <w:marBottom w:val="0"/>
              <w:divBdr>
                <w:top w:val="none" w:sz="0" w:space="0" w:color="auto"/>
                <w:left w:val="none" w:sz="0" w:space="0" w:color="auto"/>
                <w:bottom w:val="none" w:sz="0" w:space="0" w:color="auto"/>
                <w:right w:val="none" w:sz="0" w:space="0" w:color="auto"/>
              </w:divBdr>
            </w:div>
          </w:divsChild>
        </w:div>
        <w:div w:id="1480533025">
          <w:marLeft w:val="0"/>
          <w:marRight w:val="0"/>
          <w:marTop w:val="0"/>
          <w:marBottom w:val="0"/>
          <w:divBdr>
            <w:top w:val="none" w:sz="0" w:space="0" w:color="auto"/>
            <w:left w:val="none" w:sz="0" w:space="0" w:color="auto"/>
            <w:bottom w:val="none" w:sz="0" w:space="0" w:color="auto"/>
            <w:right w:val="none" w:sz="0" w:space="0" w:color="auto"/>
          </w:divBdr>
          <w:divsChild>
            <w:div w:id="514609363">
              <w:marLeft w:val="0"/>
              <w:marRight w:val="0"/>
              <w:marTop w:val="0"/>
              <w:marBottom w:val="0"/>
              <w:divBdr>
                <w:top w:val="none" w:sz="0" w:space="0" w:color="auto"/>
                <w:left w:val="none" w:sz="0" w:space="0" w:color="auto"/>
                <w:bottom w:val="none" w:sz="0" w:space="0" w:color="auto"/>
                <w:right w:val="none" w:sz="0" w:space="0" w:color="auto"/>
              </w:divBdr>
            </w:div>
            <w:div w:id="1451432961">
              <w:marLeft w:val="0"/>
              <w:marRight w:val="0"/>
              <w:marTop w:val="0"/>
              <w:marBottom w:val="0"/>
              <w:divBdr>
                <w:top w:val="none" w:sz="0" w:space="0" w:color="auto"/>
                <w:left w:val="none" w:sz="0" w:space="0" w:color="auto"/>
                <w:bottom w:val="none" w:sz="0" w:space="0" w:color="auto"/>
                <w:right w:val="none" w:sz="0" w:space="0" w:color="auto"/>
              </w:divBdr>
            </w:div>
          </w:divsChild>
        </w:div>
        <w:div w:id="1489714137">
          <w:marLeft w:val="0"/>
          <w:marRight w:val="0"/>
          <w:marTop w:val="0"/>
          <w:marBottom w:val="0"/>
          <w:divBdr>
            <w:top w:val="none" w:sz="0" w:space="0" w:color="auto"/>
            <w:left w:val="none" w:sz="0" w:space="0" w:color="auto"/>
            <w:bottom w:val="none" w:sz="0" w:space="0" w:color="auto"/>
            <w:right w:val="none" w:sz="0" w:space="0" w:color="auto"/>
          </w:divBdr>
          <w:divsChild>
            <w:div w:id="257104313">
              <w:marLeft w:val="0"/>
              <w:marRight w:val="0"/>
              <w:marTop w:val="0"/>
              <w:marBottom w:val="0"/>
              <w:divBdr>
                <w:top w:val="none" w:sz="0" w:space="0" w:color="auto"/>
                <w:left w:val="none" w:sz="0" w:space="0" w:color="auto"/>
                <w:bottom w:val="none" w:sz="0" w:space="0" w:color="auto"/>
                <w:right w:val="none" w:sz="0" w:space="0" w:color="auto"/>
              </w:divBdr>
            </w:div>
          </w:divsChild>
        </w:div>
        <w:div w:id="1503160662">
          <w:marLeft w:val="0"/>
          <w:marRight w:val="0"/>
          <w:marTop w:val="0"/>
          <w:marBottom w:val="0"/>
          <w:divBdr>
            <w:top w:val="none" w:sz="0" w:space="0" w:color="auto"/>
            <w:left w:val="none" w:sz="0" w:space="0" w:color="auto"/>
            <w:bottom w:val="none" w:sz="0" w:space="0" w:color="auto"/>
            <w:right w:val="none" w:sz="0" w:space="0" w:color="auto"/>
          </w:divBdr>
          <w:divsChild>
            <w:div w:id="2069916595">
              <w:marLeft w:val="0"/>
              <w:marRight w:val="0"/>
              <w:marTop w:val="0"/>
              <w:marBottom w:val="0"/>
              <w:divBdr>
                <w:top w:val="none" w:sz="0" w:space="0" w:color="auto"/>
                <w:left w:val="none" w:sz="0" w:space="0" w:color="auto"/>
                <w:bottom w:val="none" w:sz="0" w:space="0" w:color="auto"/>
                <w:right w:val="none" w:sz="0" w:space="0" w:color="auto"/>
              </w:divBdr>
            </w:div>
          </w:divsChild>
        </w:div>
        <w:div w:id="1517385670">
          <w:marLeft w:val="0"/>
          <w:marRight w:val="0"/>
          <w:marTop w:val="0"/>
          <w:marBottom w:val="0"/>
          <w:divBdr>
            <w:top w:val="none" w:sz="0" w:space="0" w:color="auto"/>
            <w:left w:val="none" w:sz="0" w:space="0" w:color="auto"/>
            <w:bottom w:val="none" w:sz="0" w:space="0" w:color="auto"/>
            <w:right w:val="none" w:sz="0" w:space="0" w:color="auto"/>
          </w:divBdr>
          <w:divsChild>
            <w:div w:id="1545750996">
              <w:marLeft w:val="0"/>
              <w:marRight w:val="0"/>
              <w:marTop w:val="0"/>
              <w:marBottom w:val="0"/>
              <w:divBdr>
                <w:top w:val="none" w:sz="0" w:space="0" w:color="auto"/>
                <w:left w:val="none" w:sz="0" w:space="0" w:color="auto"/>
                <w:bottom w:val="none" w:sz="0" w:space="0" w:color="auto"/>
                <w:right w:val="none" w:sz="0" w:space="0" w:color="auto"/>
              </w:divBdr>
            </w:div>
          </w:divsChild>
        </w:div>
        <w:div w:id="1520319153">
          <w:marLeft w:val="0"/>
          <w:marRight w:val="0"/>
          <w:marTop w:val="0"/>
          <w:marBottom w:val="0"/>
          <w:divBdr>
            <w:top w:val="none" w:sz="0" w:space="0" w:color="auto"/>
            <w:left w:val="none" w:sz="0" w:space="0" w:color="auto"/>
            <w:bottom w:val="none" w:sz="0" w:space="0" w:color="auto"/>
            <w:right w:val="none" w:sz="0" w:space="0" w:color="auto"/>
          </w:divBdr>
          <w:divsChild>
            <w:div w:id="301353298">
              <w:marLeft w:val="0"/>
              <w:marRight w:val="0"/>
              <w:marTop w:val="0"/>
              <w:marBottom w:val="0"/>
              <w:divBdr>
                <w:top w:val="none" w:sz="0" w:space="0" w:color="auto"/>
                <w:left w:val="none" w:sz="0" w:space="0" w:color="auto"/>
                <w:bottom w:val="none" w:sz="0" w:space="0" w:color="auto"/>
                <w:right w:val="none" w:sz="0" w:space="0" w:color="auto"/>
              </w:divBdr>
            </w:div>
          </w:divsChild>
        </w:div>
        <w:div w:id="1520847683">
          <w:marLeft w:val="0"/>
          <w:marRight w:val="0"/>
          <w:marTop w:val="0"/>
          <w:marBottom w:val="0"/>
          <w:divBdr>
            <w:top w:val="none" w:sz="0" w:space="0" w:color="auto"/>
            <w:left w:val="none" w:sz="0" w:space="0" w:color="auto"/>
            <w:bottom w:val="none" w:sz="0" w:space="0" w:color="auto"/>
            <w:right w:val="none" w:sz="0" w:space="0" w:color="auto"/>
          </w:divBdr>
          <w:divsChild>
            <w:div w:id="1345980385">
              <w:marLeft w:val="0"/>
              <w:marRight w:val="0"/>
              <w:marTop w:val="0"/>
              <w:marBottom w:val="0"/>
              <w:divBdr>
                <w:top w:val="none" w:sz="0" w:space="0" w:color="auto"/>
                <w:left w:val="none" w:sz="0" w:space="0" w:color="auto"/>
                <w:bottom w:val="none" w:sz="0" w:space="0" w:color="auto"/>
                <w:right w:val="none" w:sz="0" w:space="0" w:color="auto"/>
              </w:divBdr>
            </w:div>
          </w:divsChild>
        </w:div>
        <w:div w:id="1536886055">
          <w:marLeft w:val="0"/>
          <w:marRight w:val="0"/>
          <w:marTop w:val="0"/>
          <w:marBottom w:val="0"/>
          <w:divBdr>
            <w:top w:val="none" w:sz="0" w:space="0" w:color="auto"/>
            <w:left w:val="none" w:sz="0" w:space="0" w:color="auto"/>
            <w:bottom w:val="none" w:sz="0" w:space="0" w:color="auto"/>
            <w:right w:val="none" w:sz="0" w:space="0" w:color="auto"/>
          </w:divBdr>
          <w:divsChild>
            <w:div w:id="1975451767">
              <w:marLeft w:val="0"/>
              <w:marRight w:val="0"/>
              <w:marTop w:val="0"/>
              <w:marBottom w:val="0"/>
              <w:divBdr>
                <w:top w:val="none" w:sz="0" w:space="0" w:color="auto"/>
                <w:left w:val="none" w:sz="0" w:space="0" w:color="auto"/>
                <w:bottom w:val="none" w:sz="0" w:space="0" w:color="auto"/>
                <w:right w:val="none" w:sz="0" w:space="0" w:color="auto"/>
              </w:divBdr>
            </w:div>
          </w:divsChild>
        </w:div>
        <w:div w:id="1550649635">
          <w:marLeft w:val="0"/>
          <w:marRight w:val="0"/>
          <w:marTop w:val="0"/>
          <w:marBottom w:val="0"/>
          <w:divBdr>
            <w:top w:val="none" w:sz="0" w:space="0" w:color="auto"/>
            <w:left w:val="none" w:sz="0" w:space="0" w:color="auto"/>
            <w:bottom w:val="none" w:sz="0" w:space="0" w:color="auto"/>
            <w:right w:val="none" w:sz="0" w:space="0" w:color="auto"/>
          </w:divBdr>
          <w:divsChild>
            <w:div w:id="1683163899">
              <w:marLeft w:val="0"/>
              <w:marRight w:val="0"/>
              <w:marTop w:val="0"/>
              <w:marBottom w:val="0"/>
              <w:divBdr>
                <w:top w:val="none" w:sz="0" w:space="0" w:color="auto"/>
                <w:left w:val="none" w:sz="0" w:space="0" w:color="auto"/>
                <w:bottom w:val="none" w:sz="0" w:space="0" w:color="auto"/>
                <w:right w:val="none" w:sz="0" w:space="0" w:color="auto"/>
              </w:divBdr>
            </w:div>
          </w:divsChild>
        </w:div>
        <w:div w:id="1555198978">
          <w:marLeft w:val="0"/>
          <w:marRight w:val="0"/>
          <w:marTop w:val="0"/>
          <w:marBottom w:val="0"/>
          <w:divBdr>
            <w:top w:val="none" w:sz="0" w:space="0" w:color="auto"/>
            <w:left w:val="none" w:sz="0" w:space="0" w:color="auto"/>
            <w:bottom w:val="none" w:sz="0" w:space="0" w:color="auto"/>
            <w:right w:val="none" w:sz="0" w:space="0" w:color="auto"/>
          </w:divBdr>
          <w:divsChild>
            <w:div w:id="2113695904">
              <w:marLeft w:val="0"/>
              <w:marRight w:val="0"/>
              <w:marTop w:val="0"/>
              <w:marBottom w:val="0"/>
              <w:divBdr>
                <w:top w:val="none" w:sz="0" w:space="0" w:color="auto"/>
                <w:left w:val="none" w:sz="0" w:space="0" w:color="auto"/>
                <w:bottom w:val="none" w:sz="0" w:space="0" w:color="auto"/>
                <w:right w:val="none" w:sz="0" w:space="0" w:color="auto"/>
              </w:divBdr>
            </w:div>
          </w:divsChild>
        </w:div>
        <w:div w:id="1557550508">
          <w:marLeft w:val="0"/>
          <w:marRight w:val="0"/>
          <w:marTop w:val="0"/>
          <w:marBottom w:val="0"/>
          <w:divBdr>
            <w:top w:val="none" w:sz="0" w:space="0" w:color="auto"/>
            <w:left w:val="none" w:sz="0" w:space="0" w:color="auto"/>
            <w:bottom w:val="none" w:sz="0" w:space="0" w:color="auto"/>
            <w:right w:val="none" w:sz="0" w:space="0" w:color="auto"/>
          </w:divBdr>
          <w:divsChild>
            <w:div w:id="837617200">
              <w:marLeft w:val="0"/>
              <w:marRight w:val="0"/>
              <w:marTop w:val="0"/>
              <w:marBottom w:val="0"/>
              <w:divBdr>
                <w:top w:val="none" w:sz="0" w:space="0" w:color="auto"/>
                <w:left w:val="none" w:sz="0" w:space="0" w:color="auto"/>
                <w:bottom w:val="none" w:sz="0" w:space="0" w:color="auto"/>
                <w:right w:val="none" w:sz="0" w:space="0" w:color="auto"/>
              </w:divBdr>
            </w:div>
          </w:divsChild>
        </w:div>
        <w:div w:id="1572082149">
          <w:marLeft w:val="0"/>
          <w:marRight w:val="0"/>
          <w:marTop w:val="0"/>
          <w:marBottom w:val="0"/>
          <w:divBdr>
            <w:top w:val="none" w:sz="0" w:space="0" w:color="auto"/>
            <w:left w:val="none" w:sz="0" w:space="0" w:color="auto"/>
            <w:bottom w:val="none" w:sz="0" w:space="0" w:color="auto"/>
            <w:right w:val="none" w:sz="0" w:space="0" w:color="auto"/>
          </w:divBdr>
          <w:divsChild>
            <w:div w:id="1980652499">
              <w:marLeft w:val="0"/>
              <w:marRight w:val="0"/>
              <w:marTop w:val="0"/>
              <w:marBottom w:val="0"/>
              <w:divBdr>
                <w:top w:val="none" w:sz="0" w:space="0" w:color="auto"/>
                <w:left w:val="none" w:sz="0" w:space="0" w:color="auto"/>
                <w:bottom w:val="none" w:sz="0" w:space="0" w:color="auto"/>
                <w:right w:val="none" w:sz="0" w:space="0" w:color="auto"/>
              </w:divBdr>
            </w:div>
          </w:divsChild>
        </w:div>
        <w:div w:id="1575049188">
          <w:marLeft w:val="0"/>
          <w:marRight w:val="0"/>
          <w:marTop w:val="0"/>
          <w:marBottom w:val="0"/>
          <w:divBdr>
            <w:top w:val="none" w:sz="0" w:space="0" w:color="auto"/>
            <w:left w:val="none" w:sz="0" w:space="0" w:color="auto"/>
            <w:bottom w:val="none" w:sz="0" w:space="0" w:color="auto"/>
            <w:right w:val="none" w:sz="0" w:space="0" w:color="auto"/>
          </w:divBdr>
          <w:divsChild>
            <w:div w:id="1778671231">
              <w:marLeft w:val="0"/>
              <w:marRight w:val="0"/>
              <w:marTop w:val="0"/>
              <w:marBottom w:val="0"/>
              <w:divBdr>
                <w:top w:val="none" w:sz="0" w:space="0" w:color="auto"/>
                <w:left w:val="none" w:sz="0" w:space="0" w:color="auto"/>
                <w:bottom w:val="none" w:sz="0" w:space="0" w:color="auto"/>
                <w:right w:val="none" w:sz="0" w:space="0" w:color="auto"/>
              </w:divBdr>
            </w:div>
          </w:divsChild>
        </w:div>
        <w:div w:id="1590887943">
          <w:marLeft w:val="0"/>
          <w:marRight w:val="0"/>
          <w:marTop w:val="0"/>
          <w:marBottom w:val="0"/>
          <w:divBdr>
            <w:top w:val="none" w:sz="0" w:space="0" w:color="auto"/>
            <w:left w:val="none" w:sz="0" w:space="0" w:color="auto"/>
            <w:bottom w:val="none" w:sz="0" w:space="0" w:color="auto"/>
            <w:right w:val="none" w:sz="0" w:space="0" w:color="auto"/>
          </w:divBdr>
          <w:divsChild>
            <w:div w:id="597182288">
              <w:marLeft w:val="0"/>
              <w:marRight w:val="0"/>
              <w:marTop w:val="0"/>
              <w:marBottom w:val="0"/>
              <w:divBdr>
                <w:top w:val="none" w:sz="0" w:space="0" w:color="auto"/>
                <w:left w:val="none" w:sz="0" w:space="0" w:color="auto"/>
                <w:bottom w:val="none" w:sz="0" w:space="0" w:color="auto"/>
                <w:right w:val="none" w:sz="0" w:space="0" w:color="auto"/>
              </w:divBdr>
            </w:div>
          </w:divsChild>
        </w:div>
        <w:div w:id="1594246755">
          <w:marLeft w:val="0"/>
          <w:marRight w:val="0"/>
          <w:marTop w:val="0"/>
          <w:marBottom w:val="0"/>
          <w:divBdr>
            <w:top w:val="none" w:sz="0" w:space="0" w:color="auto"/>
            <w:left w:val="none" w:sz="0" w:space="0" w:color="auto"/>
            <w:bottom w:val="none" w:sz="0" w:space="0" w:color="auto"/>
            <w:right w:val="none" w:sz="0" w:space="0" w:color="auto"/>
          </w:divBdr>
          <w:divsChild>
            <w:div w:id="1740011858">
              <w:marLeft w:val="0"/>
              <w:marRight w:val="0"/>
              <w:marTop w:val="0"/>
              <w:marBottom w:val="0"/>
              <w:divBdr>
                <w:top w:val="none" w:sz="0" w:space="0" w:color="auto"/>
                <w:left w:val="none" w:sz="0" w:space="0" w:color="auto"/>
                <w:bottom w:val="none" w:sz="0" w:space="0" w:color="auto"/>
                <w:right w:val="none" w:sz="0" w:space="0" w:color="auto"/>
              </w:divBdr>
            </w:div>
          </w:divsChild>
        </w:div>
        <w:div w:id="1596203502">
          <w:marLeft w:val="0"/>
          <w:marRight w:val="0"/>
          <w:marTop w:val="0"/>
          <w:marBottom w:val="0"/>
          <w:divBdr>
            <w:top w:val="none" w:sz="0" w:space="0" w:color="auto"/>
            <w:left w:val="none" w:sz="0" w:space="0" w:color="auto"/>
            <w:bottom w:val="none" w:sz="0" w:space="0" w:color="auto"/>
            <w:right w:val="none" w:sz="0" w:space="0" w:color="auto"/>
          </w:divBdr>
          <w:divsChild>
            <w:div w:id="968894823">
              <w:marLeft w:val="0"/>
              <w:marRight w:val="0"/>
              <w:marTop w:val="0"/>
              <w:marBottom w:val="0"/>
              <w:divBdr>
                <w:top w:val="none" w:sz="0" w:space="0" w:color="auto"/>
                <w:left w:val="none" w:sz="0" w:space="0" w:color="auto"/>
                <w:bottom w:val="none" w:sz="0" w:space="0" w:color="auto"/>
                <w:right w:val="none" w:sz="0" w:space="0" w:color="auto"/>
              </w:divBdr>
            </w:div>
          </w:divsChild>
        </w:div>
        <w:div w:id="1601253808">
          <w:marLeft w:val="0"/>
          <w:marRight w:val="0"/>
          <w:marTop w:val="0"/>
          <w:marBottom w:val="0"/>
          <w:divBdr>
            <w:top w:val="none" w:sz="0" w:space="0" w:color="auto"/>
            <w:left w:val="none" w:sz="0" w:space="0" w:color="auto"/>
            <w:bottom w:val="none" w:sz="0" w:space="0" w:color="auto"/>
            <w:right w:val="none" w:sz="0" w:space="0" w:color="auto"/>
          </w:divBdr>
          <w:divsChild>
            <w:div w:id="927231086">
              <w:marLeft w:val="0"/>
              <w:marRight w:val="0"/>
              <w:marTop w:val="0"/>
              <w:marBottom w:val="0"/>
              <w:divBdr>
                <w:top w:val="none" w:sz="0" w:space="0" w:color="auto"/>
                <w:left w:val="none" w:sz="0" w:space="0" w:color="auto"/>
                <w:bottom w:val="none" w:sz="0" w:space="0" w:color="auto"/>
                <w:right w:val="none" w:sz="0" w:space="0" w:color="auto"/>
              </w:divBdr>
            </w:div>
          </w:divsChild>
        </w:div>
        <w:div w:id="1605192668">
          <w:marLeft w:val="0"/>
          <w:marRight w:val="0"/>
          <w:marTop w:val="0"/>
          <w:marBottom w:val="0"/>
          <w:divBdr>
            <w:top w:val="none" w:sz="0" w:space="0" w:color="auto"/>
            <w:left w:val="none" w:sz="0" w:space="0" w:color="auto"/>
            <w:bottom w:val="none" w:sz="0" w:space="0" w:color="auto"/>
            <w:right w:val="none" w:sz="0" w:space="0" w:color="auto"/>
          </w:divBdr>
          <w:divsChild>
            <w:div w:id="1919439900">
              <w:marLeft w:val="0"/>
              <w:marRight w:val="0"/>
              <w:marTop w:val="0"/>
              <w:marBottom w:val="0"/>
              <w:divBdr>
                <w:top w:val="none" w:sz="0" w:space="0" w:color="auto"/>
                <w:left w:val="none" w:sz="0" w:space="0" w:color="auto"/>
                <w:bottom w:val="none" w:sz="0" w:space="0" w:color="auto"/>
                <w:right w:val="none" w:sz="0" w:space="0" w:color="auto"/>
              </w:divBdr>
            </w:div>
          </w:divsChild>
        </w:div>
        <w:div w:id="1606426156">
          <w:marLeft w:val="0"/>
          <w:marRight w:val="0"/>
          <w:marTop w:val="0"/>
          <w:marBottom w:val="0"/>
          <w:divBdr>
            <w:top w:val="none" w:sz="0" w:space="0" w:color="auto"/>
            <w:left w:val="none" w:sz="0" w:space="0" w:color="auto"/>
            <w:bottom w:val="none" w:sz="0" w:space="0" w:color="auto"/>
            <w:right w:val="none" w:sz="0" w:space="0" w:color="auto"/>
          </w:divBdr>
          <w:divsChild>
            <w:div w:id="333578936">
              <w:marLeft w:val="0"/>
              <w:marRight w:val="0"/>
              <w:marTop w:val="0"/>
              <w:marBottom w:val="0"/>
              <w:divBdr>
                <w:top w:val="none" w:sz="0" w:space="0" w:color="auto"/>
                <w:left w:val="none" w:sz="0" w:space="0" w:color="auto"/>
                <w:bottom w:val="none" w:sz="0" w:space="0" w:color="auto"/>
                <w:right w:val="none" w:sz="0" w:space="0" w:color="auto"/>
              </w:divBdr>
            </w:div>
          </w:divsChild>
        </w:div>
        <w:div w:id="1608656247">
          <w:marLeft w:val="0"/>
          <w:marRight w:val="0"/>
          <w:marTop w:val="0"/>
          <w:marBottom w:val="0"/>
          <w:divBdr>
            <w:top w:val="none" w:sz="0" w:space="0" w:color="auto"/>
            <w:left w:val="none" w:sz="0" w:space="0" w:color="auto"/>
            <w:bottom w:val="none" w:sz="0" w:space="0" w:color="auto"/>
            <w:right w:val="none" w:sz="0" w:space="0" w:color="auto"/>
          </w:divBdr>
          <w:divsChild>
            <w:div w:id="485821213">
              <w:marLeft w:val="0"/>
              <w:marRight w:val="0"/>
              <w:marTop w:val="0"/>
              <w:marBottom w:val="0"/>
              <w:divBdr>
                <w:top w:val="none" w:sz="0" w:space="0" w:color="auto"/>
                <w:left w:val="none" w:sz="0" w:space="0" w:color="auto"/>
                <w:bottom w:val="none" w:sz="0" w:space="0" w:color="auto"/>
                <w:right w:val="none" w:sz="0" w:space="0" w:color="auto"/>
              </w:divBdr>
            </w:div>
          </w:divsChild>
        </w:div>
        <w:div w:id="1614245234">
          <w:marLeft w:val="0"/>
          <w:marRight w:val="0"/>
          <w:marTop w:val="0"/>
          <w:marBottom w:val="0"/>
          <w:divBdr>
            <w:top w:val="none" w:sz="0" w:space="0" w:color="auto"/>
            <w:left w:val="none" w:sz="0" w:space="0" w:color="auto"/>
            <w:bottom w:val="none" w:sz="0" w:space="0" w:color="auto"/>
            <w:right w:val="none" w:sz="0" w:space="0" w:color="auto"/>
          </w:divBdr>
          <w:divsChild>
            <w:div w:id="308444718">
              <w:marLeft w:val="0"/>
              <w:marRight w:val="0"/>
              <w:marTop w:val="0"/>
              <w:marBottom w:val="0"/>
              <w:divBdr>
                <w:top w:val="none" w:sz="0" w:space="0" w:color="auto"/>
                <w:left w:val="none" w:sz="0" w:space="0" w:color="auto"/>
                <w:bottom w:val="none" w:sz="0" w:space="0" w:color="auto"/>
                <w:right w:val="none" w:sz="0" w:space="0" w:color="auto"/>
              </w:divBdr>
            </w:div>
          </w:divsChild>
        </w:div>
        <w:div w:id="1618679764">
          <w:marLeft w:val="0"/>
          <w:marRight w:val="0"/>
          <w:marTop w:val="0"/>
          <w:marBottom w:val="0"/>
          <w:divBdr>
            <w:top w:val="none" w:sz="0" w:space="0" w:color="auto"/>
            <w:left w:val="none" w:sz="0" w:space="0" w:color="auto"/>
            <w:bottom w:val="none" w:sz="0" w:space="0" w:color="auto"/>
            <w:right w:val="none" w:sz="0" w:space="0" w:color="auto"/>
          </w:divBdr>
          <w:divsChild>
            <w:div w:id="1737821404">
              <w:marLeft w:val="0"/>
              <w:marRight w:val="0"/>
              <w:marTop w:val="0"/>
              <w:marBottom w:val="0"/>
              <w:divBdr>
                <w:top w:val="none" w:sz="0" w:space="0" w:color="auto"/>
                <w:left w:val="none" w:sz="0" w:space="0" w:color="auto"/>
                <w:bottom w:val="none" w:sz="0" w:space="0" w:color="auto"/>
                <w:right w:val="none" w:sz="0" w:space="0" w:color="auto"/>
              </w:divBdr>
            </w:div>
          </w:divsChild>
        </w:div>
        <w:div w:id="1620335199">
          <w:marLeft w:val="0"/>
          <w:marRight w:val="0"/>
          <w:marTop w:val="0"/>
          <w:marBottom w:val="0"/>
          <w:divBdr>
            <w:top w:val="none" w:sz="0" w:space="0" w:color="auto"/>
            <w:left w:val="none" w:sz="0" w:space="0" w:color="auto"/>
            <w:bottom w:val="none" w:sz="0" w:space="0" w:color="auto"/>
            <w:right w:val="none" w:sz="0" w:space="0" w:color="auto"/>
          </w:divBdr>
          <w:divsChild>
            <w:div w:id="1529682735">
              <w:marLeft w:val="0"/>
              <w:marRight w:val="0"/>
              <w:marTop w:val="0"/>
              <w:marBottom w:val="0"/>
              <w:divBdr>
                <w:top w:val="none" w:sz="0" w:space="0" w:color="auto"/>
                <w:left w:val="none" w:sz="0" w:space="0" w:color="auto"/>
                <w:bottom w:val="none" w:sz="0" w:space="0" w:color="auto"/>
                <w:right w:val="none" w:sz="0" w:space="0" w:color="auto"/>
              </w:divBdr>
            </w:div>
          </w:divsChild>
        </w:div>
        <w:div w:id="1623994001">
          <w:marLeft w:val="0"/>
          <w:marRight w:val="0"/>
          <w:marTop w:val="0"/>
          <w:marBottom w:val="0"/>
          <w:divBdr>
            <w:top w:val="none" w:sz="0" w:space="0" w:color="auto"/>
            <w:left w:val="none" w:sz="0" w:space="0" w:color="auto"/>
            <w:bottom w:val="none" w:sz="0" w:space="0" w:color="auto"/>
            <w:right w:val="none" w:sz="0" w:space="0" w:color="auto"/>
          </w:divBdr>
          <w:divsChild>
            <w:div w:id="219631527">
              <w:marLeft w:val="0"/>
              <w:marRight w:val="0"/>
              <w:marTop w:val="0"/>
              <w:marBottom w:val="0"/>
              <w:divBdr>
                <w:top w:val="none" w:sz="0" w:space="0" w:color="auto"/>
                <w:left w:val="none" w:sz="0" w:space="0" w:color="auto"/>
                <w:bottom w:val="none" w:sz="0" w:space="0" w:color="auto"/>
                <w:right w:val="none" w:sz="0" w:space="0" w:color="auto"/>
              </w:divBdr>
            </w:div>
            <w:div w:id="750003538">
              <w:marLeft w:val="0"/>
              <w:marRight w:val="0"/>
              <w:marTop w:val="0"/>
              <w:marBottom w:val="0"/>
              <w:divBdr>
                <w:top w:val="none" w:sz="0" w:space="0" w:color="auto"/>
                <w:left w:val="none" w:sz="0" w:space="0" w:color="auto"/>
                <w:bottom w:val="none" w:sz="0" w:space="0" w:color="auto"/>
                <w:right w:val="none" w:sz="0" w:space="0" w:color="auto"/>
              </w:divBdr>
            </w:div>
            <w:div w:id="1109812695">
              <w:marLeft w:val="0"/>
              <w:marRight w:val="0"/>
              <w:marTop w:val="0"/>
              <w:marBottom w:val="0"/>
              <w:divBdr>
                <w:top w:val="none" w:sz="0" w:space="0" w:color="auto"/>
                <w:left w:val="none" w:sz="0" w:space="0" w:color="auto"/>
                <w:bottom w:val="none" w:sz="0" w:space="0" w:color="auto"/>
                <w:right w:val="none" w:sz="0" w:space="0" w:color="auto"/>
              </w:divBdr>
            </w:div>
            <w:div w:id="1531147625">
              <w:marLeft w:val="0"/>
              <w:marRight w:val="0"/>
              <w:marTop w:val="0"/>
              <w:marBottom w:val="0"/>
              <w:divBdr>
                <w:top w:val="none" w:sz="0" w:space="0" w:color="auto"/>
                <w:left w:val="none" w:sz="0" w:space="0" w:color="auto"/>
                <w:bottom w:val="none" w:sz="0" w:space="0" w:color="auto"/>
                <w:right w:val="none" w:sz="0" w:space="0" w:color="auto"/>
              </w:divBdr>
            </w:div>
            <w:div w:id="1588002820">
              <w:marLeft w:val="0"/>
              <w:marRight w:val="0"/>
              <w:marTop w:val="0"/>
              <w:marBottom w:val="0"/>
              <w:divBdr>
                <w:top w:val="none" w:sz="0" w:space="0" w:color="auto"/>
                <w:left w:val="none" w:sz="0" w:space="0" w:color="auto"/>
                <w:bottom w:val="none" w:sz="0" w:space="0" w:color="auto"/>
                <w:right w:val="none" w:sz="0" w:space="0" w:color="auto"/>
              </w:divBdr>
            </w:div>
            <w:div w:id="1592082399">
              <w:marLeft w:val="0"/>
              <w:marRight w:val="0"/>
              <w:marTop w:val="0"/>
              <w:marBottom w:val="0"/>
              <w:divBdr>
                <w:top w:val="none" w:sz="0" w:space="0" w:color="auto"/>
                <w:left w:val="none" w:sz="0" w:space="0" w:color="auto"/>
                <w:bottom w:val="none" w:sz="0" w:space="0" w:color="auto"/>
                <w:right w:val="none" w:sz="0" w:space="0" w:color="auto"/>
              </w:divBdr>
            </w:div>
            <w:div w:id="1643080534">
              <w:marLeft w:val="0"/>
              <w:marRight w:val="0"/>
              <w:marTop w:val="0"/>
              <w:marBottom w:val="0"/>
              <w:divBdr>
                <w:top w:val="none" w:sz="0" w:space="0" w:color="auto"/>
                <w:left w:val="none" w:sz="0" w:space="0" w:color="auto"/>
                <w:bottom w:val="none" w:sz="0" w:space="0" w:color="auto"/>
                <w:right w:val="none" w:sz="0" w:space="0" w:color="auto"/>
              </w:divBdr>
            </w:div>
            <w:div w:id="1752048364">
              <w:marLeft w:val="0"/>
              <w:marRight w:val="0"/>
              <w:marTop w:val="0"/>
              <w:marBottom w:val="0"/>
              <w:divBdr>
                <w:top w:val="none" w:sz="0" w:space="0" w:color="auto"/>
                <w:left w:val="none" w:sz="0" w:space="0" w:color="auto"/>
                <w:bottom w:val="none" w:sz="0" w:space="0" w:color="auto"/>
                <w:right w:val="none" w:sz="0" w:space="0" w:color="auto"/>
              </w:divBdr>
            </w:div>
            <w:div w:id="1804542634">
              <w:marLeft w:val="0"/>
              <w:marRight w:val="0"/>
              <w:marTop w:val="0"/>
              <w:marBottom w:val="0"/>
              <w:divBdr>
                <w:top w:val="none" w:sz="0" w:space="0" w:color="auto"/>
                <w:left w:val="none" w:sz="0" w:space="0" w:color="auto"/>
                <w:bottom w:val="none" w:sz="0" w:space="0" w:color="auto"/>
                <w:right w:val="none" w:sz="0" w:space="0" w:color="auto"/>
              </w:divBdr>
            </w:div>
          </w:divsChild>
        </w:div>
        <w:div w:id="1628467820">
          <w:marLeft w:val="0"/>
          <w:marRight w:val="0"/>
          <w:marTop w:val="0"/>
          <w:marBottom w:val="0"/>
          <w:divBdr>
            <w:top w:val="none" w:sz="0" w:space="0" w:color="auto"/>
            <w:left w:val="none" w:sz="0" w:space="0" w:color="auto"/>
            <w:bottom w:val="none" w:sz="0" w:space="0" w:color="auto"/>
            <w:right w:val="none" w:sz="0" w:space="0" w:color="auto"/>
          </w:divBdr>
          <w:divsChild>
            <w:div w:id="1175337964">
              <w:marLeft w:val="0"/>
              <w:marRight w:val="0"/>
              <w:marTop w:val="0"/>
              <w:marBottom w:val="0"/>
              <w:divBdr>
                <w:top w:val="none" w:sz="0" w:space="0" w:color="auto"/>
                <w:left w:val="none" w:sz="0" w:space="0" w:color="auto"/>
                <w:bottom w:val="none" w:sz="0" w:space="0" w:color="auto"/>
                <w:right w:val="none" w:sz="0" w:space="0" w:color="auto"/>
              </w:divBdr>
            </w:div>
          </w:divsChild>
        </w:div>
        <w:div w:id="1631209564">
          <w:marLeft w:val="0"/>
          <w:marRight w:val="0"/>
          <w:marTop w:val="0"/>
          <w:marBottom w:val="0"/>
          <w:divBdr>
            <w:top w:val="none" w:sz="0" w:space="0" w:color="auto"/>
            <w:left w:val="none" w:sz="0" w:space="0" w:color="auto"/>
            <w:bottom w:val="none" w:sz="0" w:space="0" w:color="auto"/>
            <w:right w:val="none" w:sz="0" w:space="0" w:color="auto"/>
          </w:divBdr>
          <w:divsChild>
            <w:div w:id="1435829000">
              <w:marLeft w:val="0"/>
              <w:marRight w:val="0"/>
              <w:marTop w:val="0"/>
              <w:marBottom w:val="0"/>
              <w:divBdr>
                <w:top w:val="none" w:sz="0" w:space="0" w:color="auto"/>
                <w:left w:val="none" w:sz="0" w:space="0" w:color="auto"/>
                <w:bottom w:val="none" w:sz="0" w:space="0" w:color="auto"/>
                <w:right w:val="none" w:sz="0" w:space="0" w:color="auto"/>
              </w:divBdr>
            </w:div>
          </w:divsChild>
        </w:div>
        <w:div w:id="1633823740">
          <w:marLeft w:val="0"/>
          <w:marRight w:val="0"/>
          <w:marTop w:val="0"/>
          <w:marBottom w:val="0"/>
          <w:divBdr>
            <w:top w:val="none" w:sz="0" w:space="0" w:color="auto"/>
            <w:left w:val="none" w:sz="0" w:space="0" w:color="auto"/>
            <w:bottom w:val="none" w:sz="0" w:space="0" w:color="auto"/>
            <w:right w:val="none" w:sz="0" w:space="0" w:color="auto"/>
          </w:divBdr>
          <w:divsChild>
            <w:div w:id="1812405479">
              <w:marLeft w:val="0"/>
              <w:marRight w:val="0"/>
              <w:marTop w:val="0"/>
              <w:marBottom w:val="0"/>
              <w:divBdr>
                <w:top w:val="none" w:sz="0" w:space="0" w:color="auto"/>
                <w:left w:val="none" w:sz="0" w:space="0" w:color="auto"/>
                <w:bottom w:val="none" w:sz="0" w:space="0" w:color="auto"/>
                <w:right w:val="none" w:sz="0" w:space="0" w:color="auto"/>
              </w:divBdr>
            </w:div>
          </w:divsChild>
        </w:div>
        <w:div w:id="1639412888">
          <w:marLeft w:val="0"/>
          <w:marRight w:val="0"/>
          <w:marTop w:val="0"/>
          <w:marBottom w:val="0"/>
          <w:divBdr>
            <w:top w:val="none" w:sz="0" w:space="0" w:color="auto"/>
            <w:left w:val="none" w:sz="0" w:space="0" w:color="auto"/>
            <w:bottom w:val="none" w:sz="0" w:space="0" w:color="auto"/>
            <w:right w:val="none" w:sz="0" w:space="0" w:color="auto"/>
          </w:divBdr>
          <w:divsChild>
            <w:div w:id="1335575939">
              <w:marLeft w:val="0"/>
              <w:marRight w:val="0"/>
              <w:marTop w:val="0"/>
              <w:marBottom w:val="0"/>
              <w:divBdr>
                <w:top w:val="none" w:sz="0" w:space="0" w:color="auto"/>
                <w:left w:val="none" w:sz="0" w:space="0" w:color="auto"/>
                <w:bottom w:val="none" w:sz="0" w:space="0" w:color="auto"/>
                <w:right w:val="none" w:sz="0" w:space="0" w:color="auto"/>
              </w:divBdr>
            </w:div>
          </w:divsChild>
        </w:div>
        <w:div w:id="1639605653">
          <w:marLeft w:val="0"/>
          <w:marRight w:val="0"/>
          <w:marTop w:val="0"/>
          <w:marBottom w:val="0"/>
          <w:divBdr>
            <w:top w:val="none" w:sz="0" w:space="0" w:color="auto"/>
            <w:left w:val="none" w:sz="0" w:space="0" w:color="auto"/>
            <w:bottom w:val="none" w:sz="0" w:space="0" w:color="auto"/>
            <w:right w:val="none" w:sz="0" w:space="0" w:color="auto"/>
          </w:divBdr>
          <w:divsChild>
            <w:div w:id="369576397">
              <w:marLeft w:val="0"/>
              <w:marRight w:val="0"/>
              <w:marTop w:val="0"/>
              <w:marBottom w:val="0"/>
              <w:divBdr>
                <w:top w:val="none" w:sz="0" w:space="0" w:color="auto"/>
                <w:left w:val="none" w:sz="0" w:space="0" w:color="auto"/>
                <w:bottom w:val="none" w:sz="0" w:space="0" w:color="auto"/>
                <w:right w:val="none" w:sz="0" w:space="0" w:color="auto"/>
              </w:divBdr>
            </w:div>
          </w:divsChild>
        </w:div>
        <w:div w:id="1654601423">
          <w:marLeft w:val="0"/>
          <w:marRight w:val="0"/>
          <w:marTop w:val="0"/>
          <w:marBottom w:val="0"/>
          <w:divBdr>
            <w:top w:val="none" w:sz="0" w:space="0" w:color="auto"/>
            <w:left w:val="none" w:sz="0" w:space="0" w:color="auto"/>
            <w:bottom w:val="none" w:sz="0" w:space="0" w:color="auto"/>
            <w:right w:val="none" w:sz="0" w:space="0" w:color="auto"/>
          </w:divBdr>
          <w:divsChild>
            <w:div w:id="1205370064">
              <w:marLeft w:val="0"/>
              <w:marRight w:val="0"/>
              <w:marTop w:val="0"/>
              <w:marBottom w:val="0"/>
              <w:divBdr>
                <w:top w:val="none" w:sz="0" w:space="0" w:color="auto"/>
                <w:left w:val="none" w:sz="0" w:space="0" w:color="auto"/>
                <w:bottom w:val="none" w:sz="0" w:space="0" w:color="auto"/>
                <w:right w:val="none" w:sz="0" w:space="0" w:color="auto"/>
              </w:divBdr>
            </w:div>
          </w:divsChild>
        </w:div>
        <w:div w:id="1657798918">
          <w:marLeft w:val="0"/>
          <w:marRight w:val="0"/>
          <w:marTop w:val="0"/>
          <w:marBottom w:val="0"/>
          <w:divBdr>
            <w:top w:val="none" w:sz="0" w:space="0" w:color="auto"/>
            <w:left w:val="none" w:sz="0" w:space="0" w:color="auto"/>
            <w:bottom w:val="none" w:sz="0" w:space="0" w:color="auto"/>
            <w:right w:val="none" w:sz="0" w:space="0" w:color="auto"/>
          </w:divBdr>
          <w:divsChild>
            <w:div w:id="975064682">
              <w:marLeft w:val="0"/>
              <w:marRight w:val="0"/>
              <w:marTop w:val="0"/>
              <w:marBottom w:val="0"/>
              <w:divBdr>
                <w:top w:val="none" w:sz="0" w:space="0" w:color="auto"/>
                <w:left w:val="none" w:sz="0" w:space="0" w:color="auto"/>
                <w:bottom w:val="none" w:sz="0" w:space="0" w:color="auto"/>
                <w:right w:val="none" w:sz="0" w:space="0" w:color="auto"/>
              </w:divBdr>
            </w:div>
          </w:divsChild>
        </w:div>
        <w:div w:id="1683243982">
          <w:marLeft w:val="0"/>
          <w:marRight w:val="0"/>
          <w:marTop w:val="0"/>
          <w:marBottom w:val="0"/>
          <w:divBdr>
            <w:top w:val="none" w:sz="0" w:space="0" w:color="auto"/>
            <w:left w:val="none" w:sz="0" w:space="0" w:color="auto"/>
            <w:bottom w:val="none" w:sz="0" w:space="0" w:color="auto"/>
            <w:right w:val="none" w:sz="0" w:space="0" w:color="auto"/>
          </w:divBdr>
          <w:divsChild>
            <w:div w:id="932401497">
              <w:marLeft w:val="0"/>
              <w:marRight w:val="0"/>
              <w:marTop w:val="0"/>
              <w:marBottom w:val="0"/>
              <w:divBdr>
                <w:top w:val="none" w:sz="0" w:space="0" w:color="auto"/>
                <w:left w:val="none" w:sz="0" w:space="0" w:color="auto"/>
                <w:bottom w:val="none" w:sz="0" w:space="0" w:color="auto"/>
                <w:right w:val="none" w:sz="0" w:space="0" w:color="auto"/>
              </w:divBdr>
            </w:div>
          </w:divsChild>
        </w:div>
        <w:div w:id="1690794610">
          <w:marLeft w:val="0"/>
          <w:marRight w:val="0"/>
          <w:marTop w:val="0"/>
          <w:marBottom w:val="0"/>
          <w:divBdr>
            <w:top w:val="none" w:sz="0" w:space="0" w:color="auto"/>
            <w:left w:val="none" w:sz="0" w:space="0" w:color="auto"/>
            <w:bottom w:val="none" w:sz="0" w:space="0" w:color="auto"/>
            <w:right w:val="none" w:sz="0" w:space="0" w:color="auto"/>
          </w:divBdr>
          <w:divsChild>
            <w:div w:id="291835427">
              <w:marLeft w:val="0"/>
              <w:marRight w:val="0"/>
              <w:marTop w:val="0"/>
              <w:marBottom w:val="0"/>
              <w:divBdr>
                <w:top w:val="none" w:sz="0" w:space="0" w:color="auto"/>
                <w:left w:val="none" w:sz="0" w:space="0" w:color="auto"/>
                <w:bottom w:val="none" w:sz="0" w:space="0" w:color="auto"/>
                <w:right w:val="none" w:sz="0" w:space="0" w:color="auto"/>
              </w:divBdr>
            </w:div>
          </w:divsChild>
        </w:div>
        <w:div w:id="1692797406">
          <w:marLeft w:val="0"/>
          <w:marRight w:val="0"/>
          <w:marTop w:val="0"/>
          <w:marBottom w:val="0"/>
          <w:divBdr>
            <w:top w:val="none" w:sz="0" w:space="0" w:color="auto"/>
            <w:left w:val="none" w:sz="0" w:space="0" w:color="auto"/>
            <w:bottom w:val="none" w:sz="0" w:space="0" w:color="auto"/>
            <w:right w:val="none" w:sz="0" w:space="0" w:color="auto"/>
          </w:divBdr>
          <w:divsChild>
            <w:div w:id="1498962923">
              <w:marLeft w:val="0"/>
              <w:marRight w:val="0"/>
              <w:marTop w:val="0"/>
              <w:marBottom w:val="0"/>
              <w:divBdr>
                <w:top w:val="none" w:sz="0" w:space="0" w:color="auto"/>
                <w:left w:val="none" w:sz="0" w:space="0" w:color="auto"/>
                <w:bottom w:val="none" w:sz="0" w:space="0" w:color="auto"/>
                <w:right w:val="none" w:sz="0" w:space="0" w:color="auto"/>
              </w:divBdr>
            </w:div>
          </w:divsChild>
        </w:div>
        <w:div w:id="1693530151">
          <w:marLeft w:val="0"/>
          <w:marRight w:val="0"/>
          <w:marTop w:val="0"/>
          <w:marBottom w:val="0"/>
          <w:divBdr>
            <w:top w:val="none" w:sz="0" w:space="0" w:color="auto"/>
            <w:left w:val="none" w:sz="0" w:space="0" w:color="auto"/>
            <w:bottom w:val="none" w:sz="0" w:space="0" w:color="auto"/>
            <w:right w:val="none" w:sz="0" w:space="0" w:color="auto"/>
          </w:divBdr>
          <w:divsChild>
            <w:div w:id="1004360812">
              <w:marLeft w:val="0"/>
              <w:marRight w:val="0"/>
              <w:marTop w:val="0"/>
              <w:marBottom w:val="0"/>
              <w:divBdr>
                <w:top w:val="none" w:sz="0" w:space="0" w:color="auto"/>
                <w:left w:val="none" w:sz="0" w:space="0" w:color="auto"/>
                <w:bottom w:val="none" w:sz="0" w:space="0" w:color="auto"/>
                <w:right w:val="none" w:sz="0" w:space="0" w:color="auto"/>
              </w:divBdr>
            </w:div>
          </w:divsChild>
        </w:div>
        <w:div w:id="1694190286">
          <w:marLeft w:val="0"/>
          <w:marRight w:val="0"/>
          <w:marTop w:val="0"/>
          <w:marBottom w:val="0"/>
          <w:divBdr>
            <w:top w:val="none" w:sz="0" w:space="0" w:color="auto"/>
            <w:left w:val="none" w:sz="0" w:space="0" w:color="auto"/>
            <w:bottom w:val="none" w:sz="0" w:space="0" w:color="auto"/>
            <w:right w:val="none" w:sz="0" w:space="0" w:color="auto"/>
          </w:divBdr>
          <w:divsChild>
            <w:div w:id="1241326337">
              <w:marLeft w:val="0"/>
              <w:marRight w:val="0"/>
              <w:marTop w:val="0"/>
              <w:marBottom w:val="0"/>
              <w:divBdr>
                <w:top w:val="none" w:sz="0" w:space="0" w:color="auto"/>
                <w:left w:val="none" w:sz="0" w:space="0" w:color="auto"/>
                <w:bottom w:val="none" w:sz="0" w:space="0" w:color="auto"/>
                <w:right w:val="none" w:sz="0" w:space="0" w:color="auto"/>
              </w:divBdr>
            </w:div>
          </w:divsChild>
        </w:div>
        <w:div w:id="1712219190">
          <w:marLeft w:val="0"/>
          <w:marRight w:val="0"/>
          <w:marTop w:val="0"/>
          <w:marBottom w:val="0"/>
          <w:divBdr>
            <w:top w:val="none" w:sz="0" w:space="0" w:color="auto"/>
            <w:left w:val="none" w:sz="0" w:space="0" w:color="auto"/>
            <w:bottom w:val="none" w:sz="0" w:space="0" w:color="auto"/>
            <w:right w:val="none" w:sz="0" w:space="0" w:color="auto"/>
          </w:divBdr>
          <w:divsChild>
            <w:div w:id="172185452">
              <w:marLeft w:val="0"/>
              <w:marRight w:val="0"/>
              <w:marTop w:val="0"/>
              <w:marBottom w:val="0"/>
              <w:divBdr>
                <w:top w:val="none" w:sz="0" w:space="0" w:color="auto"/>
                <w:left w:val="none" w:sz="0" w:space="0" w:color="auto"/>
                <w:bottom w:val="none" w:sz="0" w:space="0" w:color="auto"/>
                <w:right w:val="none" w:sz="0" w:space="0" w:color="auto"/>
              </w:divBdr>
            </w:div>
          </w:divsChild>
        </w:div>
        <w:div w:id="1714689282">
          <w:marLeft w:val="0"/>
          <w:marRight w:val="0"/>
          <w:marTop w:val="0"/>
          <w:marBottom w:val="0"/>
          <w:divBdr>
            <w:top w:val="none" w:sz="0" w:space="0" w:color="auto"/>
            <w:left w:val="none" w:sz="0" w:space="0" w:color="auto"/>
            <w:bottom w:val="none" w:sz="0" w:space="0" w:color="auto"/>
            <w:right w:val="none" w:sz="0" w:space="0" w:color="auto"/>
          </w:divBdr>
          <w:divsChild>
            <w:div w:id="809246281">
              <w:marLeft w:val="0"/>
              <w:marRight w:val="0"/>
              <w:marTop w:val="0"/>
              <w:marBottom w:val="0"/>
              <w:divBdr>
                <w:top w:val="none" w:sz="0" w:space="0" w:color="auto"/>
                <w:left w:val="none" w:sz="0" w:space="0" w:color="auto"/>
                <w:bottom w:val="none" w:sz="0" w:space="0" w:color="auto"/>
                <w:right w:val="none" w:sz="0" w:space="0" w:color="auto"/>
              </w:divBdr>
            </w:div>
          </w:divsChild>
        </w:div>
        <w:div w:id="1718889656">
          <w:marLeft w:val="0"/>
          <w:marRight w:val="0"/>
          <w:marTop w:val="0"/>
          <w:marBottom w:val="0"/>
          <w:divBdr>
            <w:top w:val="none" w:sz="0" w:space="0" w:color="auto"/>
            <w:left w:val="none" w:sz="0" w:space="0" w:color="auto"/>
            <w:bottom w:val="none" w:sz="0" w:space="0" w:color="auto"/>
            <w:right w:val="none" w:sz="0" w:space="0" w:color="auto"/>
          </w:divBdr>
          <w:divsChild>
            <w:div w:id="529880580">
              <w:marLeft w:val="0"/>
              <w:marRight w:val="0"/>
              <w:marTop w:val="0"/>
              <w:marBottom w:val="0"/>
              <w:divBdr>
                <w:top w:val="none" w:sz="0" w:space="0" w:color="auto"/>
                <w:left w:val="none" w:sz="0" w:space="0" w:color="auto"/>
                <w:bottom w:val="none" w:sz="0" w:space="0" w:color="auto"/>
                <w:right w:val="none" w:sz="0" w:space="0" w:color="auto"/>
              </w:divBdr>
            </w:div>
          </w:divsChild>
        </w:div>
        <w:div w:id="1729036786">
          <w:marLeft w:val="0"/>
          <w:marRight w:val="0"/>
          <w:marTop w:val="0"/>
          <w:marBottom w:val="0"/>
          <w:divBdr>
            <w:top w:val="none" w:sz="0" w:space="0" w:color="auto"/>
            <w:left w:val="none" w:sz="0" w:space="0" w:color="auto"/>
            <w:bottom w:val="none" w:sz="0" w:space="0" w:color="auto"/>
            <w:right w:val="none" w:sz="0" w:space="0" w:color="auto"/>
          </w:divBdr>
          <w:divsChild>
            <w:div w:id="1519269090">
              <w:marLeft w:val="0"/>
              <w:marRight w:val="0"/>
              <w:marTop w:val="0"/>
              <w:marBottom w:val="0"/>
              <w:divBdr>
                <w:top w:val="none" w:sz="0" w:space="0" w:color="auto"/>
                <w:left w:val="none" w:sz="0" w:space="0" w:color="auto"/>
                <w:bottom w:val="none" w:sz="0" w:space="0" w:color="auto"/>
                <w:right w:val="none" w:sz="0" w:space="0" w:color="auto"/>
              </w:divBdr>
            </w:div>
          </w:divsChild>
        </w:div>
        <w:div w:id="1741054195">
          <w:marLeft w:val="0"/>
          <w:marRight w:val="0"/>
          <w:marTop w:val="0"/>
          <w:marBottom w:val="0"/>
          <w:divBdr>
            <w:top w:val="none" w:sz="0" w:space="0" w:color="auto"/>
            <w:left w:val="none" w:sz="0" w:space="0" w:color="auto"/>
            <w:bottom w:val="none" w:sz="0" w:space="0" w:color="auto"/>
            <w:right w:val="none" w:sz="0" w:space="0" w:color="auto"/>
          </w:divBdr>
          <w:divsChild>
            <w:div w:id="592009555">
              <w:marLeft w:val="0"/>
              <w:marRight w:val="0"/>
              <w:marTop w:val="0"/>
              <w:marBottom w:val="0"/>
              <w:divBdr>
                <w:top w:val="none" w:sz="0" w:space="0" w:color="auto"/>
                <w:left w:val="none" w:sz="0" w:space="0" w:color="auto"/>
                <w:bottom w:val="none" w:sz="0" w:space="0" w:color="auto"/>
                <w:right w:val="none" w:sz="0" w:space="0" w:color="auto"/>
              </w:divBdr>
            </w:div>
          </w:divsChild>
        </w:div>
        <w:div w:id="1749886038">
          <w:marLeft w:val="0"/>
          <w:marRight w:val="0"/>
          <w:marTop w:val="0"/>
          <w:marBottom w:val="0"/>
          <w:divBdr>
            <w:top w:val="none" w:sz="0" w:space="0" w:color="auto"/>
            <w:left w:val="none" w:sz="0" w:space="0" w:color="auto"/>
            <w:bottom w:val="none" w:sz="0" w:space="0" w:color="auto"/>
            <w:right w:val="none" w:sz="0" w:space="0" w:color="auto"/>
          </w:divBdr>
          <w:divsChild>
            <w:div w:id="976297879">
              <w:marLeft w:val="0"/>
              <w:marRight w:val="0"/>
              <w:marTop w:val="0"/>
              <w:marBottom w:val="0"/>
              <w:divBdr>
                <w:top w:val="none" w:sz="0" w:space="0" w:color="auto"/>
                <w:left w:val="none" w:sz="0" w:space="0" w:color="auto"/>
                <w:bottom w:val="none" w:sz="0" w:space="0" w:color="auto"/>
                <w:right w:val="none" w:sz="0" w:space="0" w:color="auto"/>
              </w:divBdr>
            </w:div>
          </w:divsChild>
        </w:div>
        <w:div w:id="1759252035">
          <w:marLeft w:val="0"/>
          <w:marRight w:val="0"/>
          <w:marTop w:val="0"/>
          <w:marBottom w:val="0"/>
          <w:divBdr>
            <w:top w:val="none" w:sz="0" w:space="0" w:color="auto"/>
            <w:left w:val="none" w:sz="0" w:space="0" w:color="auto"/>
            <w:bottom w:val="none" w:sz="0" w:space="0" w:color="auto"/>
            <w:right w:val="none" w:sz="0" w:space="0" w:color="auto"/>
          </w:divBdr>
          <w:divsChild>
            <w:div w:id="269246175">
              <w:marLeft w:val="0"/>
              <w:marRight w:val="0"/>
              <w:marTop w:val="0"/>
              <w:marBottom w:val="0"/>
              <w:divBdr>
                <w:top w:val="none" w:sz="0" w:space="0" w:color="auto"/>
                <w:left w:val="none" w:sz="0" w:space="0" w:color="auto"/>
                <w:bottom w:val="none" w:sz="0" w:space="0" w:color="auto"/>
                <w:right w:val="none" w:sz="0" w:space="0" w:color="auto"/>
              </w:divBdr>
            </w:div>
            <w:div w:id="692078249">
              <w:marLeft w:val="0"/>
              <w:marRight w:val="0"/>
              <w:marTop w:val="0"/>
              <w:marBottom w:val="0"/>
              <w:divBdr>
                <w:top w:val="none" w:sz="0" w:space="0" w:color="auto"/>
                <w:left w:val="none" w:sz="0" w:space="0" w:color="auto"/>
                <w:bottom w:val="none" w:sz="0" w:space="0" w:color="auto"/>
                <w:right w:val="none" w:sz="0" w:space="0" w:color="auto"/>
              </w:divBdr>
            </w:div>
          </w:divsChild>
        </w:div>
        <w:div w:id="1763918934">
          <w:marLeft w:val="0"/>
          <w:marRight w:val="0"/>
          <w:marTop w:val="0"/>
          <w:marBottom w:val="0"/>
          <w:divBdr>
            <w:top w:val="none" w:sz="0" w:space="0" w:color="auto"/>
            <w:left w:val="none" w:sz="0" w:space="0" w:color="auto"/>
            <w:bottom w:val="none" w:sz="0" w:space="0" w:color="auto"/>
            <w:right w:val="none" w:sz="0" w:space="0" w:color="auto"/>
          </w:divBdr>
          <w:divsChild>
            <w:div w:id="379672054">
              <w:marLeft w:val="0"/>
              <w:marRight w:val="0"/>
              <w:marTop w:val="0"/>
              <w:marBottom w:val="0"/>
              <w:divBdr>
                <w:top w:val="none" w:sz="0" w:space="0" w:color="auto"/>
                <w:left w:val="none" w:sz="0" w:space="0" w:color="auto"/>
                <w:bottom w:val="none" w:sz="0" w:space="0" w:color="auto"/>
                <w:right w:val="none" w:sz="0" w:space="0" w:color="auto"/>
              </w:divBdr>
            </w:div>
          </w:divsChild>
        </w:div>
        <w:div w:id="1771968292">
          <w:marLeft w:val="0"/>
          <w:marRight w:val="0"/>
          <w:marTop w:val="0"/>
          <w:marBottom w:val="0"/>
          <w:divBdr>
            <w:top w:val="none" w:sz="0" w:space="0" w:color="auto"/>
            <w:left w:val="none" w:sz="0" w:space="0" w:color="auto"/>
            <w:bottom w:val="none" w:sz="0" w:space="0" w:color="auto"/>
            <w:right w:val="none" w:sz="0" w:space="0" w:color="auto"/>
          </w:divBdr>
          <w:divsChild>
            <w:div w:id="1416896327">
              <w:marLeft w:val="0"/>
              <w:marRight w:val="0"/>
              <w:marTop w:val="0"/>
              <w:marBottom w:val="0"/>
              <w:divBdr>
                <w:top w:val="none" w:sz="0" w:space="0" w:color="auto"/>
                <w:left w:val="none" w:sz="0" w:space="0" w:color="auto"/>
                <w:bottom w:val="none" w:sz="0" w:space="0" w:color="auto"/>
                <w:right w:val="none" w:sz="0" w:space="0" w:color="auto"/>
              </w:divBdr>
            </w:div>
          </w:divsChild>
        </w:div>
        <w:div w:id="1772579073">
          <w:marLeft w:val="0"/>
          <w:marRight w:val="0"/>
          <w:marTop w:val="0"/>
          <w:marBottom w:val="0"/>
          <w:divBdr>
            <w:top w:val="none" w:sz="0" w:space="0" w:color="auto"/>
            <w:left w:val="none" w:sz="0" w:space="0" w:color="auto"/>
            <w:bottom w:val="none" w:sz="0" w:space="0" w:color="auto"/>
            <w:right w:val="none" w:sz="0" w:space="0" w:color="auto"/>
          </w:divBdr>
          <w:divsChild>
            <w:div w:id="1355158659">
              <w:marLeft w:val="0"/>
              <w:marRight w:val="0"/>
              <w:marTop w:val="0"/>
              <w:marBottom w:val="0"/>
              <w:divBdr>
                <w:top w:val="none" w:sz="0" w:space="0" w:color="auto"/>
                <w:left w:val="none" w:sz="0" w:space="0" w:color="auto"/>
                <w:bottom w:val="none" w:sz="0" w:space="0" w:color="auto"/>
                <w:right w:val="none" w:sz="0" w:space="0" w:color="auto"/>
              </w:divBdr>
            </w:div>
          </w:divsChild>
        </w:div>
        <w:div w:id="1774207214">
          <w:marLeft w:val="0"/>
          <w:marRight w:val="0"/>
          <w:marTop w:val="0"/>
          <w:marBottom w:val="0"/>
          <w:divBdr>
            <w:top w:val="none" w:sz="0" w:space="0" w:color="auto"/>
            <w:left w:val="none" w:sz="0" w:space="0" w:color="auto"/>
            <w:bottom w:val="none" w:sz="0" w:space="0" w:color="auto"/>
            <w:right w:val="none" w:sz="0" w:space="0" w:color="auto"/>
          </w:divBdr>
          <w:divsChild>
            <w:div w:id="404886839">
              <w:marLeft w:val="0"/>
              <w:marRight w:val="0"/>
              <w:marTop w:val="0"/>
              <w:marBottom w:val="0"/>
              <w:divBdr>
                <w:top w:val="none" w:sz="0" w:space="0" w:color="auto"/>
                <w:left w:val="none" w:sz="0" w:space="0" w:color="auto"/>
                <w:bottom w:val="none" w:sz="0" w:space="0" w:color="auto"/>
                <w:right w:val="none" w:sz="0" w:space="0" w:color="auto"/>
              </w:divBdr>
            </w:div>
          </w:divsChild>
        </w:div>
        <w:div w:id="1774669191">
          <w:marLeft w:val="0"/>
          <w:marRight w:val="0"/>
          <w:marTop w:val="0"/>
          <w:marBottom w:val="0"/>
          <w:divBdr>
            <w:top w:val="none" w:sz="0" w:space="0" w:color="auto"/>
            <w:left w:val="none" w:sz="0" w:space="0" w:color="auto"/>
            <w:bottom w:val="none" w:sz="0" w:space="0" w:color="auto"/>
            <w:right w:val="none" w:sz="0" w:space="0" w:color="auto"/>
          </w:divBdr>
          <w:divsChild>
            <w:div w:id="1088621958">
              <w:marLeft w:val="0"/>
              <w:marRight w:val="0"/>
              <w:marTop w:val="0"/>
              <w:marBottom w:val="0"/>
              <w:divBdr>
                <w:top w:val="none" w:sz="0" w:space="0" w:color="auto"/>
                <w:left w:val="none" w:sz="0" w:space="0" w:color="auto"/>
                <w:bottom w:val="none" w:sz="0" w:space="0" w:color="auto"/>
                <w:right w:val="none" w:sz="0" w:space="0" w:color="auto"/>
              </w:divBdr>
            </w:div>
          </w:divsChild>
        </w:div>
        <w:div w:id="1778522326">
          <w:marLeft w:val="0"/>
          <w:marRight w:val="0"/>
          <w:marTop w:val="0"/>
          <w:marBottom w:val="0"/>
          <w:divBdr>
            <w:top w:val="none" w:sz="0" w:space="0" w:color="auto"/>
            <w:left w:val="none" w:sz="0" w:space="0" w:color="auto"/>
            <w:bottom w:val="none" w:sz="0" w:space="0" w:color="auto"/>
            <w:right w:val="none" w:sz="0" w:space="0" w:color="auto"/>
          </w:divBdr>
          <w:divsChild>
            <w:div w:id="1876187682">
              <w:marLeft w:val="0"/>
              <w:marRight w:val="0"/>
              <w:marTop w:val="0"/>
              <w:marBottom w:val="0"/>
              <w:divBdr>
                <w:top w:val="none" w:sz="0" w:space="0" w:color="auto"/>
                <w:left w:val="none" w:sz="0" w:space="0" w:color="auto"/>
                <w:bottom w:val="none" w:sz="0" w:space="0" w:color="auto"/>
                <w:right w:val="none" w:sz="0" w:space="0" w:color="auto"/>
              </w:divBdr>
            </w:div>
          </w:divsChild>
        </w:div>
        <w:div w:id="1780182280">
          <w:marLeft w:val="0"/>
          <w:marRight w:val="0"/>
          <w:marTop w:val="0"/>
          <w:marBottom w:val="0"/>
          <w:divBdr>
            <w:top w:val="none" w:sz="0" w:space="0" w:color="auto"/>
            <w:left w:val="none" w:sz="0" w:space="0" w:color="auto"/>
            <w:bottom w:val="none" w:sz="0" w:space="0" w:color="auto"/>
            <w:right w:val="none" w:sz="0" w:space="0" w:color="auto"/>
          </w:divBdr>
          <w:divsChild>
            <w:div w:id="830948243">
              <w:marLeft w:val="0"/>
              <w:marRight w:val="0"/>
              <w:marTop w:val="0"/>
              <w:marBottom w:val="0"/>
              <w:divBdr>
                <w:top w:val="none" w:sz="0" w:space="0" w:color="auto"/>
                <w:left w:val="none" w:sz="0" w:space="0" w:color="auto"/>
                <w:bottom w:val="none" w:sz="0" w:space="0" w:color="auto"/>
                <w:right w:val="none" w:sz="0" w:space="0" w:color="auto"/>
              </w:divBdr>
            </w:div>
          </w:divsChild>
        </w:div>
        <w:div w:id="1783107464">
          <w:marLeft w:val="0"/>
          <w:marRight w:val="0"/>
          <w:marTop w:val="0"/>
          <w:marBottom w:val="0"/>
          <w:divBdr>
            <w:top w:val="none" w:sz="0" w:space="0" w:color="auto"/>
            <w:left w:val="none" w:sz="0" w:space="0" w:color="auto"/>
            <w:bottom w:val="none" w:sz="0" w:space="0" w:color="auto"/>
            <w:right w:val="none" w:sz="0" w:space="0" w:color="auto"/>
          </w:divBdr>
          <w:divsChild>
            <w:div w:id="894316170">
              <w:marLeft w:val="0"/>
              <w:marRight w:val="0"/>
              <w:marTop w:val="0"/>
              <w:marBottom w:val="0"/>
              <w:divBdr>
                <w:top w:val="none" w:sz="0" w:space="0" w:color="auto"/>
                <w:left w:val="none" w:sz="0" w:space="0" w:color="auto"/>
                <w:bottom w:val="none" w:sz="0" w:space="0" w:color="auto"/>
                <w:right w:val="none" w:sz="0" w:space="0" w:color="auto"/>
              </w:divBdr>
            </w:div>
          </w:divsChild>
        </w:div>
        <w:div w:id="1789930678">
          <w:marLeft w:val="0"/>
          <w:marRight w:val="0"/>
          <w:marTop w:val="0"/>
          <w:marBottom w:val="0"/>
          <w:divBdr>
            <w:top w:val="none" w:sz="0" w:space="0" w:color="auto"/>
            <w:left w:val="none" w:sz="0" w:space="0" w:color="auto"/>
            <w:bottom w:val="none" w:sz="0" w:space="0" w:color="auto"/>
            <w:right w:val="none" w:sz="0" w:space="0" w:color="auto"/>
          </w:divBdr>
          <w:divsChild>
            <w:div w:id="1585262371">
              <w:marLeft w:val="0"/>
              <w:marRight w:val="0"/>
              <w:marTop w:val="0"/>
              <w:marBottom w:val="0"/>
              <w:divBdr>
                <w:top w:val="none" w:sz="0" w:space="0" w:color="auto"/>
                <w:left w:val="none" w:sz="0" w:space="0" w:color="auto"/>
                <w:bottom w:val="none" w:sz="0" w:space="0" w:color="auto"/>
                <w:right w:val="none" w:sz="0" w:space="0" w:color="auto"/>
              </w:divBdr>
            </w:div>
          </w:divsChild>
        </w:div>
        <w:div w:id="1791046823">
          <w:marLeft w:val="0"/>
          <w:marRight w:val="0"/>
          <w:marTop w:val="0"/>
          <w:marBottom w:val="0"/>
          <w:divBdr>
            <w:top w:val="none" w:sz="0" w:space="0" w:color="auto"/>
            <w:left w:val="none" w:sz="0" w:space="0" w:color="auto"/>
            <w:bottom w:val="none" w:sz="0" w:space="0" w:color="auto"/>
            <w:right w:val="none" w:sz="0" w:space="0" w:color="auto"/>
          </w:divBdr>
          <w:divsChild>
            <w:div w:id="2015647806">
              <w:marLeft w:val="0"/>
              <w:marRight w:val="0"/>
              <w:marTop w:val="0"/>
              <w:marBottom w:val="0"/>
              <w:divBdr>
                <w:top w:val="none" w:sz="0" w:space="0" w:color="auto"/>
                <w:left w:val="none" w:sz="0" w:space="0" w:color="auto"/>
                <w:bottom w:val="none" w:sz="0" w:space="0" w:color="auto"/>
                <w:right w:val="none" w:sz="0" w:space="0" w:color="auto"/>
              </w:divBdr>
            </w:div>
          </w:divsChild>
        </w:div>
        <w:div w:id="1805197549">
          <w:marLeft w:val="0"/>
          <w:marRight w:val="0"/>
          <w:marTop w:val="0"/>
          <w:marBottom w:val="0"/>
          <w:divBdr>
            <w:top w:val="none" w:sz="0" w:space="0" w:color="auto"/>
            <w:left w:val="none" w:sz="0" w:space="0" w:color="auto"/>
            <w:bottom w:val="none" w:sz="0" w:space="0" w:color="auto"/>
            <w:right w:val="none" w:sz="0" w:space="0" w:color="auto"/>
          </w:divBdr>
          <w:divsChild>
            <w:div w:id="206138195">
              <w:marLeft w:val="0"/>
              <w:marRight w:val="0"/>
              <w:marTop w:val="0"/>
              <w:marBottom w:val="0"/>
              <w:divBdr>
                <w:top w:val="none" w:sz="0" w:space="0" w:color="auto"/>
                <w:left w:val="none" w:sz="0" w:space="0" w:color="auto"/>
                <w:bottom w:val="none" w:sz="0" w:space="0" w:color="auto"/>
                <w:right w:val="none" w:sz="0" w:space="0" w:color="auto"/>
              </w:divBdr>
            </w:div>
          </w:divsChild>
        </w:div>
        <w:div w:id="1805270235">
          <w:marLeft w:val="0"/>
          <w:marRight w:val="0"/>
          <w:marTop w:val="0"/>
          <w:marBottom w:val="0"/>
          <w:divBdr>
            <w:top w:val="none" w:sz="0" w:space="0" w:color="auto"/>
            <w:left w:val="none" w:sz="0" w:space="0" w:color="auto"/>
            <w:bottom w:val="none" w:sz="0" w:space="0" w:color="auto"/>
            <w:right w:val="none" w:sz="0" w:space="0" w:color="auto"/>
          </w:divBdr>
          <w:divsChild>
            <w:div w:id="1639409227">
              <w:marLeft w:val="0"/>
              <w:marRight w:val="0"/>
              <w:marTop w:val="0"/>
              <w:marBottom w:val="0"/>
              <w:divBdr>
                <w:top w:val="none" w:sz="0" w:space="0" w:color="auto"/>
                <w:left w:val="none" w:sz="0" w:space="0" w:color="auto"/>
                <w:bottom w:val="none" w:sz="0" w:space="0" w:color="auto"/>
                <w:right w:val="none" w:sz="0" w:space="0" w:color="auto"/>
              </w:divBdr>
            </w:div>
          </w:divsChild>
        </w:div>
        <w:div w:id="1823807875">
          <w:marLeft w:val="0"/>
          <w:marRight w:val="0"/>
          <w:marTop w:val="0"/>
          <w:marBottom w:val="0"/>
          <w:divBdr>
            <w:top w:val="none" w:sz="0" w:space="0" w:color="auto"/>
            <w:left w:val="none" w:sz="0" w:space="0" w:color="auto"/>
            <w:bottom w:val="none" w:sz="0" w:space="0" w:color="auto"/>
            <w:right w:val="none" w:sz="0" w:space="0" w:color="auto"/>
          </w:divBdr>
          <w:divsChild>
            <w:div w:id="545027510">
              <w:marLeft w:val="0"/>
              <w:marRight w:val="0"/>
              <w:marTop w:val="0"/>
              <w:marBottom w:val="0"/>
              <w:divBdr>
                <w:top w:val="none" w:sz="0" w:space="0" w:color="auto"/>
                <w:left w:val="none" w:sz="0" w:space="0" w:color="auto"/>
                <w:bottom w:val="none" w:sz="0" w:space="0" w:color="auto"/>
                <w:right w:val="none" w:sz="0" w:space="0" w:color="auto"/>
              </w:divBdr>
            </w:div>
          </w:divsChild>
        </w:div>
        <w:div w:id="1833135375">
          <w:marLeft w:val="0"/>
          <w:marRight w:val="0"/>
          <w:marTop w:val="0"/>
          <w:marBottom w:val="0"/>
          <w:divBdr>
            <w:top w:val="none" w:sz="0" w:space="0" w:color="auto"/>
            <w:left w:val="none" w:sz="0" w:space="0" w:color="auto"/>
            <w:bottom w:val="none" w:sz="0" w:space="0" w:color="auto"/>
            <w:right w:val="none" w:sz="0" w:space="0" w:color="auto"/>
          </w:divBdr>
          <w:divsChild>
            <w:div w:id="240069788">
              <w:marLeft w:val="0"/>
              <w:marRight w:val="0"/>
              <w:marTop w:val="0"/>
              <w:marBottom w:val="0"/>
              <w:divBdr>
                <w:top w:val="none" w:sz="0" w:space="0" w:color="auto"/>
                <w:left w:val="none" w:sz="0" w:space="0" w:color="auto"/>
                <w:bottom w:val="none" w:sz="0" w:space="0" w:color="auto"/>
                <w:right w:val="none" w:sz="0" w:space="0" w:color="auto"/>
              </w:divBdr>
            </w:div>
          </w:divsChild>
        </w:div>
        <w:div w:id="1835415557">
          <w:marLeft w:val="0"/>
          <w:marRight w:val="0"/>
          <w:marTop w:val="0"/>
          <w:marBottom w:val="0"/>
          <w:divBdr>
            <w:top w:val="none" w:sz="0" w:space="0" w:color="auto"/>
            <w:left w:val="none" w:sz="0" w:space="0" w:color="auto"/>
            <w:bottom w:val="none" w:sz="0" w:space="0" w:color="auto"/>
            <w:right w:val="none" w:sz="0" w:space="0" w:color="auto"/>
          </w:divBdr>
          <w:divsChild>
            <w:div w:id="1243762736">
              <w:marLeft w:val="0"/>
              <w:marRight w:val="0"/>
              <w:marTop w:val="0"/>
              <w:marBottom w:val="0"/>
              <w:divBdr>
                <w:top w:val="none" w:sz="0" w:space="0" w:color="auto"/>
                <w:left w:val="none" w:sz="0" w:space="0" w:color="auto"/>
                <w:bottom w:val="none" w:sz="0" w:space="0" w:color="auto"/>
                <w:right w:val="none" w:sz="0" w:space="0" w:color="auto"/>
              </w:divBdr>
            </w:div>
          </w:divsChild>
        </w:div>
        <w:div w:id="1838838429">
          <w:marLeft w:val="0"/>
          <w:marRight w:val="0"/>
          <w:marTop w:val="0"/>
          <w:marBottom w:val="0"/>
          <w:divBdr>
            <w:top w:val="none" w:sz="0" w:space="0" w:color="auto"/>
            <w:left w:val="none" w:sz="0" w:space="0" w:color="auto"/>
            <w:bottom w:val="none" w:sz="0" w:space="0" w:color="auto"/>
            <w:right w:val="none" w:sz="0" w:space="0" w:color="auto"/>
          </w:divBdr>
          <w:divsChild>
            <w:div w:id="1524708742">
              <w:marLeft w:val="0"/>
              <w:marRight w:val="0"/>
              <w:marTop w:val="0"/>
              <w:marBottom w:val="0"/>
              <w:divBdr>
                <w:top w:val="none" w:sz="0" w:space="0" w:color="auto"/>
                <w:left w:val="none" w:sz="0" w:space="0" w:color="auto"/>
                <w:bottom w:val="none" w:sz="0" w:space="0" w:color="auto"/>
                <w:right w:val="none" w:sz="0" w:space="0" w:color="auto"/>
              </w:divBdr>
            </w:div>
          </w:divsChild>
        </w:div>
        <w:div w:id="1843742200">
          <w:marLeft w:val="0"/>
          <w:marRight w:val="0"/>
          <w:marTop w:val="0"/>
          <w:marBottom w:val="0"/>
          <w:divBdr>
            <w:top w:val="none" w:sz="0" w:space="0" w:color="auto"/>
            <w:left w:val="none" w:sz="0" w:space="0" w:color="auto"/>
            <w:bottom w:val="none" w:sz="0" w:space="0" w:color="auto"/>
            <w:right w:val="none" w:sz="0" w:space="0" w:color="auto"/>
          </w:divBdr>
          <w:divsChild>
            <w:div w:id="1821926583">
              <w:marLeft w:val="0"/>
              <w:marRight w:val="0"/>
              <w:marTop w:val="0"/>
              <w:marBottom w:val="0"/>
              <w:divBdr>
                <w:top w:val="none" w:sz="0" w:space="0" w:color="auto"/>
                <w:left w:val="none" w:sz="0" w:space="0" w:color="auto"/>
                <w:bottom w:val="none" w:sz="0" w:space="0" w:color="auto"/>
                <w:right w:val="none" w:sz="0" w:space="0" w:color="auto"/>
              </w:divBdr>
            </w:div>
          </w:divsChild>
        </w:div>
        <w:div w:id="1845701315">
          <w:marLeft w:val="0"/>
          <w:marRight w:val="0"/>
          <w:marTop w:val="0"/>
          <w:marBottom w:val="0"/>
          <w:divBdr>
            <w:top w:val="none" w:sz="0" w:space="0" w:color="auto"/>
            <w:left w:val="none" w:sz="0" w:space="0" w:color="auto"/>
            <w:bottom w:val="none" w:sz="0" w:space="0" w:color="auto"/>
            <w:right w:val="none" w:sz="0" w:space="0" w:color="auto"/>
          </w:divBdr>
          <w:divsChild>
            <w:div w:id="1658410997">
              <w:marLeft w:val="0"/>
              <w:marRight w:val="0"/>
              <w:marTop w:val="0"/>
              <w:marBottom w:val="0"/>
              <w:divBdr>
                <w:top w:val="none" w:sz="0" w:space="0" w:color="auto"/>
                <w:left w:val="none" w:sz="0" w:space="0" w:color="auto"/>
                <w:bottom w:val="none" w:sz="0" w:space="0" w:color="auto"/>
                <w:right w:val="none" w:sz="0" w:space="0" w:color="auto"/>
              </w:divBdr>
            </w:div>
          </w:divsChild>
        </w:div>
        <w:div w:id="1853103392">
          <w:marLeft w:val="0"/>
          <w:marRight w:val="0"/>
          <w:marTop w:val="0"/>
          <w:marBottom w:val="0"/>
          <w:divBdr>
            <w:top w:val="none" w:sz="0" w:space="0" w:color="auto"/>
            <w:left w:val="none" w:sz="0" w:space="0" w:color="auto"/>
            <w:bottom w:val="none" w:sz="0" w:space="0" w:color="auto"/>
            <w:right w:val="none" w:sz="0" w:space="0" w:color="auto"/>
          </w:divBdr>
          <w:divsChild>
            <w:div w:id="1149132229">
              <w:marLeft w:val="0"/>
              <w:marRight w:val="0"/>
              <w:marTop w:val="0"/>
              <w:marBottom w:val="0"/>
              <w:divBdr>
                <w:top w:val="none" w:sz="0" w:space="0" w:color="auto"/>
                <w:left w:val="none" w:sz="0" w:space="0" w:color="auto"/>
                <w:bottom w:val="none" w:sz="0" w:space="0" w:color="auto"/>
                <w:right w:val="none" w:sz="0" w:space="0" w:color="auto"/>
              </w:divBdr>
            </w:div>
          </w:divsChild>
        </w:div>
        <w:div w:id="1854763789">
          <w:marLeft w:val="0"/>
          <w:marRight w:val="0"/>
          <w:marTop w:val="0"/>
          <w:marBottom w:val="0"/>
          <w:divBdr>
            <w:top w:val="none" w:sz="0" w:space="0" w:color="auto"/>
            <w:left w:val="none" w:sz="0" w:space="0" w:color="auto"/>
            <w:bottom w:val="none" w:sz="0" w:space="0" w:color="auto"/>
            <w:right w:val="none" w:sz="0" w:space="0" w:color="auto"/>
          </w:divBdr>
          <w:divsChild>
            <w:div w:id="930315119">
              <w:marLeft w:val="0"/>
              <w:marRight w:val="0"/>
              <w:marTop w:val="0"/>
              <w:marBottom w:val="0"/>
              <w:divBdr>
                <w:top w:val="none" w:sz="0" w:space="0" w:color="auto"/>
                <w:left w:val="none" w:sz="0" w:space="0" w:color="auto"/>
                <w:bottom w:val="none" w:sz="0" w:space="0" w:color="auto"/>
                <w:right w:val="none" w:sz="0" w:space="0" w:color="auto"/>
              </w:divBdr>
            </w:div>
          </w:divsChild>
        </w:div>
        <w:div w:id="1855263442">
          <w:marLeft w:val="0"/>
          <w:marRight w:val="0"/>
          <w:marTop w:val="0"/>
          <w:marBottom w:val="0"/>
          <w:divBdr>
            <w:top w:val="none" w:sz="0" w:space="0" w:color="auto"/>
            <w:left w:val="none" w:sz="0" w:space="0" w:color="auto"/>
            <w:bottom w:val="none" w:sz="0" w:space="0" w:color="auto"/>
            <w:right w:val="none" w:sz="0" w:space="0" w:color="auto"/>
          </w:divBdr>
          <w:divsChild>
            <w:div w:id="1737704149">
              <w:marLeft w:val="0"/>
              <w:marRight w:val="0"/>
              <w:marTop w:val="0"/>
              <w:marBottom w:val="0"/>
              <w:divBdr>
                <w:top w:val="none" w:sz="0" w:space="0" w:color="auto"/>
                <w:left w:val="none" w:sz="0" w:space="0" w:color="auto"/>
                <w:bottom w:val="none" w:sz="0" w:space="0" w:color="auto"/>
                <w:right w:val="none" w:sz="0" w:space="0" w:color="auto"/>
              </w:divBdr>
            </w:div>
          </w:divsChild>
        </w:div>
        <w:div w:id="1859200406">
          <w:marLeft w:val="0"/>
          <w:marRight w:val="0"/>
          <w:marTop w:val="0"/>
          <w:marBottom w:val="0"/>
          <w:divBdr>
            <w:top w:val="none" w:sz="0" w:space="0" w:color="auto"/>
            <w:left w:val="none" w:sz="0" w:space="0" w:color="auto"/>
            <w:bottom w:val="none" w:sz="0" w:space="0" w:color="auto"/>
            <w:right w:val="none" w:sz="0" w:space="0" w:color="auto"/>
          </w:divBdr>
          <w:divsChild>
            <w:div w:id="1673407070">
              <w:marLeft w:val="0"/>
              <w:marRight w:val="0"/>
              <w:marTop w:val="0"/>
              <w:marBottom w:val="0"/>
              <w:divBdr>
                <w:top w:val="none" w:sz="0" w:space="0" w:color="auto"/>
                <w:left w:val="none" w:sz="0" w:space="0" w:color="auto"/>
                <w:bottom w:val="none" w:sz="0" w:space="0" w:color="auto"/>
                <w:right w:val="none" w:sz="0" w:space="0" w:color="auto"/>
              </w:divBdr>
            </w:div>
          </w:divsChild>
        </w:div>
        <w:div w:id="1859924004">
          <w:marLeft w:val="0"/>
          <w:marRight w:val="0"/>
          <w:marTop w:val="0"/>
          <w:marBottom w:val="0"/>
          <w:divBdr>
            <w:top w:val="none" w:sz="0" w:space="0" w:color="auto"/>
            <w:left w:val="none" w:sz="0" w:space="0" w:color="auto"/>
            <w:bottom w:val="none" w:sz="0" w:space="0" w:color="auto"/>
            <w:right w:val="none" w:sz="0" w:space="0" w:color="auto"/>
          </w:divBdr>
          <w:divsChild>
            <w:div w:id="1277642490">
              <w:marLeft w:val="0"/>
              <w:marRight w:val="0"/>
              <w:marTop w:val="0"/>
              <w:marBottom w:val="0"/>
              <w:divBdr>
                <w:top w:val="none" w:sz="0" w:space="0" w:color="auto"/>
                <w:left w:val="none" w:sz="0" w:space="0" w:color="auto"/>
                <w:bottom w:val="none" w:sz="0" w:space="0" w:color="auto"/>
                <w:right w:val="none" w:sz="0" w:space="0" w:color="auto"/>
              </w:divBdr>
            </w:div>
          </w:divsChild>
        </w:div>
        <w:div w:id="1861123842">
          <w:marLeft w:val="0"/>
          <w:marRight w:val="0"/>
          <w:marTop w:val="0"/>
          <w:marBottom w:val="0"/>
          <w:divBdr>
            <w:top w:val="none" w:sz="0" w:space="0" w:color="auto"/>
            <w:left w:val="none" w:sz="0" w:space="0" w:color="auto"/>
            <w:bottom w:val="none" w:sz="0" w:space="0" w:color="auto"/>
            <w:right w:val="none" w:sz="0" w:space="0" w:color="auto"/>
          </w:divBdr>
          <w:divsChild>
            <w:div w:id="2033414815">
              <w:marLeft w:val="0"/>
              <w:marRight w:val="0"/>
              <w:marTop w:val="0"/>
              <w:marBottom w:val="0"/>
              <w:divBdr>
                <w:top w:val="none" w:sz="0" w:space="0" w:color="auto"/>
                <w:left w:val="none" w:sz="0" w:space="0" w:color="auto"/>
                <w:bottom w:val="none" w:sz="0" w:space="0" w:color="auto"/>
                <w:right w:val="none" w:sz="0" w:space="0" w:color="auto"/>
              </w:divBdr>
            </w:div>
          </w:divsChild>
        </w:div>
        <w:div w:id="1885675408">
          <w:marLeft w:val="0"/>
          <w:marRight w:val="0"/>
          <w:marTop w:val="0"/>
          <w:marBottom w:val="0"/>
          <w:divBdr>
            <w:top w:val="none" w:sz="0" w:space="0" w:color="auto"/>
            <w:left w:val="none" w:sz="0" w:space="0" w:color="auto"/>
            <w:bottom w:val="none" w:sz="0" w:space="0" w:color="auto"/>
            <w:right w:val="none" w:sz="0" w:space="0" w:color="auto"/>
          </w:divBdr>
          <w:divsChild>
            <w:div w:id="1896237541">
              <w:marLeft w:val="0"/>
              <w:marRight w:val="0"/>
              <w:marTop w:val="0"/>
              <w:marBottom w:val="0"/>
              <w:divBdr>
                <w:top w:val="none" w:sz="0" w:space="0" w:color="auto"/>
                <w:left w:val="none" w:sz="0" w:space="0" w:color="auto"/>
                <w:bottom w:val="none" w:sz="0" w:space="0" w:color="auto"/>
                <w:right w:val="none" w:sz="0" w:space="0" w:color="auto"/>
              </w:divBdr>
            </w:div>
          </w:divsChild>
        </w:div>
        <w:div w:id="1910069762">
          <w:marLeft w:val="0"/>
          <w:marRight w:val="0"/>
          <w:marTop w:val="0"/>
          <w:marBottom w:val="0"/>
          <w:divBdr>
            <w:top w:val="none" w:sz="0" w:space="0" w:color="auto"/>
            <w:left w:val="none" w:sz="0" w:space="0" w:color="auto"/>
            <w:bottom w:val="none" w:sz="0" w:space="0" w:color="auto"/>
            <w:right w:val="none" w:sz="0" w:space="0" w:color="auto"/>
          </w:divBdr>
          <w:divsChild>
            <w:div w:id="527068467">
              <w:marLeft w:val="0"/>
              <w:marRight w:val="0"/>
              <w:marTop w:val="0"/>
              <w:marBottom w:val="0"/>
              <w:divBdr>
                <w:top w:val="none" w:sz="0" w:space="0" w:color="auto"/>
                <w:left w:val="none" w:sz="0" w:space="0" w:color="auto"/>
                <w:bottom w:val="none" w:sz="0" w:space="0" w:color="auto"/>
                <w:right w:val="none" w:sz="0" w:space="0" w:color="auto"/>
              </w:divBdr>
            </w:div>
          </w:divsChild>
        </w:div>
        <w:div w:id="1923297171">
          <w:marLeft w:val="0"/>
          <w:marRight w:val="0"/>
          <w:marTop w:val="0"/>
          <w:marBottom w:val="0"/>
          <w:divBdr>
            <w:top w:val="none" w:sz="0" w:space="0" w:color="auto"/>
            <w:left w:val="none" w:sz="0" w:space="0" w:color="auto"/>
            <w:bottom w:val="none" w:sz="0" w:space="0" w:color="auto"/>
            <w:right w:val="none" w:sz="0" w:space="0" w:color="auto"/>
          </w:divBdr>
          <w:divsChild>
            <w:div w:id="345248732">
              <w:marLeft w:val="0"/>
              <w:marRight w:val="0"/>
              <w:marTop w:val="0"/>
              <w:marBottom w:val="0"/>
              <w:divBdr>
                <w:top w:val="none" w:sz="0" w:space="0" w:color="auto"/>
                <w:left w:val="none" w:sz="0" w:space="0" w:color="auto"/>
                <w:bottom w:val="none" w:sz="0" w:space="0" w:color="auto"/>
                <w:right w:val="none" w:sz="0" w:space="0" w:color="auto"/>
              </w:divBdr>
            </w:div>
          </w:divsChild>
        </w:div>
        <w:div w:id="1936552486">
          <w:marLeft w:val="0"/>
          <w:marRight w:val="0"/>
          <w:marTop w:val="0"/>
          <w:marBottom w:val="0"/>
          <w:divBdr>
            <w:top w:val="none" w:sz="0" w:space="0" w:color="auto"/>
            <w:left w:val="none" w:sz="0" w:space="0" w:color="auto"/>
            <w:bottom w:val="none" w:sz="0" w:space="0" w:color="auto"/>
            <w:right w:val="none" w:sz="0" w:space="0" w:color="auto"/>
          </w:divBdr>
          <w:divsChild>
            <w:div w:id="1049186012">
              <w:marLeft w:val="0"/>
              <w:marRight w:val="0"/>
              <w:marTop w:val="0"/>
              <w:marBottom w:val="0"/>
              <w:divBdr>
                <w:top w:val="none" w:sz="0" w:space="0" w:color="auto"/>
                <w:left w:val="none" w:sz="0" w:space="0" w:color="auto"/>
                <w:bottom w:val="none" w:sz="0" w:space="0" w:color="auto"/>
                <w:right w:val="none" w:sz="0" w:space="0" w:color="auto"/>
              </w:divBdr>
            </w:div>
          </w:divsChild>
        </w:div>
        <w:div w:id="1941178818">
          <w:marLeft w:val="0"/>
          <w:marRight w:val="0"/>
          <w:marTop w:val="0"/>
          <w:marBottom w:val="0"/>
          <w:divBdr>
            <w:top w:val="none" w:sz="0" w:space="0" w:color="auto"/>
            <w:left w:val="none" w:sz="0" w:space="0" w:color="auto"/>
            <w:bottom w:val="none" w:sz="0" w:space="0" w:color="auto"/>
            <w:right w:val="none" w:sz="0" w:space="0" w:color="auto"/>
          </w:divBdr>
          <w:divsChild>
            <w:div w:id="2028671994">
              <w:marLeft w:val="0"/>
              <w:marRight w:val="0"/>
              <w:marTop w:val="0"/>
              <w:marBottom w:val="0"/>
              <w:divBdr>
                <w:top w:val="none" w:sz="0" w:space="0" w:color="auto"/>
                <w:left w:val="none" w:sz="0" w:space="0" w:color="auto"/>
                <w:bottom w:val="none" w:sz="0" w:space="0" w:color="auto"/>
                <w:right w:val="none" w:sz="0" w:space="0" w:color="auto"/>
              </w:divBdr>
            </w:div>
          </w:divsChild>
        </w:div>
        <w:div w:id="1946114229">
          <w:marLeft w:val="0"/>
          <w:marRight w:val="0"/>
          <w:marTop w:val="0"/>
          <w:marBottom w:val="0"/>
          <w:divBdr>
            <w:top w:val="none" w:sz="0" w:space="0" w:color="auto"/>
            <w:left w:val="none" w:sz="0" w:space="0" w:color="auto"/>
            <w:bottom w:val="none" w:sz="0" w:space="0" w:color="auto"/>
            <w:right w:val="none" w:sz="0" w:space="0" w:color="auto"/>
          </w:divBdr>
          <w:divsChild>
            <w:div w:id="86390430">
              <w:marLeft w:val="0"/>
              <w:marRight w:val="0"/>
              <w:marTop w:val="0"/>
              <w:marBottom w:val="0"/>
              <w:divBdr>
                <w:top w:val="none" w:sz="0" w:space="0" w:color="auto"/>
                <w:left w:val="none" w:sz="0" w:space="0" w:color="auto"/>
                <w:bottom w:val="none" w:sz="0" w:space="0" w:color="auto"/>
                <w:right w:val="none" w:sz="0" w:space="0" w:color="auto"/>
              </w:divBdr>
            </w:div>
          </w:divsChild>
        </w:div>
        <w:div w:id="1952012775">
          <w:marLeft w:val="0"/>
          <w:marRight w:val="0"/>
          <w:marTop w:val="0"/>
          <w:marBottom w:val="0"/>
          <w:divBdr>
            <w:top w:val="none" w:sz="0" w:space="0" w:color="auto"/>
            <w:left w:val="none" w:sz="0" w:space="0" w:color="auto"/>
            <w:bottom w:val="none" w:sz="0" w:space="0" w:color="auto"/>
            <w:right w:val="none" w:sz="0" w:space="0" w:color="auto"/>
          </w:divBdr>
          <w:divsChild>
            <w:div w:id="550263660">
              <w:marLeft w:val="0"/>
              <w:marRight w:val="0"/>
              <w:marTop w:val="0"/>
              <w:marBottom w:val="0"/>
              <w:divBdr>
                <w:top w:val="none" w:sz="0" w:space="0" w:color="auto"/>
                <w:left w:val="none" w:sz="0" w:space="0" w:color="auto"/>
                <w:bottom w:val="none" w:sz="0" w:space="0" w:color="auto"/>
                <w:right w:val="none" w:sz="0" w:space="0" w:color="auto"/>
              </w:divBdr>
            </w:div>
          </w:divsChild>
        </w:div>
        <w:div w:id="1952123643">
          <w:marLeft w:val="0"/>
          <w:marRight w:val="0"/>
          <w:marTop w:val="0"/>
          <w:marBottom w:val="0"/>
          <w:divBdr>
            <w:top w:val="none" w:sz="0" w:space="0" w:color="auto"/>
            <w:left w:val="none" w:sz="0" w:space="0" w:color="auto"/>
            <w:bottom w:val="none" w:sz="0" w:space="0" w:color="auto"/>
            <w:right w:val="none" w:sz="0" w:space="0" w:color="auto"/>
          </w:divBdr>
          <w:divsChild>
            <w:div w:id="771047234">
              <w:marLeft w:val="0"/>
              <w:marRight w:val="0"/>
              <w:marTop w:val="0"/>
              <w:marBottom w:val="0"/>
              <w:divBdr>
                <w:top w:val="none" w:sz="0" w:space="0" w:color="auto"/>
                <w:left w:val="none" w:sz="0" w:space="0" w:color="auto"/>
                <w:bottom w:val="none" w:sz="0" w:space="0" w:color="auto"/>
                <w:right w:val="none" w:sz="0" w:space="0" w:color="auto"/>
              </w:divBdr>
            </w:div>
          </w:divsChild>
        </w:div>
        <w:div w:id="1960447790">
          <w:marLeft w:val="0"/>
          <w:marRight w:val="0"/>
          <w:marTop w:val="0"/>
          <w:marBottom w:val="0"/>
          <w:divBdr>
            <w:top w:val="none" w:sz="0" w:space="0" w:color="auto"/>
            <w:left w:val="none" w:sz="0" w:space="0" w:color="auto"/>
            <w:bottom w:val="none" w:sz="0" w:space="0" w:color="auto"/>
            <w:right w:val="none" w:sz="0" w:space="0" w:color="auto"/>
          </w:divBdr>
          <w:divsChild>
            <w:div w:id="1221093580">
              <w:marLeft w:val="0"/>
              <w:marRight w:val="0"/>
              <w:marTop w:val="0"/>
              <w:marBottom w:val="0"/>
              <w:divBdr>
                <w:top w:val="none" w:sz="0" w:space="0" w:color="auto"/>
                <w:left w:val="none" w:sz="0" w:space="0" w:color="auto"/>
                <w:bottom w:val="none" w:sz="0" w:space="0" w:color="auto"/>
                <w:right w:val="none" w:sz="0" w:space="0" w:color="auto"/>
              </w:divBdr>
            </w:div>
          </w:divsChild>
        </w:div>
        <w:div w:id="1961296514">
          <w:marLeft w:val="0"/>
          <w:marRight w:val="0"/>
          <w:marTop w:val="0"/>
          <w:marBottom w:val="0"/>
          <w:divBdr>
            <w:top w:val="none" w:sz="0" w:space="0" w:color="auto"/>
            <w:left w:val="none" w:sz="0" w:space="0" w:color="auto"/>
            <w:bottom w:val="none" w:sz="0" w:space="0" w:color="auto"/>
            <w:right w:val="none" w:sz="0" w:space="0" w:color="auto"/>
          </w:divBdr>
          <w:divsChild>
            <w:div w:id="1150516269">
              <w:marLeft w:val="0"/>
              <w:marRight w:val="0"/>
              <w:marTop w:val="0"/>
              <w:marBottom w:val="0"/>
              <w:divBdr>
                <w:top w:val="none" w:sz="0" w:space="0" w:color="auto"/>
                <w:left w:val="none" w:sz="0" w:space="0" w:color="auto"/>
                <w:bottom w:val="none" w:sz="0" w:space="0" w:color="auto"/>
                <w:right w:val="none" w:sz="0" w:space="0" w:color="auto"/>
              </w:divBdr>
            </w:div>
          </w:divsChild>
        </w:div>
        <w:div w:id="1964072812">
          <w:marLeft w:val="0"/>
          <w:marRight w:val="0"/>
          <w:marTop w:val="0"/>
          <w:marBottom w:val="0"/>
          <w:divBdr>
            <w:top w:val="none" w:sz="0" w:space="0" w:color="auto"/>
            <w:left w:val="none" w:sz="0" w:space="0" w:color="auto"/>
            <w:bottom w:val="none" w:sz="0" w:space="0" w:color="auto"/>
            <w:right w:val="none" w:sz="0" w:space="0" w:color="auto"/>
          </w:divBdr>
          <w:divsChild>
            <w:div w:id="398484834">
              <w:marLeft w:val="0"/>
              <w:marRight w:val="0"/>
              <w:marTop w:val="0"/>
              <w:marBottom w:val="0"/>
              <w:divBdr>
                <w:top w:val="none" w:sz="0" w:space="0" w:color="auto"/>
                <w:left w:val="none" w:sz="0" w:space="0" w:color="auto"/>
                <w:bottom w:val="none" w:sz="0" w:space="0" w:color="auto"/>
                <w:right w:val="none" w:sz="0" w:space="0" w:color="auto"/>
              </w:divBdr>
            </w:div>
          </w:divsChild>
        </w:div>
        <w:div w:id="1966697108">
          <w:marLeft w:val="0"/>
          <w:marRight w:val="0"/>
          <w:marTop w:val="0"/>
          <w:marBottom w:val="0"/>
          <w:divBdr>
            <w:top w:val="none" w:sz="0" w:space="0" w:color="auto"/>
            <w:left w:val="none" w:sz="0" w:space="0" w:color="auto"/>
            <w:bottom w:val="none" w:sz="0" w:space="0" w:color="auto"/>
            <w:right w:val="none" w:sz="0" w:space="0" w:color="auto"/>
          </w:divBdr>
          <w:divsChild>
            <w:div w:id="744269">
              <w:marLeft w:val="0"/>
              <w:marRight w:val="0"/>
              <w:marTop w:val="0"/>
              <w:marBottom w:val="0"/>
              <w:divBdr>
                <w:top w:val="none" w:sz="0" w:space="0" w:color="auto"/>
                <w:left w:val="none" w:sz="0" w:space="0" w:color="auto"/>
                <w:bottom w:val="none" w:sz="0" w:space="0" w:color="auto"/>
                <w:right w:val="none" w:sz="0" w:space="0" w:color="auto"/>
              </w:divBdr>
            </w:div>
            <w:div w:id="126820338">
              <w:marLeft w:val="0"/>
              <w:marRight w:val="0"/>
              <w:marTop w:val="0"/>
              <w:marBottom w:val="0"/>
              <w:divBdr>
                <w:top w:val="none" w:sz="0" w:space="0" w:color="auto"/>
                <w:left w:val="none" w:sz="0" w:space="0" w:color="auto"/>
                <w:bottom w:val="none" w:sz="0" w:space="0" w:color="auto"/>
                <w:right w:val="none" w:sz="0" w:space="0" w:color="auto"/>
              </w:divBdr>
            </w:div>
            <w:div w:id="380204212">
              <w:marLeft w:val="0"/>
              <w:marRight w:val="0"/>
              <w:marTop w:val="0"/>
              <w:marBottom w:val="0"/>
              <w:divBdr>
                <w:top w:val="none" w:sz="0" w:space="0" w:color="auto"/>
                <w:left w:val="none" w:sz="0" w:space="0" w:color="auto"/>
                <w:bottom w:val="none" w:sz="0" w:space="0" w:color="auto"/>
                <w:right w:val="none" w:sz="0" w:space="0" w:color="auto"/>
              </w:divBdr>
            </w:div>
            <w:div w:id="495150767">
              <w:marLeft w:val="0"/>
              <w:marRight w:val="0"/>
              <w:marTop w:val="0"/>
              <w:marBottom w:val="0"/>
              <w:divBdr>
                <w:top w:val="none" w:sz="0" w:space="0" w:color="auto"/>
                <w:left w:val="none" w:sz="0" w:space="0" w:color="auto"/>
                <w:bottom w:val="none" w:sz="0" w:space="0" w:color="auto"/>
                <w:right w:val="none" w:sz="0" w:space="0" w:color="auto"/>
              </w:divBdr>
            </w:div>
            <w:div w:id="510722242">
              <w:marLeft w:val="0"/>
              <w:marRight w:val="0"/>
              <w:marTop w:val="0"/>
              <w:marBottom w:val="0"/>
              <w:divBdr>
                <w:top w:val="none" w:sz="0" w:space="0" w:color="auto"/>
                <w:left w:val="none" w:sz="0" w:space="0" w:color="auto"/>
                <w:bottom w:val="none" w:sz="0" w:space="0" w:color="auto"/>
                <w:right w:val="none" w:sz="0" w:space="0" w:color="auto"/>
              </w:divBdr>
            </w:div>
            <w:div w:id="693112891">
              <w:marLeft w:val="0"/>
              <w:marRight w:val="0"/>
              <w:marTop w:val="0"/>
              <w:marBottom w:val="0"/>
              <w:divBdr>
                <w:top w:val="none" w:sz="0" w:space="0" w:color="auto"/>
                <w:left w:val="none" w:sz="0" w:space="0" w:color="auto"/>
                <w:bottom w:val="none" w:sz="0" w:space="0" w:color="auto"/>
                <w:right w:val="none" w:sz="0" w:space="0" w:color="auto"/>
              </w:divBdr>
            </w:div>
            <w:div w:id="732196171">
              <w:marLeft w:val="0"/>
              <w:marRight w:val="0"/>
              <w:marTop w:val="0"/>
              <w:marBottom w:val="0"/>
              <w:divBdr>
                <w:top w:val="none" w:sz="0" w:space="0" w:color="auto"/>
                <w:left w:val="none" w:sz="0" w:space="0" w:color="auto"/>
                <w:bottom w:val="none" w:sz="0" w:space="0" w:color="auto"/>
                <w:right w:val="none" w:sz="0" w:space="0" w:color="auto"/>
              </w:divBdr>
            </w:div>
            <w:div w:id="859120776">
              <w:marLeft w:val="0"/>
              <w:marRight w:val="0"/>
              <w:marTop w:val="0"/>
              <w:marBottom w:val="0"/>
              <w:divBdr>
                <w:top w:val="none" w:sz="0" w:space="0" w:color="auto"/>
                <w:left w:val="none" w:sz="0" w:space="0" w:color="auto"/>
                <w:bottom w:val="none" w:sz="0" w:space="0" w:color="auto"/>
                <w:right w:val="none" w:sz="0" w:space="0" w:color="auto"/>
              </w:divBdr>
            </w:div>
            <w:div w:id="1162039805">
              <w:marLeft w:val="0"/>
              <w:marRight w:val="0"/>
              <w:marTop w:val="0"/>
              <w:marBottom w:val="0"/>
              <w:divBdr>
                <w:top w:val="none" w:sz="0" w:space="0" w:color="auto"/>
                <w:left w:val="none" w:sz="0" w:space="0" w:color="auto"/>
                <w:bottom w:val="none" w:sz="0" w:space="0" w:color="auto"/>
                <w:right w:val="none" w:sz="0" w:space="0" w:color="auto"/>
              </w:divBdr>
            </w:div>
            <w:div w:id="1219592037">
              <w:marLeft w:val="0"/>
              <w:marRight w:val="0"/>
              <w:marTop w:val="0"/>
              <w:marBottom w:val="0"/>
              <w:divBdr>
                <w:top w:val="none" w:sz="0" w:space="0" w:color="auto"/>
                <w:left w:val="none" w:sz="0" w:space="0" w:color="auto"/>
                <w:bottom w:val="none" w:sz="0" w:space="0" w:color="auto"/>
                <w:right w:val="none" w:sz="0" w:space="0" w:color="auto"/>
              </w:divBdr>
            </w:div>
            <w:div w:id="1878852635">
              <w:marLeft w:val="0"/>
              <w:marRight w:val="0"/>
              <w:marTop w:val="0"/>
              <w:marBottom w:val="0"/>
              <w:divBdr>
                <w:top w:val="none" w:sz="0" w:space="0" w:color="auto"/>
                <w:left w:val="none" w:sz="0" w:space="0" w:color="auto"/>
                <w:bottom w:val="none" w:sz="0" w:space="0" w:color="auto"/>
                <w:right w:val="none" w:sz="0" w:space="0" w:color="auto"/>
              </w:divBdr>
            </w:div>
            <w:div w:id="1890994988">
              <w:marLeft w:val="0"/>
              <w:marRight w:val="0"/>
              <w:marTop w:val="0"/>
              <w:marBottom w:val="0"/>
              <w:divBdr>
                <w:top w:val="none" w:sz="0" w:space="0" w:color="auto"/>
                <w:left w:val="none" w:sz="0" w:space="0" w:color="auto"/>
                <w:bottom w:val="none" w:sz="0" w:space="0" w:color="auto"/>
                <w:right w:val="none" w:sz="0" w:space="0" w:color="auto"/>
              </w:divBdr>
            </w:div>
            <w:div w:id="1921913525">
              <w:marLeft w:val="0"/>
              <w:marRight w:val="0"/>
              <w:marTop w:val="0"/>
              <w:marBottom w:val="0"/>
              <w:divBdr>
                <w:top w:val="none" w:sz="0" w:space="0" w:color="auto"/>
                <w:left w:val="none" w:sz="0" w:space="0" w:color="auto"/>
                <w:bottom w:val="none" w:sz="0" w:space="0" w:color="auto"/>
                <w:right w:val="none" w:sz="0" w:space="0" w:color="auto"/>
              </w:divBdr>
            </w:div>
            <w:div w:id="2146503328">
              <w:marLeft w:val="0"/>
              <w:marRight w:val="0"/>
              <w:marTop w:val="0"/>
              <w:marBottom w:val="0"/>
              <w:divBdr>
                <w:top w:val="none" w:sz="0" w:space="0" w:color="auto"/>
                <w:left w:val="none" w:sz="0" w:space="0" w:color="auto"/>
                <w:bottom w:val="none" w:sz="0" w:space="0" w:color="auto"/>
                <w:right w:val="none" w:sz="0" w:space="0" w:color="auto"/>
              </w:divBdr>
            </w:div>
          </w:divsChild>
        </w:div>
        <w:div w:id="1972708318">
          <w:marLeft w:val="0"/>
          <w:marRight w:val="0"/>
          <w:marTop w:val="0"/>
          <w:marBottom w:val="0"/>
          <w:divBdr>
            <w:top w:val="none" w:sz="0" w:space="0" w:color="auto"/>
            <w:left w:val="none" w:sz="0" w:space="0" w:color="auto"/>
            <w:bottom w:val="none" w:sz="0" w:space="0" w:color="auto"/>
            <w:right w:val="none" w:sz="0" w:space="0" w:color="auto"/>
          </w:divBdr>
          <w:divsChild>
            <w:div w:id="1910647374">
              <w:marLeft w:val="0"/>
              <w:marRight w:val="0"/>
              <w:marTop w:val="0"/>
              <w:marBottom w:val="0"/>
              <w:divBdr>
                <w:top w:val="none" w:sz="0" w:space="0" w:color="auto"/>
                <w:left w:val="none" w:sz="0" w:space="0" w:color="auto"/>
                <w:bottom w:val="none" w:sz="0" w:space="0" w:color="auto"/>
                <w:right w:val="none" w:sz="0" w:space="0" w:color="auto"/>
              </w:divBdr>
            </w:div>
          </w:divsChild>
        </w:div>
        <w:div w:id="1980726917">
          <w:marLeft w:val="0"/>
          <w:marRight w:val="0"/>
          <w:marTop w:val="0"/>
          <w:marBottom w:val="0"/>
          <w:divBdr>
            <w:top w:val="none" w:sz="0" w:space="0" w:color="auto"/>
            <w:left w:val="none" w:sz="0" w:space="0" w:color="auto"/>
            <w:bottom w:val="none" w:sz="0" w:space="0" w:color="auto"/>
            <w:right w:val="none" w:sz="0" w:space="0" w:color="auto"/>
          </w:divBdr>
          <w:divsChild>
            <w:div w:id="450175091">
              <w:marLeft w:val="0"/>
              <w:marRight w:val="0"/>
              <w:marTop w:val="0"/>
              <w:marBottom w:val="0"/>
              <w:divBdr>
                <w:top w:val="none" w:sz="0" w:space="0" w:color="auto"/>
                <w:left w:val="none" w:sz="0" w:space="0" w:color="auto"/>
                <w:bottom w:val="none" w:sz="0" w:space="0" w:color="auto"/>
                <w:right w:val="none" w:sz="0" w:space="0" w:color="auto"/>
              </w:divBdr>
            </w:div>
          </w:divsChild>
        </w:div>
        <w:div w:id="1992437591">
          <w:marLeft w:val="0"/>
          <w:marRight w:val="0"/>
          <w:marTop w:val="0"/>
          <w:marBottom w:val="0"/>
          <w:divBdr>
            <w:top w:val="none" w:sz="0" w:space="0" w:color="auto"/>
            <w:left w:val="none" w:sz="0" w:space="0" w:color="auto"/>
            <w:bottom w:val="none" w:sz="0" w:space="0" w:color="auto"/>
            <w:right w:val="none" w:sz="0" w:space="0" w:color="auto"/>
          </w:divBdr>
          <w:divsChild>
            <w:div w:id="457379961">
              <w:marLeft w:val="0"/>
              <w:marRight w:val="0"/>
              <w:marTop w:val="0"/>
              <w:marBottom w:val="0"/>
              <w:divBdr>
                <w:top w:val="none" w:sz="0" w:space="0" w:color="auto"/>
                <w:left w:val="none" w:sz="0" w:space="0" w:color="auto"/>
                <w:bottom w:val="none" w:sz="0" w:space="0" w:color="auto"/>
                <w:right w:val="none" w:sz="0" w:space="0" w:color="auto"/>
              </w:divBdr>
            </w:div>
          </w:divsChild>
        </w:div>
        <w:div w:id="1992563630">
          <w:marLeft w:val="0"/>
          <w:marRight w:val="0"/>
          <w:marTop w:val="0"/>
          <w:marBottom w:val="0"/>
          <w:divBdr>
            <w:top w:val="none" w:sz="0" w:space="0" w:color="auto"/>
            <w:left w:val="none" w:sz="0" w:space="0" w:color="auto"/>
            <w:bottom w:val="none" w:sz="0" w:space="0" w:color="auto"/>
            <w:right w:val="none" w:sz="0" w:space="0" w:color="auto"/>
          </w:divBdr>
          <w:divsChild>
            <w:div w:id="1675113248">
              <w:marLeft w:val="0"/>
              <w:marRight w:val="0"/>
              <w:marTop w:val="0"/>
              <w:marBottom w:val="0"/>
              <w:divBdr>
                <w:top w:val="none" w:sz="0" w:space="0" w:color="auto"/>
                <w:left w:val="none" w:sz="0" w:space="0" w:color="auto"/>
                <w:bottom w:val="none" w:sz="0" w:space="0" w:color="auto"/>
                <w:right w:val="none" w:sz="0" w:space="0" w:color="auto"/>
              </w:divBdr>
            </w:div>
          </w:divsChild>
        </w:div>
        <w:div w:id="1994142918">
          <w:marLeft w:val="0"/>
          <w:marRight w:val="0"/>
          <w:marTop w:val="0"/>
          <w:marBottom w:val="0"/>
          <w:divBdr>
            <w:top w:val="none" w:sz="0" w:space="0" w:color="auto"/>
            <w:left w:val="none" w:sz="0" w:space="0" w:color="auto"/>
            <w:bottom w:val="none" w:sz="0" w:space="0" w:color="auto"/>
            <w:right w:val="none" w:sz="0" w:space="0" w:color="auto"/>
          </w:divBdr>
          <w:divsChild>
            <w:div w:id="511189815">
              <w:marLeft w:val="0"/>
              <w:marRight w:val="0"/>
              <w:marTop w:val="0"/>
              <w:marBottom w:val="0"/>
              <w:divBdr>
                <w:top w:val="none" w:sz="0" w:space="0" w:color="auto"/>
                <w:left w:val="none" w:sz="0" w:space="0" w:color="auto"/>
                <w:bottom w:val="none" w:sz="0" w:space="0" w:color="auto"/>
                <w:right w:val="none" w:sz="0" w:space="0" w:color="auto"/>
              </w:divBdr>
            </w:div>
          </w:divsChild>
        </w:div>
        <w:div w:id="1994528866">
          <w:marLeft w:val="0"/>
          <w:marRight w:val="0"/>
          <w:marTop w:val="0"/>
          <w:marBottom w:val="0"/>
          <w:divBdr>
            <w:top w:val="none" w:sz="0" w:space="0" w:color="auto"/>
            <w:left w:val="none" w:sz="0" w:space="0" w:color="auto"/>
            <w:bottom w:val="none" w:sz="0" w:space="0" w:color="auto"/>
            <w:right w:val="none" w:sz="0" w:space="0" w:color="auto"/>
          </w:divBdr>
          <w:divsChild>
            <w:div w:id="53355629">
              <w:marLeft w:val="0"/>
              <w:marRight w:val="0"/>
              <w:marTop w:val="0"/>
              <w:marBottom w:val="0"/>
              <w:divBdr>
                <w:top w:val="none" w:sz="0" w:space="0" w:color="auto"/>
                <w:left w:val="none" w:sz="0" w:space="0" w:color="auto"/>
                <w:bottom w:val="none" w:sz="0" w:space="0" w:color="auto"/>
                <w:right w:val="none" w:sz="0" w:space="0" w:color="auto"/>
              </w:divBdr>
            </w:div>
          </w:divsChild>
        </w:div>
        <w:div w:id="1997763726">
          <w:marLeft w:val="0"/>
          <w:marRight w:val="0"/>
          <w:marTop w:val="0"/>
          <w:marBottom w:val="0"/>
          <w:divBdr>
            <w:top w:val="none" w:sz="0" w:space="0" w:color="auto"/>
            <w:left w:val="none" w:sz="0" w:space="0" w:color="auto"/>
            <w:bottom w:val="none" w:sz="0" w:space="0" w:color="auto"/>
            <w:right w:val="none" w:sz="0" w:space="0" w:color="auto"/>
          </w:divBdr>
          <w:divsChild>
            <w:div w:id="763839856">
              <w:marLeft w:val="0"/>
              <w:marRight w:val="0"/>
              <w:marTop w:val="0"/>
              <w:marBottom w:val="0"/>
              <w:divBdr>
                <w:top w:val="none" w:sz="0" w:space="0" w:color="auto"/>
                <w:left w:val="none" w:sz="0" w:space="0" w:color="auto"/>
                <w:bottom w:val="none" w:sz="0" w:space="0" w:color="auto"/>
                <w:right w:val="none" w:sz="0" w:space="0" w:color="auto"/>
              </w:divBdr>
            </w:div>
          </w:divsChild>
        </w:div>
        <w:div w:id="2002924978">
          <w:marLeft w:val="0"/>
          <w:marRight w:val="0"/>
          <w:marTop w:val="0"/>
          <w:marBottom w:val="0"/>
          <w:divBdr>
            <w:top w:val="none" w:sz="0" w:space="0" w:color="auto"/>
            <w:left w:val="none" w:sz="0" w:space="0" w:color="auto"/>
            <w:bottom w:val="none" w:sz="0" w:space="0" w:color="auto"/>
            <w:right w:val="none" w:sz="0" w:space="0" w:color="auto"/>
          </w:divBdr>
          <w:divsChild>
            <w:div w:id="312024076">
              <w:marLeft w:val="0"/>
              <w:marRight w:val="0"/>
              <w:marTop w:val="0"/>
              <w:marBottom w:val="0"/>
              <w:divBdr>
                <w:top w:val="none" w:sz="0" w:space="0" w:color="auto"/>
                <w:left w:val="none" w:sz="0" w:space="0" w:color="auto"/>
                <w:bottom w:val="none" w:sz="0" w:space="0" w:color="auto"/>
                <w:right w:val="none" w:sz="0" w:space="0" w:color="auto"/>
              </w:divBdr>
            </w:div>
          </w:divsChild>
        </w:div>
        <w:div w:id="2003653120">
          <w:marLeft w:val="0"/>
          <w:marRight w:val="0"/>
          <w:marTop w:val="0"/>
          <w:marBottom w:val="0"/>
          <w:divBdr>
            <w:top w:val="none" w:sz="0" w:space="0" w:color="auto"/>
            <w:left w:val="none" w:sz="0" w:space="0" w:color="auto"/>
            <w:bottom w:val="none" w:sz="0" w:space="0" w:color="auto"/>
            <w:right w:val="none" w:sz="0" w:space="0" w:color="auto"/>
          </w:divBdr>
          <w:divsChild>
            <w:div w:id="2025863372">
              <w:marLeft w:val="0"/>
              <w:marRight w:val="0"/>
              <w:marTop w:val="0"/>
              <w:marBottom w:val="0"/>
              <w:divBdr>
                <w:top w:val="none" w:sz="0" w:space="0" w:color="auto"/>
                <w:left w:val="none" w:sz="0" w:space="0" w:color="auto"/>
                <w:bottom w:val="none" w:sz="0" w:space="0" w:color="auto"/>
                <w:right w:val="none" w:sz="0" w:space="0" w:color="auto"/>
              </w:divBdr>
            </w:div>
          </w:divsChild>
        </w:div>
        <w:div w:id="2012486687">
          <w:marLeft w:val="0"/>
          <w:marRight w:val="0"/>
          <w:marTop w:val="0"/>
          <w:marBottom w:val="0"/>
          <w:divBdr>
            <w:top w:val="none" w:sz="0" w:space="0" w:color="auto"/>
            <w:left w:val="none" w:sz="0" w:space="0" w:color="auto"/>
            <w:bottom w:val="none" w:sz="0" w:space="0" w:color="auto"/>
            <w:right w:val="none" w:sz="0" w:space="0" w:color="auto"/>
          </w:divBdr>
          <w:divsChild>
            <w:div w:id="2015954434">
              <w:marLeft w:val="0"/>
              <w:marRight w:val="0"/>
              <w:marTop w:val="0"/>
              <w:marBottom w:val="0"/>
              <w:divBdr>
                <w:top w:val="none" w:sz="0" w:space="0" w:color="auto"/>
                <w:left w:val="none" w:sz="0" w:space="0" w:color="auto"/>
                <w:bottom w:val="none" w:sz="0" w:space="0" w:color="auto"/>
                <w:right w:val="none" w:sz="0" w:space="0" w:color="auto"/>
              </w:divBdr>
            </w:div>
          </w:divsChild>
        </w:div>
        <w:div w:id="2013411299">
          <w:marLeft w:val="0"/>
          <w:marRight w:val="0"/>
          <w:marTop w:val="0"/>
          <w:marBottom w:val="0"/>
          <w:divBdr>
            <w:top w:val="none" w:sz="0" w:space="0" w:color="auto"/>
            <w:left w:val="none" w:sz="0" w:space="0" w:color="auto"/>
            <w:bottom w:val="none" w:sz="0" w:space="0" w:color="auto"/>
            <w:right w:val="none" w:sz="0" w:space="0" w:color="auto"/>
          </w:divBdr>
          <w:divsChild>
            <w:div w:id="197089252">
              <w:marLeft w:val="0"/>
              <w:marRight w:val="0"/>
              <w:marTop w:val="0"/>
              <w:marBottom w:val="0"/>
              <w:divBdr>
                <w:top w:val="none" w:sz="0" w:space="0" w:color="auto"/>
                <w:left w:val="none" w:sz="0" w:space="0" w:color="auto"/>
                <w:bottom w:val="none" w:sz="0" w:space="0" w:color="auto"/>
                <w:right w:val="none" w:sz="0" w:space="0" w:color="auto"/>
              </w:divBdr>
            </w:div>
          </w:divsChild>
        </w:div>
        <w:div w:id="2015572459">
          <w:marLeft w:val="0"/>
          <w:marRight w:val="0"/>
          <w:marTop w:val="0"/>
          <w:marBottom w:val="0"/>
          <w:divBdr>
            <w:top w:val="none" w:sz="0" w:space="0" w:color="auto"/>
            <w:left w:val="none" w:sz="0" w:space="0" w:color="auto"/>
            <w:bottom w:val="none" w:sz="0" w:space="0" w:color="auto"/>
            <w:right w:val="none" w:sz="0" w:space="0" w:color="auto"/>
          </w:divBdr>
          <w:divsChild>
            <w:div w:id="1864394956">
              <w:marLeft w:val="0"/>
              <w:marRight w:val="0"/>
              <w:marTop w:val="0"/>
              <w:marBottom w:val="0"/>
              <w:divBdr>
                <w:top w:val="none" w:sz="0" w:space="0" w:color="auto"/>
                <w:left w:val="none" w:sz="0" w:space="0" w:color="auto"/>
                <w:bottom w:val="none" w:sz="0" w:space="0" w:color="auto"/>
                <w:right w:val="none" w:sz="0" w:space="0" w:color="auto"/>
              </w:divBdr>
            </w:div>
          </w:divsChild>
        </w:div>
        <w:div w:id="2017732895">
          <w:marLeft w:val="0"/>
          <w:marRight w:val="0"/>
          <w:marTop w:val="0"/>
          <w:marBottom w:val="0"/>
          <w:divBdr>
            <w:top w:val="none" w:sz="0" w:space="0" w:color="auto"/>
            <w:left w:val="none" w:sz="0" w:space="0" w:color="auto"/>
            <w:bottom w:val="none" w:sz="0" w:space="0" w:color="auto"/>
            <w:right w:val="none" w:sz="0" w:space="0" w:color="auto"/>
          </w:divBdr>
          <w:divsChild>
            <w:div w:id="1750930430">
              <w:marLeft w:val="0"/>
              <w:marRight w:val="0"/>
              <w:marTop w:val="0"/>
              <w:marBottom w:val="0"/>
              <w:divBdr>
                <w:top w:val="none" w:sz="0" w:space="0" w:color="auto"/>
                <w:left w:val="none" w:sz="0" w:space="0" w:color="auto"/>
                <w:bottom w:val="none" w:sz="0" w:space="0" w:color="auto"/>
                <w:right w:val="none" w:sz="0" w:space="0" w:color="auto"/>
              </w:divBdr>
            </w:div>
          </w:divsChild>
        </w:div>
        <w:div w:id="2028485020">
          <w:marLeft w:val="0"/>
          <w:marRight w:val="0"/>
          <w:marTop w:val="0"/>
          <w:marBottom w:val="0"/>
          <w:divBdr>
            <w:top w:val="none" w:sz="0" w:space="0" w:color="auto"/>
            <w:left w:val="none" w:sz="0" w:space="0" w:color="auto"/>
            <w:bottom w:val="none" w:sz="0" w:space="0" w:color="auto"/>
            <w:right w:val="none" w:sz="0" w:space="0" w:color="auto"/>
          </w:divBdr>
          <w:divsChild>
            <w:div w:id="1031421409">
              <w:marLeft w:val="0"/>
              <w:marRight w:val="0"/>
              <w:marTop w:val="0"/>
              <w:marBottom w:val="0"/>
              <w:divBdr>
                <w:top w:val="none" w:sz="0" w:space="0" w:color="auto"/>
                <w:left w:val="none" w:sz="0" w:space="0" w:color="auto"/>
                <w:bottom w:val="none" w:sz="0" w:space="0" w:color="auto"/>
                <w:right w:val="none" w:sz="0" w:space="0" w:color="auto"/>
              </w:divBdr>
            </w:div>
          </w:divsChild>
        </w:div>
        <w:div w:id="2028947098">
          <w:marLeft w:val="0"/>
          <w:marRight w:val="0"/>
          <w:marTop w:val="0"/>
          <w:marBottom w:val="0"/>
          <w:divBdr>
            <w:top w:val="none" w:sz="0" w:space="0" w:color="auto"/>
            <w:left w:val="none" w:sz="0" w:space="0" w:color="auto"/>
            <w:bottom w:val="none" w:sz="0" w:space="0" w:color="auto"/>
            <w:right w:val="none" w:sz="0" w:space="0" w:color="auto"/>
          </w:divBdr>
          <w:divsChild>
            <w:div w:id="1988321590">
              <w:marLeft w:val="0"/>
              <w:marRight w:val="0"/>
              <w:marTop w:val="0"/>
              <w:marBottom w:val="0"/>
              <w:divBdr>
                <w:top w:val="none" w:sz="0" w:space="0" w:color="auto"/>
                <w:left w:val="none" w:sz="0" w:space="0" w:color="auto"/>
                <w:bottom w:val="none" w:sz="0" w:space="0" w:color="auto"/>
                <w:right w:val="none" w:sz="0" w:space="0" w:color="auto"/>
              </w:divBdr>
            </w:div>
          </w:divsChild>
        </w:div>
        <w:div w:id="2076003068">
          <w:marLeft w:val="0"/>
          <w:marRight w:val="0"/>
          <w:marTop w:val="0"/>
          <w:marBottom w:val="0"/>
          <w:divBdr>
            <w:top w:val="none" w:sz="0" w:space="0" w:color="auto"/>
            <w:left w:val="none" w:sz="0" w:space="0" w:color="auto"/>
            <w:bottom w:val="none" w:sz="0" w:space="0" w:color="auto"/>
            <w:right w:val="none" w:sz="0" w:space="0" w:color="auto"/>
          </w:divBdr>
          <w:divsChild>
            <w:div w:id="83655265">
              <w:marLeft w:val="0"/>
              <w:marRight w:val="0"/>
              <w:marTop w:val="0"/>
              <w:marBottom w:val="0"/>
              <w:divBdr>
                <w:top w:val="none" w:sz="0" w:space="0" w:color="auto"/>
                <w:left w:val="none" w:sz="0" w:space="0" w:color="auto"/>
                <w:bottom w:val="none" w:sz="0" w:space="0" w:color="auto"/>
                <w:right w:val="none" w:sz="0" w:space="0" w:color="auto"/>
              </w:divBdr>
            </w:div>
          </w:divsChild>
        </w:div>
        <w:div w:id="2087871550">
          <w:marLeft w:val="0"/>
          <w:marRight w:val="0"/>
          <w:marTop w:val="0"/>
          <w:marBottom w:val="0"/>
          <w:divBdr>
            <w:top w:val="none" w:sz="0" w:space="0" w:color="auto"/>
            <w:left w:val="none" w:sz="0" w:space="0" w:color="auto"/>
            <w:bottom w:val="none" w:sz="0" w:space="0" w:color="auto"/>
            <w:right w:val="none" w:sz="0" w:space="0" w:color="auto"/>
          </w:divBdr>
          <w:divsChild>
            <w:div w:id="236282059">
              <w:marLeft w:val="0"/>
              <w:marRight w:val="0"/>
              <w:marTop w:val="0"/>
              <w:marBottom w:val="0"/>
              <w:divBdr>
                <w:top w:val="none" w:sz="0" w:space="0" w:color="auto"/>
                <w:left w:val="none" w:sz="0" w:space="0" w:color="auto"/>
                <w:bottom w:val="none" w:sz="0" w:space="0" w:color="auto"/>
                <w:right w:val="none" w:sz="0" w:space="0" w:color="auto"/>
              </w:divBdr>
            </w:div>
          </w:divsChild>
        </w:div>
        <w:div w:id="2090809681">
          <w:marLeft w:val="0"/>
          <w:marRight w:val="0"/>
          <w:marTop w:val="0"/>
          <w:marBottom w:val="0"/>
          <w:divBdr>
            <w:top w:val="none" w:sz="0" w:space="0" w:color="auto"/>
            <w:left w:val="none" w:sz="0" w:space="0" w:color="auto"/>
            <w:bottom w:val="none" w:sz="0" w:space="0" w:color="auto"/>
            <w:right w:val="none" w:sz="0" w:space="0" w:color="auto"/>
          </w:divBdr>
          <w:divsChild>
            <w:div w:id="1751343191">
              <w:marLeft w:val="0"/>
              <w:marRight w:val="0"/>
              <w:marTop w:val="0"/>
              <w:marBottom w:val="0"/>
              <w:divBdr>
                <w:top w:val="none" w:sz="0" w:space="0" w:color="auto"/>
                <w:left w:val="none" w:sz="0" w:space="0" w:color="auto"/>
                <w:bottom w:val="none" w:sz="0" w:space="0" w:color="auto"/>
                <w:right w:val="none" w:sz="0" w:space="0" w:color="auto"/>
              </w:divBdr>
            </w:div>
          </w:divsChild>
        </w:div>
        <w:div w:id="2118593616">
          <w:marLeft w:val="0"/>
          <w:marRight w:val="0"/>
          <w:marTop w:val="0"/>
          <w:marBottom w:val="0"/>
          <w:divBdr>
            <w:top w:val="none" w:sz="0" w:space="0" w:color="auto"/>
            <w:left w:val="none" w:sz="0" w:space="0" w:color="auto"/>
            <w:bottom w:val="none" w:sz="0" w:space="0" w:color="auto"/>
            <w:right w:val="none" w:sz="0" w:space="0" w:color="auto"/>
          </w:divBdr>
          <w:divsChild>
            <w:div w:id="1454985835">
              <w:marLeft w:val="0"/>
              <w:marRight w:val="0"/>
              <w:marTop w:val="0"/>
              <w:marBottom w:val="0"/>
              <w:divBdr>
                <w:top w:val="none" w:sz="0" w:space="0" w:color="auto"/>
                <w:left w:val="none" w:sz="0" w:space="0" w:color="auto"/>
                <w:bottom w:val="none" w:sz="0" w:space="0" w:color="auto"/>
                <w:right w:val="none" w:sz="0" w:space="0" w:color="auto"/>
              </w:divBdr>
            </w:div>
          </w:divsChild>
        </w:div>
        <w:div w:id="2133666801">
          <w:marLeft w:val="0"/>
          <w:marRight w:val="0"/>
          <w:marTop w:val="0"/>
          <w:marBottom w:val="0"/>
          <w:divBdr>
            <w:top w:val="none" w:sz="0" w:space="0" w:color="auto"/>
            <w:left w:val="none" w:sz="0" w:space="0" w:color="auto"/>
            <w:bottom w:val="none" w:sz="0" w:space="0" w:color="auto"/>
            <w:right w:val="none" w:sz="0" w:space="0" w:color="auto"/>
          </w:divBdr>
          <w:divsChild>
            <w:div w:id="17195882">
              <w:marLeft w:val="0"/>
              <w:marRight w:val="0"/>
              <w:marTop w:val="0"/>
              <w:marBottom w:val="0"/>
              <w:divBdr>
                <w:top w:val="none" w:sz="0" w:space="0" w:color="auto"/>
                <w:left w:val="none" w:sz="0" w:space="0" w:color="auto"/>
                <w:bottom w:val="none" w:sz="0" w:space="0" w:color="auto"/>
                <w:right w:val="none" w:sz="0" w:space="0" w:color="auto"/>
              </w:divBdr>
            </w:div>
          </w:divsChild>
        </w:div>
        <w:div w:id="2139255939">
          <w:marLeft w:val="0"/>
          <w:marRight w:val="0"/>
          <w:marTop w:val="0"/>
          <w:marBottom w:val="0"/>
          <w:divBdr>
            <w:top w:val="none" w:sz="0" w:space="0" w:color="auto"/>
            <w:left w:val="none" w:sz="0" w:space="0" w:color="auto"/>
            <w:bottom w:val="none" w:sz="0" w:space="0" w:color="auto"/>
            <w:right w:val="none" w:sz="0" w:space="0" w:color="auto"/>
          </w:divBdr>
          <w:divsChild>
            <w:div w:id="1772313543">
              <w:marLeft w:val="0"/>
              <w:marRight w:val="0"/>
              <w:marTop w:val="0"/>
              <w:marBottom w:val="0"/>
              <w:divBdr>
                <w:top w:val="none" w:sz="0" w:space="0" w:color="auto"/>
                <w:left w:val="none" w:sz="0" w:space="0" w:color="auto"/>
                <w:bottom w:val="none" w:sz="0" w:space="0" w:color="auto"/>
                <w:right w:val="none" w:sz="0" w:space="0" w:color="auto"/>
              </w:divBdr>
            </w:div>
          </w:divsChild>
        </w:div>
        <w:div w:id="2140681935">
          <w:marLeft w:val="0"/>
          <w:marRight w:val="0"/>
          <w:marTop w:val="0"/>
          <w:marBottom w:val="0"/>
          <w:divBdr>
            <w:top w:val="none" w:sz="0" w:space="0" w:color="auto"/>
            <w:left w:val="none" w:sz="0" w:space="0" w:color="auto"/>
            <w:bottom w:val="none" w:sz="0" w:space="0" w:color="auto"/>
            <w:right w:val="none" w:sz="0" w:space="0" w:color="auto"/>
          </w:divBdr>
          <w:divsChild>
            <w:div w:id="518550369">
              <w:marLeft w:val="0"/>
              <w:marRight w:val="0"/>
              <w:marTop w:val="0"/>
              <w:marBottom w:val="0"/>
              <w:divBdr>
                <w:top w:val="none" w:sz="0" w:space="0" w:color="auto"/>
                <w:left w:val="none" w:sz="0" w:space="0" w:color="auto"/>
                <w:bottom w:val="none" w:sz="0" w:space="0" w:color="auto"/>
                <w:right w:val="none" w:sz="0" w:space="0" w:color="auto"/>
              </w:divBdr>
            </w:div>
          </w:divsChild>
        </w:div>
        <w:div w:id="2141923911">
          <w:marLeft w:val="0"/>
          <w:marRight w:val="0"/>
          <w:marTop w:val="0"/>
          <w:marBottom w:val="0"/>
          <w:divBdr>
            <w:top w:val="none" w:sz="0" w:space="0" w:color="auto"/>
            <w:left w:val="none" w:sz="0" w:space="0" w:color="auto"/>
            <w:bottom w:val="none" w:sz="0" w:space="0" w:color="auto"/>
            <w:right w:val="none" w:sz="0" w:space="0" w:color="auto"/>
          </w:divBdr>
          <w:divsChild>
            <w:div w:id="2900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55202">
      <w:bodyDiv w:val="1"/>
      <w:marLeft w:val="0"/>
      <w:marRight w:val="0"/>
      <w:marTop w:val="0"/>
      <w:marBottom w:val="0"/>
      <w:divBdr>
        <w:top w:val="none" w:sz="0" w:space="0" w:color="auto"/>
        <w:left w:val="none" w:sz="0" w:space="0" w:color="auto"/>
        <w:bottom w:val="none" w:sz="0" w:space="0" w:color="auto"/>
        <w:right w:val="none" w:sz="0" w:space="0" w:color="auto"/>
      </w:divBdr>
    </w:div>
    <w:div w:id="182670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bing.com/ck/a?!&amp;&amp;p=ef1b32b6a65de5025a7d8a09a600f145c5fe2fb8294ff0cab80dee01f5c55d7fJmltdHM9MTczMzc4ODgwMA&amp;ptn=3&amp;ver=2&amp;hsh=4&amp;fclid=29712349-dfd0-69f3-2c2f-367bdeb068ee&amp;psq=Vanuatu+skills+partnership+locally+led+development&amp;u=a1aHR0cDovL3d3dy52YW51YXR1dHZldC5vcmcudnUvd3AtY29udGVudC91cGxvYWRzLzIwMjEvMTEvMjExMTIzX1ZTUF9CYXJiYXJhLXJlcG9ydF9maW5hbC1maW5hbC1jbGVhbi5wZGY&amp;ntb=1"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aes.asn.au/images/images/stories/files/2022_Conference_Adelaide/aes22_Silas_presentation_42.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evpolicy.org/a-localisation-journey-the-vanuatu-skills-partnership-20220109/"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ing.com/ck/a?!&amp;&amp;p=ef1b32b6a65de5025a7d8a09a600f145c5fe2fb8294ff0cab80dee01f5c55d7fJmltdHM9MTczMzc4ODgwMA&amp;ptn=3&amp;ver=2&amp;hsh=4&amp;fclid=29712349-dfd0-69f3-2c2f-367bdeb068ee&amp;psq=Vanuatu+skills+partnership+locally+led+development&amp;u=a1aHR0cDovL3d3dy52YW51YXR1dHZldC5vcmcudnUvd3AtY29udGVudC91cGxvYWRzLzIwMjEvMTEvMjExMTIzX1ZTUF9CYXJiYXJhLXJlcG9ydF9maW5hbC1maW5hbC1jbGVhbi5wZGY&amp;ntb=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bing.com/ck/a?!&amp;&amp;p=ef1b32b6a65de5025a7d8a09a600f145c5fe2fb8294ff0cab80dee01f5c55d7fJmltdHM9MTczMzc4ODgwMA&amp;ptn=3&amp;ver=2&amp;hsh=4&amp;fclid=29712349-dfd0-69f3-2c2f-367bdeb068ee&amp;psq=Vanuatu+skills+partnership+locally+led+development&amp;u=a1aHR0cDovL3d3dy52YW51YXR1dHZldC5vcmcudnUvd3AtY29udGVudC91cGxvYWRzLzIwMjEvMTEvMjExMTIzX1ZTUF9CYXJiYXJhLXJlcG9ydF9maW5hbC1maW5hbC1jbGVhbi5wZGY&amp;ntb=1" TargetMode="External"/><Relationship Id="rId3" Type="http://schemas.openxmlformats.org/officeDocument/2006/relationships/hyperlink" Target="https://www.gov.vu/images/publications/Vanuatu2030-EN-FINAL-sf.pdf" TargetMode="External"/><Relationship Id="rId7" Type="http://schemas.openxmlformats.org/officeDocument/2006/relationships/hyperlink" Target="https://www.dfat.gov.au/sites/default/files/performance-delivery-framework.pdf" TargetMode="External"/><Relationship Id="rId2" Type="http://schemas.openxmlformats.org/officeDocument/2006/relationships/hyperlink" Target="https://www.dfat.gov.au/sites/default/files/performance-delivery-framework.pdf" TargetMode="External"/><Relationship Id="rId1" Type="http://schemas.openxmlformats.org/officeDocument/2006/relationships/hyperlink" Target="https://www.dfat.gov.au/publications/development/australias-international-development-policy" TargetMode="External"/><Relationship Id="rId6" Type="http://schemas.openxmlformats.org/officeDocument/2006/relationships/hyperlink" Target="https://www.dfat.gov.au/publications/development/australias-international-development-policy" TargetMode="External"/><Relationship Id="rId5" Type="http://schemas.openxmlformats.org/officeDocument/2006/relationships/hyperlink" Target="https://www.lowyinstitute.org/the-interpreter/pacific-education-backsliding-outcomes-financing-freefall" TargetMode="External"/><Relationship Id="rId4" Type="http://schemas.openxmlformats.org/officeDocument/2006/relationships/hyperlink" Target="https://www.lowyinstitute.org/the-interpreter/pacific-education-backsliding-outcomes-financing-freefall" TargetMode="External"/><Relationship Id="rId9" Type="http://schemas.openxmlformats.org/officeDocument/2006/relationships/hyperlink" Target="https://www.aes.asn.au/images/images/stories/files/2022_Conference_Adelaide/aes22_Silas_presentation_42.pdf" TargetMode="External"/></Relationships>
</file>

<file path=word/theme/theme1.xml><?xml version="1.0" encoding="utf-8"?>
<a:theme xmlns:a="http://schemas.openxmlformats.org/drawingml/2006/main" name="Custom Theme">
  <a:themeElements>
    <a:clrScheme name="Duniya">
      <a:dk1>
        <a:sysClr val="windowText" lastClr="000000"/>
      </a:dk1>
      <a:lt1>
        <a:sysClr val="window" lastClr="FFFFFF"/>
      </a:lt1>
      <a:dk2>
        <a:srgbClr val="FFB200"/>
      </a:dk2>
      <a:lt2>
        <a:srgbClr val="FFF0CD"/>
      </a:lt2>
      <a:accent1>
        <a:srgbClr val="870F7F"/>
      </a:accent1>
      <a:accent2>
        <a:srgbClr val="4BACC6"/>
      </a:accent2>
      <a:accent3>
        <a:srgbClr val="D8D8D8"/>
      </a:accent3>
      <a:accent4>
        <a:srgbClr val="8DB3E2"/>
      </a:accent4>
      <a:accent5>
        <a:srgbClr val="EEECE1"/>
      </a:accent5>
      <a:accent6>
        <a:srgbClr val="EA700D"/>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9E865-02C5-634E-9A29-8E05261CBE2A}">
  <ds:schemaRefs>
    <ds:schemaRef ds:uri="http://schemas.openxmlformats.org/officeDocument/2006/bibliography"/>
  </ds:schemaRefs>
</ds:datastoreItem>
</file>

<file path=docMetadata/LabelInfo.xml><?xml version="1.0" encoding="utf-8"?>
<clbl:labelList xmlns:clbl="http://schemas.microsoft.com/office/2020/mipLabelMetadata">
  <clbl:label id="{11067652-e594-4683-81e3-2cbf4d08314b}" enabled="1" method="Standard" siteId="{dd4b51f9-ee38-4f0d-87d3-0fcc190484cf}" removed="0"/>
</clbl:labelList>
</file>

<file path=docProps/app.xml><?xml version="1.0" encoding="utf-8"?>
<Properties xmlns="http://schemas.openxmlformats.org/officeDocument/2006/extended-properties" xmlns:vt="http://schemas.openxmlformats.org/officeDocument/2006/docPropsVTypes">
  <Template>Normal</Template>
  <TotalTime>0</TotalTime>
  <Pages>49</Pages>
  <Words>17809</Words>
  <Characters>104836</Characters>
  <Application>Microsoft Office Word</Application>
  <DocSecurity>0</DocSecurity>
  <Lines>1797</Lines>
  <Paragraphs>824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Vanuatu Education and Skills Design Stage 1 – High Level Modality Review</dc:title>
  <dc:subject/>
  <dc:creator/>
  <cp:keywords>[SEC=OFFICIAL]</cp:keywords>
  <cp:lastModifiedBy/>
  <cp:revision>1</cp:revision>
  <dcterms:created xsi:type="dcterms:W3CDTF">2025-06-23T06:08:00Z</dcterms:created>
  <dcterms:modified xsi:type="dcterms:W3CDTF">2025-06-23T06:09:00Z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v=2022.1;a=SHA256;h=80ED40BF4C0692A3FC7E9F3BE7AA4367AE1CD38DEF00EF1660370C8CB2FC57EC</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2024-12-17T01:40:09Z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7556885A1ADB4360BECC495BE981350B</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5264E096AFB285D6A5C73051A94283F5</vt:lpwstr>
  </property>
  <property fmtid="{D5CDD505-2E9C-101B-9397-08002B2CF9AE}" pid="24" name="PM_Hash_Salt">
    <vt:lpwstr>3AAF1A3739AD6E8A66DEFD6D36A48C96</vt:lpwstr>
  </property>
  <property fmtid="{D5CDD505-2E9C-101B-9397-08002B2CF9AE}" pid="25" name="PM_Hash_SHA1">
    <vt:lpwstr>00841E1472D8F08382ED78E989BA7E9CEFA27134</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