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17" w:rsidRPr="00444466" w:rsidRDefault="00A91C17" w:rsidP="003E13EF">
      <w:pPr>
        <w:spacing w:before="5760"/>
        <w:jc w:val="center"/>
        <w:rPr>
          <w:b/>
          <w:sz w:val="40"/>
          <w:szCs w:val="40"/>
        </w:rPr>
      </w:pPr>
      <w:r w:rsidRPr="00444466">
        <w:rPr>
          <w:b/>
          <w:sz w:val="40"/>
          <w:szCs w:val="40"/>
        </w:rPr>
        <w:t>Vanuatu Education Sector Public Expenditure Review</w:t>
      </w:r>
    </w:p>
    <w:p w:rsidR="00A91C17" w:rsidRPr="00444466" w:rsidRDefault="0014550B" w:rsidP="003E13EF">
      <w:pPr>
        <w:spacing w:before="960" w:after="100" w:afterAutospacing="1"/>
        <w:jc w:val="center"/>
        <w:rPr>
          <w:b/>
          <w:sz w:val="40"/>
          <w:szCs w:val="40"/>
        </w:rPr>
      </w:pPr>
      <w:r>
        <w:rPr>
          <w:b/>
          <w:sz w:val="40"/>
          <w:szCs w:val="40"/>
        </w:rPr>
        <w:t xml:space="preserve">Final </w:t>
      </w:r>
      <w:r w:rsidR="00A91C17" w:rsidRPr="00444466">
        <w:rPr>
          <w:b/>
          <w:sz w:val="40"/>
          <w:szCs w:val="40"/>
        </w:rPr>
        <w:t>Report</w:t>
      </w:r>
    </w:p>
    <w:p w:rsidR="00A91C17" w:rsidRDefault="00F649BE" w:rsidP="003E13EF">
      <w:pPr>
        <w:spacing w:before="960"/>
        <w:jc w:val="center"/>
        <w:rPr>
          <w:b/>
          <w:sz w:val="40"/>
          <w:szCs w:val="40"/>
        </w:rPr>
      </w:pPr>
      <w:r w:rsidRPr="00F649BE">
        <w:rPr>
          <w:b/>
          <w:sz w:val="40"/>
          <w:szCs w:val="40"/>
        </w:rPr>
        <w:t>14</w:t>
      </w:r>
      <w:r w:rsidR="00A91C17">
        <w:rPr>
          <w:b/>
          <w:sz w:val="40"/>
          <w:szCs w:val="40"/>
        </w:rPr>
        <w:t xml:space="preserve"> </w:t>
      </w:r>
      <w:r w:rsidR="0014550B">
        <w:rPr>
          <w:b/>
          <w:sz w:val="40"/>
          <w:szCs w:val="40"/>
        </w:rPr>
        <w:t>December</w:t>
      </w:r>
      <w:r w:rsidR="00A91C17" w:rsidRPr="00444466">
        <w:rPr>
          <w:b/>
          <w:sz w:val="40"/>
          <w:szCs w:val="40"/>
        </w:rPr>
        <w:t xml:space="preserve"> 2012</w:t>
      </w:r>
    </w:p>
    <w:p w:rsidR="00617B8E" w:rsidRDefault="00617B8E">
      <w:pPr>
        <w:rPr>
          <w:b/>
          <w:sz w:val="40"/>
          <w:szCs w:val="40"/>
        </w:rPr>
        <w:sectPr w:rsidR="00617B8E" w:rsidSect="00E30EA7">
          <w:headerReference w:type="default" r:id="rId9"/>
          <w:pgSz w:w="11906" w:h="16838"/>
          <w:pgMar w:top="624" w:right="1134" w:bottom="624"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0"/>
          <w:cols w:space="708"/>
          <w:docGrid w:linePitch="360"/>
        </w:sectPr>
      </w:pPr>
    </w:p>
    <w:p w:rsidR="00A91C17" w:rsidRDefault="00A91C17" w:rsidP="00617B8E">
      <w:pPr>
        <w:pStyle w:val="Heading1"/>
        <w:spacing w:before="0"/>
        <w:jc w:val="center"/>
      </w:pPr>
      <w:bookmarkStart w:id="0" w:name="_Toc348711308"/>
      <w:r w:rsidRPr="008E6D79">
        <w:lastRenderedPageBreak/>
        <w:t>Contents</w:t>
      </w:r>
      <w:bookmarkEnd w:id="0"/>
    </w:p>
    <w:p w:rsidR="002D08DD" w:rsidRDefault="00E30EA7">
      <w:pPr>
        <w:pStyle w:val="TOC1"/>
        <w:tabs>
          <w:tab w:val="right" w:leader="dot" w:pos="9344"/>
        </w:tabs>
        <w:rPr>
          <w:rFonts w:eastAsiaTheme="minorEastAsia" w:cstheme="minorBidi"/>
          <w:b w:val="0"/>
          <w:bCs w:val="0"/>
          <w:caps w:val="0"/>
          <w:noProof/>
          <w:sz w:val="22"/>
          <w:szCs w:val="22"/>
          <w:lang w:eastAsia="en-AU"/>
        </w:rPr>
      </w:pPr>
      <w:r>
        <w:rPr>
          <w:rFonts w:cs="Times New Roman"/>
          <w:sz w:val="28"/>
          <w:szCs w:val="28"/>
        </w:rPr>
        <w:fldChar w:fldCharType="begin"/>
      </w:r>
      <w:r>
        <w:rPr>
          <w:rFonts w:cs="Times New Roman"/>
          <w:sz w:val="28"/>
          <w:szCs w:val="28"/>
        </w:rPr>
        <w:instrText xml:space="preserve"> TOC \o "1-2" \h \z \u </w:instrText>
      </w:r>
      <w:r>
        <w:rPr>
          <w:rFonts w:cs="Times New Roman"/>
          <w:sz w:val="28"/>
          <w:szCs w:val="28"/>
        </w:rPr>
        <w:fldChar w:fldCharType="separate"/>
      </w:r>
      <w:hyperlink w:anchor="_Toc348711308" w:history="1">
        <w:r w:rsidR="002D08DD" w:rsidRPr="00073E97">
          <w:rPr>
            <w:rStyle w:val="Hyperlink"/>
            <w:noProof/>
          </w:rPr>
          <w:t>Contents</w:t>
        </w:r>
        <w:r w:rsidR="002D08DD">
          <w:rPr>
            <w:noProof/>
            <w:webHidden/>
          </w:rPr>
          <w:tab/>
        </w:r>
        <w:r w:rsidR="002D08DD">
          <w:rPr>
            <w:noProof/>
            <w:webHidden/>
          </w:rPr>
          <w:fldChar w:fldCharType="begin"/>
        </w:r>
        <w:r w:rsidR="002D08DD">
          <w:rPr>
            <w:noProof/>
            <w:webHidden/>
          </w:rPr>
          <w:instrText xml:space="preserve"> PAGEREF _Toc348711308 \h </w:instrText>
        </w:r>
        <w:r w:rsidR="002D08DD">
          <w:rPr>
            <w:noProof/>
            <w:webHidden/>
          </w:rPr>
        </w:r>
        <w:r w:rsidR="002D08DD">
          <w:rPr>
            <w:noProof/>
            <w:webHidden/>
          </w:rPr>
          <w:fldChar w:fldCharType="separate"/>
        </w:r>
        <w:r w:rsidR="002D08DD">
          <w:rPr>
            <w:noProof/>
            <w:webHidden/>
          </w:rPr>
          <w:t>1</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09" w:history="1">
        <w:r w:rsidR="002D08DD" w:rsidRPr="00073E97">
          <w:rPr>
            <w:rStyle w:val="Hyperlink"/>
            <w:noProof/>
          </w:rPr>
          <w:t>List of Tables and Figures</w:t>
        </w:r>
        <w:r w:rsidR="002D08DD">
          <w:rPr>
            <w:noProof/>
            <w:webHidden/>
          </w:rPr>
          <w:tab/>
        </w:r>
        <w:r w:rsidR="002D08DD">
          <w:rPr>
            <w:noProof/>
            <w:webHidden/>
          </w:rPr>
          <w:fldChar w:fldCharType="begin"/>
        </w:r>
        <w:r w:rsidR="002D08DD">
          <w:rPr>
            <w:noProof/>
            <w:webHidden/>
          </w:rPr>
          <w:instrText xml:space="preserve"> PAGEREF _Toc348711309 \h </w:instrText>
        </w:r>
        <w:r w:rsidR="002D08DD">
          <w:rPr>
            <w:noProof/>
            <w:webHidden/>
          </w:rPr>
        </w:r>
        <w:r w:rsidR="002D08DD">
          <w:rPr>
            <w:noProof/>
            <w:webHidden/>
          </w:rPr>
          <w:fldChar w:fldCharType="separate"/>
        </w:r>
        <w:r w:rsidR="002D08DD">
          <w:rPr>
            <w:noProof/>
            <w:webHidden/>
          </w:rPr>
          <w:t>2</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10" w:history="1">
        <w:r w:rsidR="002D08DD" w:rsidRPr="00073E97">
          <w:rPr>
            <w:rStyle w:val="Hyperlink"/>
            <w:noProof/>
          </w:rPr>
          <w:t>Abbreviations</w:t>
        </w:r>
        <w:r w:rsidR="002D08DD">
          <w:rPr>
            <w:noProof/>
            <w:webHidden/>
          </w:rPr>
          <w:tab/>
        </w:r>
        <w:r w:rsidR="002D08DD">
          <w:rPr>
            <w:noProof/>
            <w:webHidden/>
          </w:rPr>
          <w:fldChar w:fldCharType="begin"/>
        </w:r>
        <w:r w:rsidR="002D08DD">
          <w:rPr>
            <w:noProof/>
            <w:webHidden/>
          </w:rPr>
          <w:instrText xml:space="preserve"> PAGEREF _Toc348711310 \h </w:instrText>
        </w:r>
        <w:r w:rsidR="002D08DD">
          <w:rPr>
            <w:noProof/>
            <w:webHidden/>
          </w:rPr>
        </w:r>
        <w:r w:rsidR="002D08DD">
          <w:rPr>
            <w:noProof/>
            <w:webHidden/>
          </w:rPr>
          <w:fldChar w:fldCharType="separate"/>
        </w:r>
        <w:r w:rsidR="002D08DD">
          <w:rPr>
            <w:noProof/>
            <w:webHidden/>
          </w:rPr>
          <w:t>4</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11" w:history="1">
        <w:r w:rsidR="002D08DD" w:rsidRPr="00073E97">
          <w:rPr>
            <w:rStyle w:val="Hyperlink"/>
            <w:noProof/>
          </w:rPr>
          <w:t>Executive Summary</w:t>
        </w:r>
        <w:r w:rsidR="002D08DD">
          <w:rPr>
            <w:noProof/>
            <w:webHidden/>
          </w:rPr>
          <w:tab/>
        </w:r>
        <w:r w:rsidR="002D08DD">
          <w:rPr>
            <w:noProof/>
            <w:webHidden/>
          </w:rPr>
          <w:fldChar w:fldCharType="begin"/>
        </w:r>
        <w:r w:rsidR="002D08DD">
          <w:rPr>
            <w:noProof/>
            <w:webHidden/>
          </w:rPr>
          <w:instrText xml:space="preserve"> PAGEREF _Toc348711311 \h </w:instrText>
        </w:r>
        <w:r w:rsidR="002D08DD">
          <w:rPr>
            <w:noProof/>
            <w:webHidden/>
          </w:rPr>
        </w:r>
        <w:r w:rsidR="002D08DD">
          <w:rPr>
            <w:noProof/>
            <w:webHidden/>
          </w:rPr>
          <w:fldChar w:fldCharType="separate"/>
        </w:r>
        <w:r w:rsidR="002D08DD">
          <w:rPr>
            <w:noProof/>
            <w:webHidden/>
          </w:rPr>
          <w:t>5</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12" w:history="1">
        <w:r w:rsidR="002D08DD" w:rsidRPr="00073E97">
          <w:rPr>
            <w:rStyle w:val="Hyperlink"/>
            <w:noProof/>
          </w:rPr>
          <w:t>Section 1: Introduction and education sector overview</w:t>
        </w:r>
        <w:r w:rsidR="002D08DD">
          <w:rPr>
            <w:noProof/>
            <w:webHidden/>
          </w:rPr>
          <w:tab/>
        </w:r>
        <w:r w:rsidR="002D08DD">
          <w:rPr>
            <w:noProof/>
            <w:webHidden/>
          </w:rPr>
          <w:fldChar w:fldCharType="begin"/>
        </w:r>
        <w:r w:rsidR="002D08DD">
          <w:rPr>
            <w:noProof/>
            <w:webHidden/>
          </w:rPr>
          <w:instrText xml:space="preserve"> PAGEREF _Toc348711312 \h </w:instrText>
        </w:r>
        <w:r w:rsidR="002D08DD">
          <w:rPr>
            <w:noProof/>
            <w:webHidden/>
          </w:rPr>
        </w:r>
        <w:r w:rsidR="002D08DD">
          <w:rPr>
            <w:noProof/>
            <w:webHidden/>
          </w:rPr>
          <w:fldChar w:fldCharType="separate"/>
        </w:r>
        <w:r w:rsidR="002D08DD">
          <w:rPr>
            <w:noProof/>
            <w:webHidden/>
          </w:rPr>
          <w:t>12</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3" w:history="1">
        <w:r w:rsidR="002D08DD" w:rsidRPr="00073E97">
          <w:rPr>
            <w:rStyle w:val="Hyperlink"/>
            <w:noProof/>
          </w:rPr>
          <w:t>1.1 Introduction and review methodology</w:t>
        </w:r>
        <w:r w:rsidR="002D08DD">
          <w:rPr>
            <w:noProof/>
            <w:webHidden/>
          </w:rPr>
          <w:tab/>
        </w:r>
        <w:r w:rsidR="002D08DD">
          <w:rPr>
            <w:noProof/>
            <w:webHidden/>
          </w:rPr>
          <w:fldChar w:fldCharType="begin"/>
        </w:r>
        <w:r w:rsidR="002D08DD">
          <w:rPr>
            <w:noProof/>
            <w:webHidden/>
          </w:rPr>
          <w:instrText xml:space="preserve"> PAGEREF _Toc348711313 \h </w:instrText>
        </w:r>
        <w:r w:rsidR="002D08DD">
          <w:rPr>
            <w:noProof/>
            <w:webHidden/>
          </w:rPr>
        </w:r>
        <w:r w:rsidR="002D08DD">
          <w:rPr>
            <w:noProof/>
            <w:webHidden/>
          </w:rPr>
          <w:fldChar w:fldCharType="separate"/>
        </w:r>
        <w:r w:rsidR="002D08DD">
          <w:rPr>
            <w:noProof/>
            <w:webHidden/>
          </w:rPr>
          <w:t>12</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4" w:history="1">
        <w:r w:rsidR="002D08DD" w:rsidRPr="00073E97">
          <w:rPr>
            <w:rStyle w:val="Hyperlink"/>
            <w:noProof/>
          </w:rPr>
          <w:t>1.2 Development context</w:t>
        </w:r>
        <w:r w:rsidR="002D08DD">
          <w:rPr>
            <w:noProof/>
            <w:webHidden/>
          </w:rPr>
          <w:tab/>
        </w:r>
        <w:r w:rsidR="002D08DD">
          <w:rPr>
            <w:noProof/>
            <w:webHidden/>
          </w:rPr>
          <w:fldChar w:fldCharType="begin"/>
        </w:r>
        <w:r w:rsidR="002D08DD">
          <w:rPr>
            <w:noProof/>
            <w:webHidden/>
          </w:rPr>
          <w:instrText xml:space="preserve"> PAGEREF _Toc348711314 \h </w:instrText>
        </w:r>
        <w:r w:rsidR="002D08DD">
          <w:rPr>
            <w:noProof/>
            <w:webHidden/>
          </w:rPr>
        </w:r>
        <w:r w:rsidR="002D08DD">
          <w:rPr>
            <w:noProof/>
            <w:webHidden/>
          </w:rPr>
          <w:fldChar w:fldCharType="separate"/>
        </w:r>
        <w:r w:rsidR="002D08DD">
          <w:rPr>
            <w:noProof/>
            <w:webHidden/>
          </w:rPr>
          <w:t>13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5" w:history="1">
        <w:r w:rsidR="002D08DD" w:rsidRPr="00073E97">
          <w:rPr>
            <w:rStyle w:val="Hyperlink"/>
            <w:noProof/>
          </w:rPr>
          <w:t>1.3 Institutional structure of the education sector</w:t>
        </w:r>
        <w:r w:rsidR="002D08DD">
          <w:rPr>
            <w:noProof/>
            <w:webHidden/>
          </w:rPr>
          <w:tab/>
        </w:r>
        <w:r w:rsidR="002D08DD">
          <w:rPr>
            <w:noProof/>
            <w:webHidden/>
          </w:rPr>
          <w:fldChar w:fldCharType="begin"/>
        </w:r>
        <w:r w:rsidR="002D08DD">
          <w:rPr>
            <w:noProof/>
            <w:webHidden/>
          </w:rPr>
          <w:instrText xml:space="preserve"> PAGEREF _Toc348711315 \h </w:instrText>
        </w:r>
        <w:r w:rsidR="002D08DD">
          <w:rPr>
            <w:noProof/>
            <w:webHidden/>
          </w:rPr>
        </w:r>
        <w:r w:rsidR="002D08DD">
          <w:rPr>
            <w:noProof/>
            <w:webHidden/>
          </w:rPr>
          <w:fldChar w:fldCharType="separate"/>
        </w:r>
        <w:r w:rsidR="002D08DD">
          <w:rPr>
            <w:noProof/>
            <w:webHidden/>
          </w:rPr>
          <w:t>14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6" w:history="1">
        <w:r w:rsidR="002D08DD" w:rsidRPr="00073E97">
          <w:rPr>
            <w:rStyle w:val="Hyperlink"/>
            <w:noProof/>
          </w:rPr>
          <w:t>1.4 Budget planning and financial management responsibilities</w:t>
        </w:r>
        <w:r w:rsidR="002D08DD">
          <w:rPr>
            <w:noProof/>
            <w:webHidden/>
          </w:rPr>
          <w:tab/>
        </w:r>
        <w:r w:rsidR="002D08DD">
          <w:rPr>
            <w:noProof/>
            <w:webHidden/>
          </w:rPr>
          <w:fldChar w:fldCharType="begin"/>
        </w:r>
        <w:r w:rsidR="002D08DD">
          <w:rPr>
            <w:noProof/>
            <w:webHidden/>
          </w:rPr>
          <w:instrText xml:space="preserve"> PAGEREF _Toc348711316 \h </w:instrText>
        </w:r>
        <w:r w:rsidR="002D08DD">
          <w:rPr>
            <w:noProof/>
            <w:webHidden/>
          </w:rPr>
        </w:r>
        <w:r w:rsidR="002D08DD">
          <w:rPr>
            <w:noProof/>
            <w:webHidden/>
          </w:rPr>
          <w:fldChar w:fldCharType="separate"/>
        </w:r>
        <w:r w:rsidR="002D08DD">
          <w:rPr>
            <w:noProof/>
            <w:webHidden/>
          </w:rPr>
          <w:t>17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7" w:history="1">
        <w:r w:rsidR="002D08DD" w:rsidRPr="00073E97">
          <w:rPr>
            <w:rStyle w:val="Hyperlink"/>
            <w:noProof/>
          </w:rPr>
          <w:t>1.5 Education sector objectives and priorities</w:t>
        </w:r>
        <w:r w:rsidR="002D08DD">
          <w:rPr>
            <w:noProof/>
            <w:webHidden/>
          </w:rPr>
          <w:tab/>
        </w:r>
        <w:r w:rsidR="002D08DD">
          <w:rPr>
            <w:noProof/>
            <w:webHidden/>
          </w:rPr>
          <w:fldChar w:fldCharType="begin"/>
        </w:r>
        <w:r w:rsidR="002D08DD">
          <w:rPr>
            <w:noProof/>
            <w:webHidden/>
          </w:rPr>
          <w:instrText xml:space="preserve"> PAGEREF _Toc348711317 \h </w:instrText>
        </w:r>
        <w:r w:rsidR="002D08DD">
          <w:rPr>
            <w:noProof/>
            <w:webHidden/>
          </w:rPr>
        </w:r>
        <w:r w:rsidR="002D08DD">
          <w:rPr>
            <w:noProof/>
            <w:webHidden/>
          </w:rPr>
          <w:fldChar w:fldCharType="separate"/>
        </w:r>
        <w:r w:rsidR="002D08DD">
          <w:rPr>
            <w:noProof/>
            <w:webHidden/>
          </w:rPr>
          <w:t>18</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18" w:history="1">
        <w:r w:rsidR="002D08DD" w:rsidRPr="00073E97">
          <w:rPr>
            <w:rStyle w:val="Hyperlink"/>
            <w:noProof/>
          </w:rPr>
          <w:t>1.6 Status of sector strategy development</w:t>
        </w:r>
        <w:r w:rsidR="002D08DD">
          <w:rPr>
            <w:noProof/>
            <w:webHidden/>
          </w:rPr>
          <w:tab/>
        </w:r>
        <w:r w:rsidR="002D08DD">
          <w:rPr>
            <w:noProof/>
            <w:webHidden/>
          </w:rPr>
          <w:fldChar w:fldCharType="begin"/>
        </w:r>
        <w:r w:rsidR="002D08DD">
          <w:rPr>
            <w:noProof/>
            <w:webHidden/>
          </w:rPr>
          <w:instrText xml:space="preserve"> PAGEREF _Toc348711318 \h </w:instrText>
        </w:r>
        <w:r w:rsidR="002D08DD">
          <w:rPr>
            <w:noProof/>
            <w:webHidden/>
          </w:rPr>
        </w:r>
        <w:r w:rsidR="002D08DD">
          <w:rPr>
            <w:noProof/>
            <w:webHidden/>
          </w:rPr>
          <w:fldChar w:fldCharType="separate"/>
        </w:r>
        <w:r w:rsidR="002D08DD">
          <w:rPr>
            <w:noProof/>
            <w:webHidden/>
          </w:rPr>
          <w:t>19</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19" w:history="1">
        <w:r w:rsidR="002D08DD" w:rsidRPr="00073E97">
          <w:rPr>
            <w:rStyle w:val="Hyperlink"/>
            <w:noProof/>
          </w:rPr>
          <w:t>Section 2: Analysis</w:t>
        </w:r>
        <w:r w:rsidR="002D08DD">
          <w:rPr>
            <w:noProof/>
            <w:webHidden/>
          </w:rPr>
          <w:tab/>
        </w:r>
        <w:r w:rsidR="002D08DD">
          <w:rPr>
            <w:noProof/>
            <w:webHidden/>
          </w:rPr>
          <w:fldChar w:fldCharType="begin"/>
        </w:r>
        <w:r w:rsidR="002D08DD">
          <w:rPr>
            <w:noProof/>
            <w:webHidden/>
          </w:rPr>
          <w:instrText xml:space="preserve"> PAGEREF _Toc348711319 \h </w:instrText>
        </w:r>
        <w:r w:rsidR="002D08DD">
          <w:rPr>
            <w:noProof/>
            <w:webHidden/>
          </w:rPr>
        </w:r>
        <w:r w:rsidR="002D08DD">
          <w:rPr>
            <w:noProof/>
            <w:webHidden/>
          </w:rPr>
          <w:fldChar w:fldCharType="separate"/>
        </w:r>
        <w:r w:rsidR="002D08DD">
          <w:rPr>
            <w:noProof/>
            <w:webHidden/>
          </w:rPr>
          <w:t>23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0" w:history="1">
        <w:r w:rsidR="002D08DD" w:rsidRPr="00073E97">
          <w:rPr>
            <w:rStyle w:val="Hyperlink"/>
            <w:noProof/>
          </w:rPr>
          <w:t>2.1 Trends in education sector budgets, allocations and spending</w:t>
        </w:r>
        <w:r w:rsidR="002D08DD">
          <w:rPr>
            <w:noProof/>
            <w:webHidden/>
          </w:rPr>
          <w:tab/>
        </w:r>
        <w:r w:rsidR="002D08DD">
          <w:rPr>
            <w:noProof/>
            <w:webHidden/>
          </w:rPr>
          <w:fldChar w:fldCharType="begin"/>
        </w:r>
        <w:r w:rsidR="002D08DD">
          <w:rPr>
            <w:noProof/>
            <w:webHidden/>
          </w:rPr>
          <w:instrText xml:space="preserve"> PAGEREF _Toc348711320 \h </w:instrText>
        </w:r>
        <w:r w:rsidR="002D08DD">
          <w:rPr>
            <w:noProof/>
            <w:webHidden/>
          </w:rPr>
        </w:r>
        <w:r w:rsidR="002D08DD">
          <w:rPr>
            <w:noProof/>
            <w:webHidden/>
          </w:rPr>
          <w:fldChar w:fldCharType="separate"/>
        </w:r>
        <w:r w:rsidR="002D08DD">
          <w:rPr>
            <w:noProof/>
            <w:webHidden/>
          </w:rPr>
          <w:t>23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1" w:history="1">
        <w:r w:rsidR="002D08DD" w:rsidRPr="00073E97">
          <w:rPr>
            <w:rStyle w:val="Hyperlink"/>
            <w:noProof/>
          </w:rPr>
          <w:t>2.1.1 Structure of education sector funding</w:t>
        </w:r>
        <w:r w:rsidR="002D08DD">
          <w:rPr>
            <w:noProof/>
            <w:webHidden/>
          </w:rPr>
          <w:tab/>
        </w:r>
        <w:r w:rsidR="002D08DD">
          <w:rPr>
            <w:noProof/>
            <w:webHidden/>
          </w:rPr>
          <w:fldChar w:fldCharType="begin"/>
        </w:r>
        <w:r w:rsidR="002D08DD">
          <w:rPr>
            <w:noProof/>
            <w:webHidden/>
          </w:rPr>
          <w:instrText xml:space="preserve"> PAGEREF _Toc348711321 \h </w:instrText>
        </w:r>
        <w:r w:rsidR="002D08DD">
          <w:rPr>
            <w:noProof/>
            <w:webHidden/>
          </w:rPr>
        </w:r>
        <w:r w:rsidR="002D08DD">
          <w:rPr>
            <w:noProof/>
            <w:webHidden/>
          </w:rPr>
          <w:fldChar w:fldCharType="separate"/>
        </w:r>
        <w:r w:rsidR="002D08DD">
          <w:rPr>
            <w:noProof/>
            <w:webHidden/>
          </w:rPr>
          <w:t>23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2" w:history="1">
        <w:r w:rsidR="002D08DD" w:rsidRPr="00073E97">
          <w:rPr>
            <w:rStyle w:val="Hyperlink"/>
            <w:noProof/>
          </w:rPr>
          <w:t>2.1.2 Aggregate MoE budgets and expenditure</w:t>
        </w:r>
        <w:r w:rsidR="002D08DD">
          <w:rPr>
            <w:noProof/>
            <w:webHidden/>
          </w:rPr>
          <w:tab/>
        </w:r>
        <w:r w:rsidR="002D08DD">
          <w:rPr>
            <w:noProof/>
            <w:webHidden/>
          </w:rPr>
          <w:fldChar w:fldCharType="begin"/>
        </w:r>
        <w:r w:rsidR="002D08DD">
          <w:rPr>
            <w:noProof/>
            <w:webHidden/>
          </w:rPr>
          <w:instrText xml:space="preserve"> PAGEREF _Toc348711322 \h </w:instrText>
        </w:r>
        <w:r w:rsidR="002D08DD">
          <w:rPr>
            <w:noProof/>
            <w:webHidden/>
          </w:rPr>
        </w:r>
        <w:r w:rsidR="002D08DD">
          <w:rPr>
            <w:noProof/>
            <w:webHidden/>
          </w:rPr>
          <w:fldChar w:fldCharType="separate"/>
        </w:r>
        <w:r w:rsidR="002D08DD">
          <w:rPr>
            <w:noProof/>
            <w:webHidden/>
          </w:rPr>
          <w:t>27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3" w:history="1">
        <w:r w:rsidR="002D08DD" w:rsidRPr="00073E97">
          <w:rPr>
            <w:rStyle w:val="Hyperlink"/>
            <w:noProof/>
          </w:rPr>
          <w:t>2.1.3 Composition of MoE budgets and expenditure</w:t>
        </w:r>
        <w:r w:rsidR="002D08DD">
          <w:rPr>
            <w:noProof/>
            <w:webHidden/>
          </w:rPr>
          <w:tab/>
        </w:r>
        <w:r w:rsidR="002D08DD">
          <w:rPr>
            <w:noProof/>
            <w:webHidden/>
          </w:rPr>
          <w:fldChar w:fldCharType="begin"/>
        </w:r>
        <w:r w:rsidR="002D08DD">
          <w:rPr>
            <w:noProof/>
            <w:webHidden/>
          </w:rPr>
          <w:instrText xml:space="preserve"> PAGEREF _Toc348711323 \h </w:instrText>
        </w:r>
        <w:r w:rsidR="002D08DD">
          <w:rPr>
            <w:noProof/>
            <w:webHidden/>
          </w:rPr>
        </w:r>
        <w:r w:rsidR="002D08DD">
          <w:rPr>
            <w:noProof/>
            <w:webHidden/>
          </w:rPr>
          <w:fldChar w:fldCharType="separate"/>
        </w:r>
        <w:r w:rsidR="002D08DD">
          <w:rPr>
            <w:noProof/>
            <w:webHidden/>
          </w:rPr>
          <w:t>29</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4" w:history="1">
        <w:r w:rsidR="002D08DD" w:rsidRPr="00073E97">
          <w:rPr>
            <w:rStyle w:val="Hyperlink"/>
            <w:noProof/>
          </w:rPr>
          <w:t>2.1.4 Do MoE budgets get spent as intended?</w:t>
        </w:r>
        <w:r w:rsidR="002D08DD">
          <w:rPr>
            <w:noProof/>
            <w:webHidden/>
          </w:rPr>
          <w:tab/>
        </w:r>
        <w:r w:rsidR="002D08DD">
          <w:rPr>
            <w:noProof/>
            <w:webHidden/>
          </w:rPr>
          <w:fldChar w:fldCharType="begin"/>
        </w:r>
        <w:r w:rsidR="002D08DD">
          <w:rPr>
            <w:noProof/>
            <w:webHidden/>
          </w:rPr>
          <w:instrText xml:space="preserve"> PAGEREF _Toc348711324 \h </w:instrText>
        </w:r>
        <w:r w:rsidR="002D08DD">
          <w:rPr>
            <w:noProof/>
            <w:webHidden/>
          </w:rPr>
        </w:r>
        <w:r w:rsidR="002D08DD">
          <w:rPr>
            <w:noProof/>
            <w:webHidden/>
          </w:rPr>
          <w:fldChar w:fldCharType="separate"/>
        </w:r>
        <w:r w:rsidR="002D08DD">
          <w:rPr>
            <w:noProof/>
            <w:webHidden/>
          </w:rPr>
          <w:t>33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5" w:history="1">
        <w:r w:rsidR="002D08DD" w:rsidRPr="00073E97">
          <w:rPr>
            <w:rStyle w:val="Hyperlink"/>
            <w:noProof/>
          </w:rPr>
          <w:t>2.1.5 GoV budgets for post-secondary TVET</w:t>
        </w:r>
        <w:r w:rsidR="002D08DD">
          <w:rPr>
            <w:noProof/>
            <w:webHidden/>
          </w:rPr>
          <w:tab/>
        </w:r>
        <w:r w:rsidR="002D08DD">
          <w:rPr>
            <w:noProof/>
            <w:webHidden/>
          </w:rPr>
          <w:fldChar w:fldCharType="begin"/>
        </w:r>
        <w:r w:rsidR="002D08DD">
          <w:rPr>
            <w:noProof/>
            <w:webHidden/>
          </w:rPr>
          <w:instrText xml:space="preserve"> PAGEREF _Toc348711325 \h </w:instrText>
        </w:r>
        <w:r w:rsidR="002D08DD">
          <w:rPr>
            <w:noProof/>
            <w:webHidden/>
          </w:rPr>
        </w:r>
        <w:r w:rsidR="002D08DD">
          <w:rPr>
            <w:noProof/>
            <w:webHidden/>
          </w:rPr>
          <w:fldChar w:fldCharType="separate"/>
        </w:r>
        <w:r w:rsidR="002D08DD">
          <w:rPr>
            <w:noProof/>
            <w:webHidden/>
          </w:rPr>
          <w:t>34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6" w:history="1">
        <w:r w:rsidR="002D08DD" w:rsidRPr="00073E97">
          <w:rPr>
            <w:rStyle w:val="Hyperlink"/>
            <w:noProof/>
          </w:rPr>
          <w:t>2.1.6 Has public spending on education reflected strategic priorities?</w:t>
        </w:r>
        <w:r w:rsidR="002D08DD">
          <w:rPr>
            <w:noProof/>
            <w:webHidden/>
          </w:rPr>
          <w:tab/>
        </w:r>
        <w:r w:rsidR="002D08DD">
          <w:rPr>
            <w:noProof/>
            <w:webHidden/>
          </w:rPr>
          <w:fldChar w:fldCharType="begin"/>
        </w:r>
        <w:r w:rsidR="002D08DD">
          <w:rPr>
            <w:noProof/>
            <w:webHidden/>
          </w:rPr>
          <w:instrText xml:space="preserve"> PAGEREF _Toc348711326 \h </w:instrText>
        </w:r>
        <w:r w:rsidR="002D08DD">
          <w:rPr>
            <w:noProof/>
            <w:webHidden/>
          </w:rPr>
        </w:r>
        <w:r w:rsidR="002D08DD">
          <w:rPr>
            <w:noProof/>
            <w:webHidden/>
          </w:rPr>
          <w:fldChar w:fldCharType="separate"/>
        </w:r>
        <w:r w:rsidR="002D08DD">
          <w:rPr>
            <w:noProof/>
            <w:webHidden/>
          </w:rPr>
          <w:t>36</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7" w:history="1">
        <w:r w:rsidR="002D08DD" w:rsidRPr="00073E97">
          <w:rPr>
            <w:rStyle w:val="Hyperlink"/>
            <w:noProof/>
          </w:rPr>
          <w:t>2.2 Efficiency of public expenditure on education</w:t>
        </w:r>
        <w:r w:rsidR="002D08DD">
          <w:rPr>
            <w:noProof/>
            <w:webHidden/>
          </w:rPr>
          <w:tab/>
        </w:r>
        <w:r w:rsidR="002D08DD">
          <w:rPr>
            <w:noProof/>
            <w:webHidden/>
          </w:rPr>
          <w:fldChar w:fldCharType="begin"/>
        </w:r>
        <w:r w:rsidR="002D08DD">
          <w:rPr>
            <w:noProof/>
            <w:webHidden/>
          </w:rPr>
          <w:instrText xml:space="preserve"> PAGEREF _Toc348711327 \h </w:instrText>
        </w:r>
        <w:r w:rsidR="002D08DD">
          <w:rPr>
            <w:noProof/>
            <w:webHidden/>
          </w:rPr>
        </w:r>
        <w:r w:rsidR="002D08DD">
          <w:rPr>
            <w:noProof/>
            <w:webHidden/>
          </w:rPr>
          <w:fldChar w:fldCharType="separate"/>
        </w:r>
        <w:r w:rsidR="002D08DD">
          <w:rPr>
            <w:noProof/>
            <w:webHidden/>
          </w:rPr>
          <w:t>37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8" w:history="1">
        <w:r w:rsidR="002D08DD" w:rsidRPr="00073E97">
          <w:rPr>
            <w:rStyle w:val="Hyperlink"/>
            <w:noProof/>
          </w:rPr>
          <w:t>2.2.1 Internal efficiency of the education system</w:t>
        </w:r>
        <w:r w:rsidR="002D08DD">
          <w:rPr>
            <w:noProof/>
            <w:webHidden/>
          </w:rPr>
          <w:tab/>
        </w:r>
        <w:r w:rsidR="002D08DD">
          <w:rPr>
            <w:noProof/>
            <w:webHidden/>
          </w:rPr>
          <w:fldChar w:fldCharType="begin"/>
        </w:r>
        <w:r w:rsidR="002D08DD">
          <w:rPr>
            <w:noProof/>
            <w:webHidden/>
          </w:rPr>
          <w:instrText xml:space="preserve"> PAGEREF _Toc348711328 \h </w:instrText>
        </w:r>
        <w:r w:rsidR="002D08DD">
          <w:rPr>
            <w:noProof/>
            <w:webHidden/>
          </w:rPr>
        </w:r>
        <w:r w:rsidR="002D08DD">
          <w:rPr>
            <w:noProof/>
            <w:webHidden/>
          </w:rPr>
          <w:fldChar w:fldCharType="separate"/>
        </w:r>
        <w:r w:rsidR="002D08DD">
          <w:rPr>
            <w:noProof/>
            <w:webHidden/>
          </w:rPr>
          <w:t>37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29" w:history="1">
        <w:r w:rsidR="002D08DD" w:rsidRPr="00073E97">
          <w:rPr>
            <w:rStyle w:val="Hyperlink"/>
            <w:noProof/>
          </w:rPr>
          <w:t>2.2.2 Education system management</w:t>
        </w:r>
        <w:r w:rsidR="002D08DD">
          <w:rPr>
            <w:noProof/>
            <w:webHidden/>
          </w:rPr>
          <w:tab/>
        </w:r>
        <w:r w:rsidR="002D08DD">
          <w:rPr>
            <w:noProof/>
            <w:webHidden/>
          </w:rPr>
          <w:fldChar w:fldCharType="begin"/>
        </w:r>
        <w:r w:rsidR="002D08DD">
          <w:rPr>
            <w:noProof/>
            <w:webHidden/>
          </w:rPr>
          <w:instrText xml:space="preserve"> PAGEREF _Toc348711329 \h </w:instrText>
        </w:r>
        <w:r w:rsidR="002D08DD">
          <w:rPr>
            <w:noProof/>
            <w:webHidden/>
          </w:rPr>
        </w:r>
        <w:r w:rsidR="002D08DD">
          <w:rPr>
            <w:noProof/>
            <w:webHidden/>
          </w:rPr>
          <w:fldChar w:fldCharType="separate"/>
        </w:r>
        <w:r w:rsidR="002D08DD">
          <w:rPr>
            <w:noProof/>
            <w:webHidden/>
          </w:rPr>
          <w:t>40</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0" w:history="1">
        <w:r w:rsidR="002D08DD" w:rsidRPr="00073E97">
          <w:rPr>
            <w:rStyle w:val="Hyperlink"/>
            <w:noProof/>
          </w:rPr>
          <w:t>2.2.3 Does budgeted expenditure reach the intended beneficiaries?</w:t>
        </w:r>
        <w:r w:rsidR="002D08DD">
          <w:rPr>
            <w:noProof/>
            <w:webHidden/>
          </w:rPr>
          <w:tab/>
        </w:r>
        <w:r w:rsidR="002D08DD">
          <w:rPr>
            <w:noProof/>
            <w:webHidden/>
          </w:rPr>
          <w:fldChar w:fldCharType="begin"/>
        </w:r>
        <w:r w:rsidR="002D08DD">
          <w:rPr>
            <w:noProof/>
            <w:webHidden/>
          </w:rPr>
          <w:instrText xml:space="preserve"> PAGEREF _Toc348711330 \h </w:instrText>
        </w:r>
        <w:r w:rsidR="002D08DD">
          <w:rPr>
            <w:noProof/>
            <w:webHidden/>
          </w:rPr>
        </w:r>
        <w:r w:rsidR="002D08DD">
          <w:rPr>
            <w:noProof/>
            <w:webHidden/>
          </w:rPr>
          <w:fldChar w:fldCharType="separate"/>
        </w:r>
        <w:r w:rsidR="002D08DD">
          <w:rPr>
            <w:noProof/>
            <w:webHidden/>
          </w:rPr>
          <w:t>47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1" w:history="1">
        <w:r w:rsidR="002D08DD" w:rsidRPr="00073E97">
          <w:rPr>
            <w:rStyle w:val="Hyperlink"/>
            <w:noProof/>
          </w:rPr>
          <w:t>2.3: Equity of public expenditure on education</w:t>
        </w:r>
        <w:r w:rsidR="002D08DD">
          <w:rPr>
            <w:noProof/>
            <w:webHidden/>
          </w:rPr>
          <w:tab/>
        </w:r>
        <w:r w:rsidR="002D08DD">
          <w:rPr>
            <w:noProof/>
            <w:webHidden/>
          </w:rPr>
          <w:fldChar w:fldCharType="begin"/>
        </w:r>
        <w:r w:rsidR="002D08DD">
          <w:rPr>
            <w:noProof/>
            <w:webHidden/>
          </w:rPr>
          <w:instrText xml:space="preserve"> PAGEREF _Toc348711331 \h </w:instrText>
        </w:r>
        <w:r w:rsidR="002D08DD">
          <w:rPr>
            <w:noProof/>
            <w:webHidden/>
          </w:rPr>
        </w:r>
        <w:r w:rsidR="002D08DD">
          <w:rPr>
            <w:noProof/>
            <w:webHidden/>
          </w:rPr>
          <w:fldChar w:fldCharType="separate"/>
        </w:r>
        <w:r w:rsidR="002D08DD">
          <w:rPr>
            <w:noProof/>
            <w:webHidden/>
          </w:rPr>
          <w:t>48</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2" w:history="1">
        <w:r w:rsidR="002D08DD" w:rsidRPr="00073E97">
          <w:rPr>
            <w:rStyle w:val="Hyperlink"/>
            <w:noProof/>
          </w:rPr>
          <w:t>2.3.1 Education performance and funding at Province level</w:t>
        </w:r>
        <w:r w:rsidR="002D08DD">
          <w:rPr>
            <w:noProof/>
            <w:webHidden/>
          </w:rPr>
          <w:tab/>
        </w:r>
        <w:r w:rsidR="002D08DD">
          <w:rPr>
            <w:noProof/>
            <w:webHidden/>
          </w:rPr>
          <w:fldChar w:fldCharType="begin"/>
        </w:r>
        <w:r w:rsidR="002D08DD">
          <w:rPr>
            <w:noProof/>
            <w:webHidden/>
          </w:rPr>
          <w:instrText xml:space="preserve"> PAGEREF _Toc348711332 \h </w:instrText>
        </w:r>
        <w:r w:rsidR="002D08DD">
          <w:rPr>
            <w:noProof/>
            <w:webHidden/>
          </w:rPr>
        </w:r>
        <w:r w:rsidR="002D08DD">
          <w:rPr>
            <w:noProof/>
            <w:webHidden/>
          </w:rPr>
          <w:fldChar w:fldCharType="separate"/>
        </w:r>
        <w:r w:rsidR="002D08DD">
          <w:rPr>
            <w:noProof/>
            <w:webHidden/>
          </w:rPr>
          <w:t>48</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3" w:history="1">
        <w:r w:rsidR="002D08DD" w:rsidRPr="00073E97">
          <w:rPr>
            <w:rStyle w:val="Hyperlink"/>
            <w:noProof/>
          </w:rPr>
          <w:t>2.3.2 The rural-urban divide</w:t>
        </w:r>
        <w:r w:rsidR="002D08DD">
          <w:rPr>
            <w:noProof/>
            <w:webHidden/>
          </w:rPr>
          <w:tab/>
        </w:r>
        <w:r w:rsidR="002D08DD">
          <w:rPr>
            <w:noProof/>
            <w:webHidden/>
          </w:rPr>
          <w:fldChar w:fldCharType="begin"/>
        </w:r>
        <w:r w:rsidR="002D08DD">
          <w:rPr>
            <w:noProof/>
            <w:webHidden/>
          </w:rPr>
          <w:instrText xml:space="preserve"> PAGEREF _Toc348711333 \h </w:instrText>
        </w:r>
        <w:r w:rsidR="002D08DD">
          <w:rPr>
            <w:noProof/>
            <w:webHidden/>
          </w:rPr>
        </w:r>
        <w:r w:rsidR="002D08DD">
          <w:rPr>
            <w:noProof/>
            <w:webHidden/>
          </w:rPr>
          <w:fldChar w:fldCharType="separate"/>
        </w:r>
        <w:r w:rsidR="002D08DD">
          <w:rPr>
            <w:noProof/>
            <w:webHidden/>
          </w:rPr>
          <w:t>50</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4" w:history="1">
        <w:r w:rsidR="002D08DD" w:rsidRPr="00073E97">
          <w:rPr>
            <w:rStyle w:val="Hyperlink"/>
            <w:noProof/>
          </w:rPr>
          <w:t>2.3.3 Gender</w:t>
        </w:r>
        <w:r w:rsidR="002D08DD">
          <w:rPr>
            <w:noProof/>
            <w:webHidden/>
          </w:rPr>
          <w:tab/>
        </w:r>
        <w:r w:rsidR="002D08DD">
          <w:rPr>
            <w:noProof/>
            <w:webHidden/>
          </w:rPr>
          <w:fldChar w:fldCharType="begin"/>
        </w:r>
        <w:r w:rsidR="002D08DD">
          <w:rPr>
            <w:noProof/>
            <w:webHidden/>
          </w:rPr>
          <w:instrText xml:space="preserve"> PAGEREF _Toc348711334 \h </w:instrText>
        </w:r>
        <w:r w:rsidR="002D08DD">
          <w:rPr>
            <w:noProof/>
            <w:webHidden/>
          </w:rPr>
        </w:r>
        <w:r w:rsidR="002D08DD">
          <w:rPr>
            <w:noProof/>
            <w:webHidden/>
          </w:rPr>
          <w:fldChar w:fldCharType="separate"/>
        </w:r>
        <w:r w:rsidR="002D08DD">
          <w:rPr>
            <w:noProof/>
            <w:webHidden/>
          </w:rPr>
          <w:t>51</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5" w:history="1">
        <w:r w:rsidR="002D08DD" w:rsidRPr="00073E97">
          <w:rPr>
            <w:rStyle w:val="Hyperlink"/>
            <w:noProof/>
          </w:rPr>
          <w:t>2.3.4 Education and income/wealth</w:t>
        </w:r>
        <w:r w:rsidR="002D08DD">
          <w:rPr>
            <w:noProof/>
            <w:webHidden/>
          </w:rPr>
          <w:tab/>
        </w:r>
        <w:r w:rsidR="002D08DD">
          <w:rPr>
            <w:noProof/>
            <w:webHidden/>
          </w:rPr>
          <w:fldChar w:fldCharType="begin"/>
        </w:r>
        <w:r w:rsidR="002D08DD">
          <w:rPr>
            <w:noProof/>
            <w:webHidden/>
          </w:rPr>
          <w:instrText xml:space="preserve"> PAGEREF _Toc348711335 \h </w:instrText>
        </w:r>
        <w:r w:rsidR="002D08DD">
          <w:rPr>
            <w:noProof/>
            <w:webHidden/>
          </w:rPr>
        </w:r>
        <w:r w:rsidR="002D08DD">
          <w:rPr>
            <w:noProof/>
            <w:webHidden/>
          </w:rPr>
          <w:fldChar w:fldCharType="separate"/>
        </w:r>
        <w:r w:rsidR="002D08DD">
          <w:rPr>
            <w:noProof/>
            <w:webHidden/>
          </w:rPr>
          <w:t>54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6" w:history="1">
        <w:r w:rsidR="002D08DD" w:rsidRPr="00073E97">
          <w:rPr>
            <w:rStyle w:val="Hyperlink"/>
            <w:noProof/>
          </w:rPr>
          <w:t>2.3.5 Who benefits from public expenditure on education?</w:t>
        </w:r>
        <w:r w:rsidR="002D08DD">
          <w:rPr>
            <w:noProof/>
            <w:webHidden/>
          </w:rPr>
          <w:tab/>
        </w:r>
        <w:r w:rsidR="002D08DD">
          <w:rPr>
            <w:noProof/>
            <w:webHidden/>
          </w:rPr>
          <w:fldChar w:fldCharType="begin"/>
        </w:r>
        <w:r w:rsidR="002D08DD">
          <w:rPr>
            <w:noProof/>
            <w:webHidden/>
          </w:rPr>
          <w:instrText xml:space="preserve"> PAGEREF _Toc348711336 \h </w:instrText>
        </w:r>
        <w:r w:rsidR="002D08DD">
          <w:rPr>
            <w:noProof/>
            <w:webHidden/>
          </w:rPr>
        </w:r>
        <w:r w:rsidR="002D08DD">
          <w:rPr>
            <w:noProof/>
            <w:webHidden/>
          </w:rPr>
          <w:fldChar w:fldCharType="separate"/>
        </w:r>
        <w:r w:rsidR="002D08DD">
          <w:rPr>
            <w:noProof/>
            <w:webHidden/>
          </w:rPr>
          <w:t>55</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7" w:history="1">
        <w:r w:rsidR="002D08DD" w:rsidRPr="00073E97">
          <w:rPr>
            <w:rStyle w:val="Hyperlink"/>
            <w:noProof/>
          </w:rPr>
          <w:t>2.4 Impacts (performance outcomes)</w:t>
        </w:r>
        <w:r w:rsidR="002D08DD">
          <w:rPr>
            <w:noProof/>
            <w:webHidden/>
          </w:rPr>
          <w:tab/>
        </w:r>
        <w:r w:rsidR="002D08DD">
          <w:rPr>
            <w:noProof/>
            <w:webHidden/>
          </w:rPr>
          <w:fldChar w:fldCharType="begin"/>
        </w:r>
        <w:r w:rsidR="002D08DD">
          <w:rPr>
            <w:noProof/>
            <w:webHidden/>
          </w:rPr>
          <w:instrText xml:space="preserve"> PAGEREF _Toc348711337 \h </w:instrText>
        </w:r>
        <w:r w:rsidR="002D08DD">
          <w:rPr>
            <w:noProof/>
            <w:webHidden/>
          </w:rPr>
        </w:r>
        <w:r w:rsidR="002D08DD">
          <w:rPr>
            <w:noProof/>
            <w:webHidden/>
          </w:rPr>
          <w:fldChar w:fldCharType="separate"/>
        </w:r>
        <w:r w:rsidR="002D08DD">
          <w:rPr>
            <w:noProof/>
            <w:webHidden/>
          </w:rPr>
          <w:t>57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8" w:history="1">
        <w:r w:rsidR="002D08DD" w:rsidRPr="00073E97">
          <w:rPr>
            <w:rStyle w:val="Hyperlink"/>
            <w:noProof/>
          </w:rPr>
          <w:t>2.4.1 Impacts on access</w:t>
        </w:r>
        <w:r w:rsidR="002D08DD">
          <w:rPr>
            <w:noProof/>
            <w:webHidden/>
          </w:rPr>
          <w:tab/>
        </w:r>
        <w:r w:rsidR="002D08DD">
          <w:rPr>
            <w:noProof/>
            <w:webHidden/>
          </w:rPr>
          <w:fldChar w:fldCharType="begin"/>
        </w:r>
        <w:r w:rsidR="002D08DD">
          <w:rPr>
            <w:noProof/>
            <w:webHidden/>
          </w:rPr>
          <w:instrText xml:space="preserve"> PAGEREF _Toc348711338 \h </w:instrText>
        </w:r>
        <w:r w:rsidR="002D08DD">
          <w:rPr>
            <w:noProof/>
            <w:webHidden/>
          </w:rPr>
        </w:r>
        <w:r w:rsidR="002D08DD">
          <w:rPr>
            <w:noProof/>
            <w:webHidden/>
          </w:rPr>
          <w:fldChar w:fldCharType="separate"/>
        </w:r>
        <w:r w:rsidR="002D08DD">
          <w:rPr>
            <w:noProof/>
            <w:webHidden/>
          </w:rPr>
          <w:t>58</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39" w:history="1">
        <w:r w:rsidR="002D08DD" w:rsidRPr="00073E97">
          <w:rPr>
            <w:rStyle w:val="Hyperlink"/>
            <w:noProof/>
          </w:rPr>
          <w:t>2.4.2 Impacts on quality</w:t>
        </w:r>
        <w:r w:rsidR="002D08DD">
          <w:rPr>
            <w:noProof/>
            <w:webHidden/>
          </w:rPr>
          <w:tab/>
        </w:r>
        <w:r w:rsidR="002D08DD">
          <w:rPr>
            <w:noProof/>
            <w:webHidden/>
          </w:rPr>
          <w:fldChar w:fldCharType="begin"/>
        </w:r>
        <w:r w:rsidR="002D08DD">
          <w:rPr>
            <w:noProof/>
            <w:webHidden/>
          </w:rPr>
          <w:instrText xml:space="preserve"> PAGEREF _Toc348711339 \h </w:instrText>
        </w:r>
        <w:r w:rsidR="002D08DD">
          <w:rPr>
            <w:noProof/>
            <w:webHidden/>
          </w:rPr>
        </w:r>
        <w:r w:rsidR="002D08DD">
          <w:rPr>
            <w:noProof/>
            <w:webHidden/>
          </w:rPr>
          <w:fldChar w:fldCharType="separate"/>
        </w:r>
        <w:r w:rsidR="002D08DD">
          <w:rPr>
            <w:noProof/>
            <w:webHidden/>
          </w:rPr>
          <w:t>59</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0" w:history="1">
        <w:r w:rsidR="002D08DD" w:rsidRPr="00073E97">
          <w:rPr>
            <w:rStyle w:val="Hyperlink"/>
            <w:noProof/>
          </w:rPr>
          <w:t>2.4.3 Impacts on management performance</w:t>
        </w:r>
        <w:r w:rsidR="002D08DD">
          <w:rPr>
            <w:noProof/>
            <w:webHidden/>
          </w:rPr>
          <w:tab/>
        </w:r>
        <w:r w:rsidR="002D08DD">
          <w:rPr>
            <w:noProof/>
            <w:webHidden/>
          </w:rPr>
          <w:fldChar w:fldCharType="begin"/>
        </w:r>
        <w:r w:rsidR="002D08DD">
          <w:rPr>
            <w:noProof/>
            <w:webHidden/>
          </w:rPr>
          <w:instrText xml:space="preserve"> PAGEREF _Toc348711340 \h </w:instrText>
        </w:r>
        <w:r w:rsidR="002D08DD">
          <w:rPr>
            <w:noProof/>
            <w:webHidden/>
          </w:rPr>
        </w:r>
        <w:r w:rsidR="002D08DD">
          <w:rPr>
            <w:noProof/>
            <w:webHidden/>
          </w:rPr>
          <w:fldChar w:fldCharType="separate"/>
        </w:r>
        <w:r w:rsidR="002D08DD">
          <w:rPr>
            <w:noProof/>
            <w:webHidden/>
          </w:rPr>
          <w:t>62</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1" w:history="1">
        <w:r w:rsidR="002D08DD" w:rsidRPr="00073E97">
          <w:rPr>
            <w:rStyle w:val="Hyperlink"/>
            <w:noProof/>
          </w:rPr>
          <w:t>2.4.4 Progress towards MDG/EFA Goals 2</w:t>
        </w:r>
        <w:r w:rsidR="002D08DD">
          <w:rPr>
            <w:noProof/>
            <w:webHidden/>
          </w:rPr>
          <w:tab/>
        </w:r>
        <w:r w:rsidR="002D08DD">
          <w:rPr>
            <w:noProof/>
            <w:webHidden/>
          </w:rPr>
          <w:fldChar w:fldCharType="begin"/>
        </w:r>
        <w:r w:rsidR="002D08DD">
          <w:rPr>
            <w:noProof/>
            <w:webHidden/>
          </w:rPr>
          <w:instrText xml:space="preserve"> PAGEREF _Toc348711341 \h </w:instrText>
        </w:r>
        <w:r w:rsidR="002D08DD">
          <w:rPr>
            <w:noProof/>
            <w:webHidden/>
          </w:rPr>
        </w:r>
        <w:r w:rsidR="002D08DD">
          <w:rPr>
            <w:noProof/>
            <w:webHidden/>
          </w:rPr>
          <w:fldChar w:fldCharType="separate"/>
        </w:r>
        <w:r w:rsidR="002D08DD">
          <w:rPr>
            <w:noProof/>
            <w:webHidden/>
          </w:rPr>
          <w:t>63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2" w:history="1">
        <w:r w:rsidR="002D08DD" w:rsidRPr="00073E97">
          <w:rPr>
            <w:rStyle w:val="Hyperlink"/>
            <w:noProof/>
          </w:rPr>
          <w:t>2.4.5 Has public expenditure had its intended impacts?</w:t>
        </w:r>
        <w:r w:rsidR="002D08DD">
          <w:rPr>
            <w:noProof/>
            <w:webHidden/>
          </w:rPr>
          <w:tab/>
        </w:r>
        <w:r w:rsidR="002D08DD">
          <w:rPr>
            <w:noProof/>
            <w:webHidden/>
          </w:rPr>
          <w:fldChar w:fldCharType="begin"/>
        </w:r>
        <w:r w:rsidR="002D08DD">
          <w:rPr>
            <w:noProof/>
            <w:webHidden/>
          </w:rPr>
          <w:instrText xml:space="preserve"> PAGEREF _Toc348711342 \h </w:instrText>
        </w:r>
        <w:r w:rsidR="002D08DD">
          <w:rPr>
            <w:noProof/>
            <w:webHidden/>
          </w:rPr>
        </w:r>
        <w:r w:rsidR="002D08DD">
          <w:rPr>
            <w:noProof/>
            <w:webHidden/>
          </w:rPr>
          <w:fldChar w:fldCharType="separate"/>
        </w:r>
        <w:r w:rsidR="002D08DD">
          <w:rPr>
            <w:noProof/>
            <w:webHidden/>
          </w:rPr>
          <w:t>64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3" w:history="1">
        <w:r w:rsidR="002D08DD" w:rsidRPr="00073E97">
          <w:rPr>
            <w:rStyle w:val="Hyperlink"/>
            <w:noProof/>
          </w:rPr>
          <w:t>2.5 Financial projections</w:t>
        </w:r>
        <w:r w:rsidR="002D08DD">
          <w:rPr>
            <w:noProof/>
            <w:webHidden/>
          </w:rPr>
          <w:tab/>
        </w:r>
        <w:r w:rsidR="002D08DD">
          <w:rPr>
            <w:noProof/>
            <w:webHidden/>
          </w:rPr>
          <w:fldChar w:fldCharType="begin"/>
        </w:r>
        <w:r w:rsidR="002D08DD">
          <w:rPr>
            <w:noProof/>
            <w:webHidden/>
          </w:rPr>
          <w:instrText xml:space="preserve"> PAGEREF _Toc348711343 \h </w:instrText>
        </w:r>
        <w:r w:rsidR="002D08DD">
          <w:rPr>
            <w:noProof/>
            <w:webHidden/>
          </w:rPr>
        </w:r>
        <w:r w:rsidR="002D08DD">
          <w:rPr>
            <w:noProof/>
            <w:webHidden/>
          </w:rPr>
          <w:fldChar w:fldCharType="separate"/>
        </w:r>
        <w:r w:rsidR="002D08DD">
          <w:rPr>
            <w:noProof/>
            <w:webHidden/>
          </w:rPr>
          <w:t>64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4" w:history="1">
        <w:r w:rsidR="002D08DD" w:rsidRPr="00073E97">
          <w:rPr>
            <w:rStyle w:val="Hyperlink"/>
            <w:noProof/>
          </w:rPr>
          <w:t>2.5.1 Introduction</w:t>
        </w:r>
        <w:r w:rsidR="002D08DD">
          <w:rPr>
            <w:noProof/>
            <w:webHidden/>
          </w:rPr>
          <w:tab/>
        </w:r>
        <w:r w:rsidR="002D08DD">
          <w:rPr>
            <w:noProof/>
            <w:webHidden/>
          </w:rPr>
          <w:fldChar w:fldCharType="begin"/>
        </w:r>
        <w:r w:rsidR="002D08DD">
          <w:rPr>
            <w:noProof/>
            <w:webHidden/>
          </w:rPr>
          <w:instrText xml:space="preserve"> PAGEREF _Toc348711344 \h </w:instrText>
        </w:r>
        <w:r w:rsidR="002D08DD">
          <w:rPr>
            <w:noProof/>
            <w:webHidden/>
          </w:rPr>
        </w:r>
        <w:r w:rsidR="002D08DD">
          <w:rPr>
            <w:noProof/>
            <w:webHidden/>
          </w:rPr>
          <w:fldChar w:fldCharType="separate"/>
        </w:r>
        <w:r w:rsidR="002D08DD">
          <w:rPr>
            <w:noProof/>
            <w:webHidden/>
          </w:rPr>
          <w:t>64</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5" w:history="1">
        <w:r w:rsidR="002D08DD" w:rsidRPr="00073E97">
          <w:rPr>
            <w:rStyle w:val="Hyperlink"/>
            <w:noProof/>
          </w:rPr>
          <w:t>2.5.2 Teacher numbers and emoluments</w:t>
        </w:r>
        <w:r w:rsidR="002D08DD">
          <w:rPr>
            <w:noProof/>
            <w:webHidden/>
          </w:rPr>
          <w:tab/>
        </w:r>
        <w:r w:rsidR="002D08DD">
          <w:rPr>
            <w:noProof/>
            <w:webHidden/>
          </w:rPr>
          <w:fldChar w:fldCharType="begin"/>
        </w:r>
        <w:r w:rsidR="002D08DD">
          <w:rPr>
            <w:noProof/>
            <w:webHidden/>
          </w:rPr>
          <w:instrText xml:space="preserve"> PAGEREF _Toc348711345 \h </w:instrText>
        </w:r>
        <w:r w:rsidR="002D08DD">
          <w:rPr>
            <w:noProof/>
            <w:webHidden/>
          </w:rPr>
        </w:r>
        <w:r w:rsidR="002D08DD">
          <w:rPr>
            <w:noProof/>
            <w:webHidden/>
          </w:rPr>
          <w:fldChar w:fldCharType="separate"/>
        </w:r>
        <w:r w:rsidR="002D08DD">
          <w:rPr>
            <w:noProof/>
            <w:webHidden/>
          </w:rPr>
          <w:t>65</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6" w:history="1">
        <w:r w:rsidR="002D08DD" w:rsidRPr="00073E97">
          <w:rPr>
            <w:rStyle w:val="Hyperlink"/>
            <w:noProof/>
          </w:rPr>
          <w:t>2.5.3 School grants</w:t>
        </w:r>
        <w:r w:rsidR="002D08DD">
          <w:rPr>
            <w:noProof/>
            <w:webHidden/>
          </w:rPr>
          <w:tab/>
        </w:r>
        <w:r w:rsidR="002D08DD">
          <w:rPr>
            <w:noProof/>
            <w:webHidden/>
          </w:rPr>
          <w:fldChar w:fldCharType="begin"/>
        </w:r>
        <w:r w:rsidR="002D08DD">
          <w:rPr>
            <w:noProof/>
            <w:webHidden/>
          </w:rPr>
          <w:instrText xml:space="preserve"> PAGEREF _Toc348711346 \h </w:instrText>
        </w:r>
        <w:r w:rsidR="002D08DD">
          <w:rPr>
            <w:noProof/>
            <w:webHidden/>
          </w:rPr>
        </w:r>
        <w:r w:rsidR="002D08DD">
          <w:rPr>
            <w:noProof/>
            <w:webHidden/>
          </w:rPr>
          <w:fldChar w:fldCharType="separate"/>
        </w:r>
        <w:r w:rsidR="002D08DD">
          <w:rPr>
            <w:noProof/>
            <w:webHidden/>
          </w:rPr>
          <w:t>66</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7" w:history="1">
        <w:r w:rsidR="002D08DD" w:rsidRPr="00073E97">
          <w:rPr>
            <w:rStyle w:val="Hyperlink"/>
            <w:noProof/>
          </w:rPr>
          <w:t>2.5.4 VIT and VITE</w:t>
        </w:r>
        <w:r w:rsidR="002D08DD">
          <w:rPr>
            <w:noProof/>
            <w:webHidden/>
          </w:rPr>
          <w:tab/>
        </w:r>
        <w:r w:rsidR="002D08DD">
          <w:rPr>
            <w:noProof/>
            <w:webHidden/>
          </w:rPr>
          <w:fldChar w:fldCharType="begin"/>
        </w:r>
        <w:r w:rsidR="002D08DD">
          <w:rPr>
            <w:noProof/>
            <w:webHidden/>
          </w:rPr>
          <w:instrText xml:space="preserve"> PAGEREF _Toc348711347 \h </w:instrText>
        </w:r>
        <w:r w:rsidR="002D08DD">
          <w:rPr>
            <w:noProof/>
            <w:webHidden/>
          </w:rPr>
        </w:r>
        <w:r w:rsidR="002D08DD">
          <w:rPr>
            <w:noProof/>
            <w:webHidden/>
          </w:rPr>
          <w:fldChar w:fldCharType="separate"/>
        </w:r>
        <w:r w:rsidR="002D08DD">
          <w:rPr>
            <w:noProof/>
            <w:webHidden/>
          </w:rPr>
          <w:t>67</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8" w:history="1">
        <w:r w:rsidR="002D08DD" w:rsidRPr="00073E97">
          <w:rPr>
            <w:rStyle w:val="Hyperlink"/>
            <w:noProof/>
          </w:rPr>
          <w:t>2.5.5 Scholarships</w:t>
        </w:r>
        <w:r w:rsidR="002D08DD">
          <w:rPr>
            <w:noProof/>
            <w:webHidden/>
          </w:rPr>
          <w:tab/>
        </w:r>
        <w:r w:rsidR="002D08DD">
          <w:rPr>
            <w:noProof/>
            <w:webHidden/>
          </w:rPr>
          <w:fldChar w:fldCharType="begin"/>
        </w:r>
        <w:r w:rsidR="002D08DD">
          <w:rPr>
            <w:noProof/>
            <w:webHidden/>
          </w:rPr>
          <w:instrText xml:space="preserve"> PAGEREF _Toc348711348 \h </w:instrText>
        </w:r>
        <w:r w:rsidR="002D08DD">
          <w:rPr>
            <w:noProof/>
            <w:webHidden/>
          </w:rPr>
        </w:r>
        <w:r w:rsidR="002D08DD">
          <w:rPr>
            <w:noProof/>
            <w:webHidden/>
          </w:rPr>
          <w:fldChar w:fldCharType="separate"/>
        </w:r>
        <w:r w:rsidR="002D08DD">
          <w:rPr>
            <w:noProof/>
            <w:webHidden/>
          </w:rPr>
          <w:t>68</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49" w:history="1">
        <w:r w:rsidR="002D08DD" w:rsidRPr="00073E97">
          <w:rPr>
            <w:rStyle w:val="Hyperlink"/>
            <w:noProof/>
          </w:rPr>
          <w:t>2.5.6 School maintenance</w:t>
        </w:r>
        <w:r w:rsidR="002D08DD">
          <w:rPr>
            <w:noProof/>
            <w:webHidden/>
          </w:rPr>
          <w:tab/>
        </w:r>
        <w:r w:rsidR="002D08DD">
          <w:rPr>
            <w:noProof/>
            <w:webHidden/>
          </w:rPr>
          <w:fldChar w:fldCharType="begin"/>
        </w:r>
        <w:r w:rsidR="002D08DD">
          <w:rPr>
            <w:noProof/>
            <w:webHidden/>
          </w:rPr>
          <w:instrText xml:space="preserve"> PAGEREF _Toc348711349 \h </w:instrText>
        </w:r>
        <w:r w:rsidR="002D08DD">
          <w:rPr>
            <w:noProof/>
            <w:webHidden/>
          </w:rPr>
        </w:r>
        <w:r w:rsidR="002D08DD">
          <w:rPr>
            <w:noProof/>
            <w:webHidden/>
          </w:rPr>
          <w:fldChar w:fldCharType="separate"/>
        </w:r>
        <w:r w:rsidR="002D08DD">
          <w:rPr>
            <w:noProof/>
            <w:webHidden/>
          </w:rPr>
          <w:t>69</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0" w:history="1">
        <w:r w:rsidR="002D08DD" w:rsidRPr="00073E97">
          <w:rPr>
            <w:rStyle w:val="Hyperlink"/>
            <w:noProof/>
          </w:rPr>
          <w:t>2.5.7 MoE ‘corporate overhead’</w:t>
        </w:r>
        <w:r w:rsidR="002D08DD">
          <w:rPr>
            <w:noProof/>
            <w:webHidden/>
          </w:rPr>
          <w:tab/>
        </w:r>
        <w:r w:rsidR="002D08DD">
          <w:rPr>
            <w:noProof/>
            <w:webHidden/>
          </w:rPr>
          <w:fldChar w:fldCharType="begin"/>
        </w:r>
        <w:r w:rsidR="002D08DD">
          <w:rPr>
            <w:noProof/>
            <w:webHidden/>
          </w:rPr>
          <w:instrText xml:space="preserve"> PAGEREF _Toc348711350 \h </w:instrText>
        </w:r>
        <w:r w:rsidR="002D08DD">
          <w:rPr>
            <w:noProof/>
            <w:webHidden/>
          </w:rPr>
        </w:r>
        <w:r w:rsidR="002D08DD">
          <w:rPr>
            <w:noProof/>
            <w:webHidden/>
          </w:rPr>
          <w:fldChar w:fldCharType="separate"/>
        </w:r>
        <w:r w:rsidR="002D08DD">
          <w:rPr>
            <w:noProof/>
            <w:webHidden/>
          </w:rPr>
          <w:t>69</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1" w:history="1">
        <w:r w:rsidR="002D08DD" w:rsidRPr="00073E97">
          <w:rPr>
            <w:rStyle w:val="Hyperlink"/>
            <w:noProof/>
          </w:rPr>
          <w:t>2.5.8 Can the GoV afford UPE/UBE?</w:t>
        </w:r>
        <w:r w:rsidR="002D08DD">
          <w:rPr>
            <w:noProof/>
            <w:webHidden/>
          </w:rPr>
          <w:tab/>
        </w:r>
        <w:r w:rsidR="002D08DD">
          <w:rPr>
            <w:noProof/>
            <w:webHidden/>
          </w:rPr>
          <w:fldChar w:fldCharType="begin"/>
        </w:r>
        <w:r w:rsidR="002D08DD">
          <w:rPr>
            <w:noProof/>
            <w:webHidden/>
          </w:rPr>
          <w:instrText xml:space="preserve"> PAGEREF _Toc348711351 \h </w:instrText>
        </w:r>
        <w:r w:rsidR="002D08DD">
          <w:rPr>
            <w:noProof/>
            <w:webHidden/>
          </w:rPr>
        </w:r>
        <w:r w:rsidR="002D08DD">
          <w:rPr>
            <w:noProof/>
            <w:webHidden/>
          </w:rPr>
          <w:fldChar w:fldCharType="separate"/>
        </w:r>
        <w:r w:rsidR="002D08DD">
          <w:rPr>
            <w:noProof/>
            <w:webHidden/>
          </w:rPr>
          <w:t>70</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52" w:history="1">
        <w:r w:rsidR="002D08DD" w:rsidRPr="00073E97">
          <w:rPr>
            <w:rStyle w:val="Hyperlink"/>
            <w:noProof/>
          </w:rPr>
          <w:t>Section 3: Findings and recommendations</w:t>
        </w:r>
        <w:r w:rsidR="002D08DD">
          <w:rPr>
            <w:noProof/>
            <w:webHidden/>
          </w:rPr>
          <w:tab/>
        </w:r>
        <w:r w:rsidR="002D08DD">
          <w:rPr>
            <w:noProof/>
            <w:webHidden/>
          </w:rPr>
          <w:fldChar w:fldCharType="begin"/>
        </w:r>
        <w:r w:rsidR="002D08DD">
          <w:rPr>
            <w:noProof/>
            <w:webHidden/>
          </w:rPr>
          <w:instrText xml:space="preserve"> PAGEREF _Toc348711352 \h </w:instrText>
        </w:r>
        <w:r w:rsidR="002D08DD">
          <w:rPr>
            <w:noProof/>
            <w:webHidden/>
          </w:rPr>
        </w:r>
        <w:r w:rsidR="002D08DD">
          <w:rPr>
            <w:noProof/>
            <w:webHidden/>
          </w:rPr>
          <w:fldChar w:fldCharType="separate"/>
        </w:r>
        <w:r w:rsidR="002D08DD">
          <w:rPr>
            <w:noProof/>
            <w:webHidden/>
          </w:rPr>
          <w:t>73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3" w:history="1">
        <w:r w:rsidR="002D08DD" w:rsidRPr="00073E97">
          <w:rPr>
            <w:rStyle w:val="Hyperlink"/>
            <w:noProof/>
          </w:rPr>
          <w:t>3.1 Findings</w:t>
        </w:r>
        <w:r w:rsidR="002D08DD">
          <w:rPr>
            <w:noProof/>
            <w:webHidden/>
          </w:rPr>
          <w:tab/>
        </w:r>
        <w:r w:rsidR="002D08DD">
          <w:rPr>
            <w:noProof/>
            <w:webHidden/>
          </w:rPr>
          <w:fldChar w:fldCharType="begin"/>
        </w:r>
        <w:r w:rsidR="002D08DD">
          <w:rPr>
            <w:noProof/>
            <w:webHidden/>
          </w:rPr>
          <w:instrText xml:space="preserve"> PAGEREF _Toc348711353 \h </w:instrText>
        </w:r>
        <w:r w:rsidR="002D08DD">
          <w:rPr>
            <w:noProof/>
            <w:webHidden/>
          </w:rPr>
        </w:r>
        <w:r w:rsidR="002D08DD">
          <w:rPr>
            <w:noProof/>
            <w:webHidden/>
          </w:rPr>
          <w:fldChar w:fldCharType="separate"/>
        </w:r>
        <w:r w:rsidR="002D08DD">
          <w:rPr>
            <w:noProof/>
            <w:webHidden/>
          </w:rPr>
          <w:t>73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4" w:history="1">
        <w:r w:rsidR="002D08DD" w:rsidRPr="00073E97">
          <w:rPr>
            <w:rStyle w:val="Hyperlink"/>
            <w:noProof/>
          </w:rPr>
          <w:t>3.2 Recommendations</w:t>
        </w:r>
        <w:r w:rsidR="002D08DD">
          <w:rPr>
            <w:noProof/>
            <w:webHidden/>
          </w:rPr>
          <w:tab/>
        </w:r>
        <w:r w:rsidR="002D08DD">
          <w:rPr>
            <w:noProof/>
            <w:webHidden/>
          </w:rPr>
          <w:fldChar w:fldCharType="begin"/>
        </w:r>
        <w:r w:rsidR="002D08DD">
          <w:rPr>
            <w:noProof/>
            <w:webHidden/>
          </w:rPr>
          <w:instrText xml:space="preserve"> PAGEREF _Toc348711354 \h </w:instrText>
        </w:r>
        <w:r w:rsidR="002D08DD">
          <w:rPr>
            <w:noProof/>
            <w:webHidden/>
          </w:rPr>
        </w:r>
        <w:r w:rsidR="002D08DD">
          <w:rPr>
            <w:noProof/>
            <w:webHidden/>
          </w:rPr>
          <w:fldChar w:fldCharType="separate"/>
        </w:r>
        <w:r w:rsidR="002D08DD">
          <w:rPr>
            <w:noProof/>
            <w:webHidden/>
          </w:rPr>
          <w:t>77</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55" w:history="1">
        <w:r w:rsidR="002D08DD" w:rsidRPr="00073E97">
          <w:rPr>
            <w:rStyle w:val="Hyperlink"/>
            <w:noProof/>
          </w:rPr>
          <w:t>Section 4: Monitoring and Evaluation</w:t>
        </w:r>
        <w:r w:rsidR="002D08DD">
          <w:rPr>
            <w:noProof/>
            <w:webHidden/>
          </w:rPr>
          <w:tab/>
        </w:r>
        <w:r w:rsidR="002D08DD">
          <w:rPr>
            <w:noProof/>
            <w:webHidden/>
          </w:rPr>
          <w:fldChar w:fldCharType="begin"/>
        </w:r>
        <w:r w:rsidR="002D08DD">
          <w:rPr>
            <w:noProof/>
            <w:webHidden/>
          </w:rPr>
          <w:instrText xml:space="preserve"> PAGEREF _Toc348711355 \h </w:instrText>
        </w:r>
        <w:r w:rsidR="002D08DD">
          <w:rPr>
            <w:noProof/>
            <w:webHidden/>
          </w:rPr>
        </w:r>
        <w:r w:rsidR="002D08DD">
          <w:rPr>
            <w:noProof/>
            <w:webHidden/>
          </w:rPr>
          <w:fldChar w:fldCharType="separate"/>
        </w:r>
        <w:r w:rsidR="002D08DD">
          <w:rPr>
            <w:noProof/>
            <w:webHidden/>
          </w:rPr>
          <w:t>82</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6" w:history="1">
        <w:r w:rsidR="002D08DD" w:rsidRPr="00073E97">
          <w:rPr>
            <w:rStyle w:val="Hyperlink"/>
            <w:noProof/>
          </w:rPr>
          <w:t>4.1 Introduction</w:t>
        </w:r>
        <w:r w:rsidR="002D08DD">
          <w:rPr>
            <w:noProof/>
            <w:webHidden/>
          </w:rPr>
          <w:tab/>
        </w:r>
        <w:r w:rsidR="002D08DD">
          <w:rPr>
            <w:noProof/>
            <w:webHidden/>
          </w:rPr>
          <w:fldChar w:fldCharType="begin"/>
        </w:r>
        <w:r w:rsidR="002D08DD">
          <w:rPr>
            <w:noProof/>
            <w:webHidden/>
          </w:rPr>
          <w:instrText xml:space="preserve"> PAGEREF _Toc348711356 \h </w:instrText>
        </w:r>
        <w:r w:rsidR="002D08DD">
          <w:rPr>
            <w:noProof/>
            <w:webHidden/>
          </w:rPr>
        </w:r>
        <w:r w:rsidR="002D08DD">
          <w:rPr>
            <w:noProof/>
            <w:webHidden/>
          </w:rPr>
          <w:fldChar w:fldCharType="separate"/>
        </w:r>
        <w:r w:rsidR="002D08DD">
          <w:rPr>
            <w:noProof/>
            <w:webHidden/>
          </w:rPr>
          <w:t>82</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7" w:history="1">
        <w:r w:rsidR="002D08DD" w:rsidRPr="00073E97">
          <w:rPr>
            <w:rStyle w:val="Hyperlink"/>
            <w:noProof/>
          </w:rPr>
          <w:t>4.2 Current status of M&amp;E</w:t>
        </w:r>
        <w:r w:rsidR="002D08DD">
          <w:rPr>
            <w:noProof/>
            <w:webHidden/>
          </w:rPr>
          <w:tab/>
        </w:r>
        <w:r w:rsidR="002D08DD">
          <w:rPr>
            <w:noProof/>
            <w:webHidden/>
          </w:rPr>
          <w:fldChar w:fldCharType="begin"/>
        </w:r>
        <w:r w:rsidR="002D08DD">
          <w:rPr>
            <w:noProof/>
            <w:webHidden/>
          </w:rPr>
          <w:instrText xml:space="preserve"> PAGEREF _Toc348711357 \h </w:instrText>
        </w:r>
        <w:r w:rsidR="002D08DD">
          <w:rPr>
            <w:noProof/>
            <w:webHidden/>
          </w:rPr>
        </w:r>
        <w:r w:rsidR="002D08DD">
          <w:rPr>
            <w:noProof/>
            <w:webHidden/>
          </w:rPr>
          <w:fldChar w:fldCharType="separate"/>
        </w:r>
        <w:r w:rsidR="002D08DD">
          <w:rPr>
            <w:noProof/>
            <w:webHidden/>
          </w:rPr>
          <w:t>83</w:t>
        </w:r>
        <w:r w:rsidR="002D08DD">
          <w:rPr>
            <w:noProof/>
            <w:webHidden/>
          </w:rPr>
          <w:fldChar w:fldCharType="end"/>
        </w:r>
      </w:hyperlink>
    </w:p>
    <w:p w:rsidR="002D08DD" w:rsidRDefault="007B3AE1">
      <w:pPr>
        <w:pStyle w:val="TOC2"/>
        <w:tabs>
          <w:tab w:val="right" w:leader="dot" w:pos="9344"/>
        </w:tabs>
        <w:rPr>
          <w:rFonts w:eastAsiaTheme="minorEastAsia" w:cstheme="minorBidi"/>
          <w:smallCaps w:val="0"/>
          <w:noProof/>
          <w:sz w:val="22"/>
          <w:szCs w:val="22"/>
          <w:lang w:eastAsia="en-AU"/>
        </w:rPr>
      </w:pPr>
      <w:hyperlink w:anchor="_Toc348711358" w:history="1">
        <w:r w:rsidR="002D08DD" w:rsidRPr="00073E97">
          <w:rPr>
            <w:rStyle w:val="Hyperlink"/>
            <w:noProof/>
          </w:rPr>
          <w:t>4.3 Some suggested priorities for improvement</w:t>
        </w:r>
        <w:r w:rsidR="002D08DD">
          <w:rPr>
            <w:noProof/>
            <w:webHidden/>
          </w:rPr>
          <w:tab/>
        </w:r>
        <w:r w:rsidR="002D08DD">
          <w:rPr>
            <w:noProof/>
            <w:webHidden/>
          </w:rPr>
          <w:fldChar w:fldCharType="begin"/>
        </w:r>
        <w:r w:rsidR="002D08DD">
          <w:rPr>
            <w:noProof/>
            <w:webHidden/>
          </w:rPr>
          <w:instrText xml:space="preserve"> PAGEREF _Toc348711358 \h </w:instrText>
        </w:r>
        <w:r w:rsidR="002D08DD">
          <w:rPr>
            <w:noProof/>
            <w:webHidden/>
          </w:rPr>
        </w:r>
        <w:r w:rsidR="002D08DD">
          <w:rPr>
            <w:noProof/>
            <w:webHidden/>
          </w:rPr>
          <w:fldChar w:fldCharType="separate"/>
        </w:r>
        <w:r w:rsidR="002D08DD">
          <w:rPr>
            <w:noProof/>
            <w:webHidden/>
          </w:rPr>
          <w:t>84</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59" w:history="1">
        <w:r w:rsidR="002D08DD" w:rsidRPr="00073E97">
          <w:rPr>
            <w:rStyle w:val="Hyperlink"/>
            <w:noProof/>
          </w:rPr>
          <w:t>Annex 1: Abbreviated Terms of Reference</w:t>
        </w:r>
        <w:r w:rsidR="002D08DD">
          <w:rPr>
            <w:noProof/>
            <w:webHidden/>
          </w:rPr>
          <w:tab/>
        </w:r>
        <w:r w:rsidR="002D08DD">
          <w:rPr>
            <w:noProof/>
            <w:webHidden/>
          </w:rPr>
          <w:fldChar w:fldCharType="begin"/>
        </w:r>
        <w:r w:rsidR="002D08DD">
          <w:rPr>
            <w:noProof/>
            <w:webHidden/>
          </w:rPr>
          <w:instrText xml:space="preserve"> PAGEREF _Toc348711359 \h </w:instrText>
        </w:r>
        <w:r w:rsidR="002D08DD">
          <w:rPr>
            <w:noProof/>
            <w:webHidden/>
          </w:rPr>
        </w:r>
        <w:r w:rsidR="002D08DD">
          <w:rPr>
            <w:noProof/>
            <w:webHidden/>
          </w:rPr>
          <w:fldChar w:fldCharType="separate"/>
        </w:r>
        <w:r w:rsidR="002D08DD">
          <w:rPr>
            <w:noProof/>
            <w:webHidden/>
          </w:rPr>
          <w:t>87</w:t>
        </w:r>
        <w:r w:rsidR="002D08DD">
          <w:rPr>
            <w:noProof/>
            <w:webHidden/>
          </w:rPr>
          <w:fldChar w:fldCharType="end"/>
        </w:r>
      </w:hyperlink>
    </w:p>
    <w:p w:rsidR="002D08DD" w:rsidRDefault="007B3AE1">
      <w:pPr>
        <w:pStyle w:val="TOC1"/>
        <w:tabs>
          <w:tab w:val="right" w:leader="dot" w:pos="9344"/>
        </w:tabs>
        <w:rPr>
          <w:rFonts w:eastAsiaTheme="minorEastAsia" w:cstheme="minorBidi"/>
          <w:b w:val="0"/>
          <w:bCs w:val="0"/>
          <w:caps w:val="0"/>
          <w:noProof/>
          <w:sz w:val="22"/>
          <w:szCs w:val="22"/>
          <w:lang w:eastAsia="en-AU"/>
        </w:rPr>
      </w:pPr>
      <w:hyperlink w:anchor="_Toc348711360" w:history="1">
        <w:r w:rsidR="002D08DD" w:rsidRPr="00073E97">
          <w:rPr>
            <w:rStyle w:val="Hyperlink"/>
            <w:noProof/>
          </w:rPr>
          <w:t>Annex 2: Principal documents reviewed</w:t>
        </w:r>
        <w:r w:rsidR="002D08DD">
          <w:rPr>
            <w:noProof/>
            <w:webHidden/>
          </w:rPr>
          <w:tab/>
        </w:r>
        <w:r w:rsidR="002D08DD">
          <w:rPr>
            <w:noProof/>
            <w:webHidden/>
          </w:rPr>
          <w:fldChar w:fldCharType="begin"/>
        </w:r>
        <w:r w:rsidR="002D08DD">
          <w:rPr>
            <w:noProof/>
            <w:webHidden/>
          </w:rPr>
          <w:instrText xml:space="preserve"> PAGEREF _Toc348711360 \h </w:instrText>
        </w:r>
        <w:r w:rsidR="002D08DD">
          <w:rPr>
            <w:noProof/>
            <w:webHidden/>
          </w:rPr>
        </w:r>
        <w:r w:rsidR="002D08DD">
          <w:rPr>
            <w:noProof/>
            <w:webHidden/>
          </w:rPr>
          <w:fldChar w:fldCharType="separate"/>
        </w:r>
        <w:r w:rsidR="002D08DD">
          <w:rPr>
            <w:noProof/>
            <w:webHidden/>
          </w:rPr>
          <w:t>90</w:t>
        </w:r>
        <w:r w:rsidR="002D08DD">
          <w:rPr>
            <w:noProof/>
            <w:webHidden/>
          </w:rPr>
          <w:fldChar w:fldCharType="end"/>
        </w:r>
      </w:hyperlink>
    </w:p>
    <w:p w:rsidR="00617B8E" w:rsidRDefault="00E30EA7" w:rsidP="00617B8E">
      <w:pPr>
        <w:pStyle w:val="Heading1"/>
        <w:spacing w:before="120"/>
      </w:pPr>
      <w:r>
        <w:rPr>
          <w:rFonts w:cs="Times New Roman"/>
        </w:rPr>
        <w:lastRenderedPageBreak/>
        <w:fldChar w:fldCharType="end"/>
      </w:r>
      <w:bookmarkStart w:id="1" w:name="_Toc348711309"/>
      <w:r w:rsidR="00B96CA0">
        <w:t>List of Tables</w:t>
      </w:r>
      <w:r w:rsidR="00617B8E">
        <w:t xml:space="preserve"> and Figures</w:t>
      </w:r>
      <w:bookmarkEnd w:id="1"/>
    </w:p>
    <w:p w:rsidR="006D0559" w:rsidRPr="00617B8E" w:rsidRDefault="00617B8E" w:rsidP="00617B8E">
      <w:pPr>
        <w:pStyle w:val="Heading3"/>
      </w:pPr>
      <w:r>
        <w:t>Tables</w:t>
      </w:r>
    </w:p>
    <w:tbl>
      <w:tblPr>
        <w:tblStyle w:val="TableGrid"/>
        <w:tblW w:w="0" w:type="auto"/>
        <w:jc w:val="center"/>
        <w:tblLook w:val="04A0" w:firstRow="1" w:lastRow="0" w:firstColumn="1" w:lastColumn="0" w:noHBand="0" w:noVBand="1"/>
        <w:tblCaption w:val="List of Tables"/>
        <w:tblDescription w:val="Provides page number references for all tables in the document. "/>
      </w:tblPr>
      <w:tblGrid>
        <w:gridCol w:w="608"/>
        <w:gridCol w:w="7877"/>
        <w:gridCol w:w="12"/>
        <w:gridCol w:w="683"/>
      </w:tblGrid>
      <w:tr w:rsidR="00B96CA0" w:rsidTr="00142AAB">
        <w:trPr>
          <w:tblHeader/>
          <w:jc w:val="center"/>
        </w:trPr>
        <w:tc>
          <w:tcPr>
            <w:tcW w:w="608" w:type="dxa"/>
            <w:shd w:val="clear" w:color="auto" w:fill="BFBFBF" w:themeFill="background1" w:themeFillShade="BF"/>
          </w:tcPr>
          <w:p w:rsidR="00B96CA0" w:rsidRDefault="00B96CA0" w:rsidP="006D0559"/>
        </w:tc>
        <w:tc>
          <w:tcPr>
            <w:tcW w:w="7889" w:type="dxa"/>
            <w:gridSpan w:val="2"/>
            <w:shd w:val="clear" w:color="auto" w:fill="BFBFBF" w:themeFill="background1" w:themeFillShade="BF"/>
          </w:tcPr>
          <w:p w:rsidR="00B96CA0" w:rsidRDefault="00B96CA0" w:rsidP="006D0559"/>
        </w:tc>
        <w:tc>
          <w:tcPr>
            <w:tcW w:w="683" w:type="dxa"/>
            <w:shd w:val="clear" w:color="auto" w:fill="BFBFBF" w:themeFill="background1" w:themeFillShade="BF"/>
          </w:tcPr>
          <w:p w:rsidR="00B96CA0" w:rsidRDefault="00B96CA0" w:rsidP="00356D92">
            <w:pPr>
              <w:jc w:val="center"/>
            </w:pPr>
            <w:r>
              <w:t>Page</w:t>
            </w:r>
          </w:p>
        </w:tc>
      </w:tr>
      <w:tr w:rsidR="007717B4" w:rsidTr="00B96CA0">
        <w:trPr>
          <w:jc w:val="center"/>
        </w:trPr>
        <w:tc>
          <w:tcPr>
            <w:tcW w:w="608" w:type="dxa"/>
          </w:tcPr>
          <w:p w:rsidR="007717B4" w:rsidRDefault="007717B4" w:rsidP="006D0559">
            <w:r>
              <w:t xml:space="preserve"> 1</w:t>
            </w:r>
          </w:p>
        </w:tc>
        <w:tc>
          <w:tcPr>
            <w:tcW w:w="7889" w:type="dxa"/>
            <w:gridSpan w:val="2"/>
          </w:tcPr>
          <w:p w:rsidR="007717B4" w:rsidRDefault="007717B4" w:rsidP="006D0559">
            <w:r>
              <w:t>Overview of ECE, Primary and Secondary sectors, 2011</w:t>
            </w:r>
          </w:p>
        </w:tc>
        <w:tc>
          <w:tcPr>
            <w:tcW w:w="683" w:type="dxa"/>
          </w:tcPr>
          <w:p w:rsidR="007717B4" w:rsidRDefault="00D061AC" w:rsidP="00356D92">
            <w:pPr>
              <w:jc w:val="center"/>
            </w:pPr>
            <w:r>
              <w:t>14</w:t>
            </w:r>
          </w:p>
        </w:tc>
      </w:tr>
      <w:tr w:rsidR="007717B4" w:rsidTr="00B96CA0">
        <w:trPr>
          <w:jc w:val="center"/>
        </w:trPr>
        <w:tc>
          <w:tcPr>
            <w:tcW w:w="608" w:type="dxa"/>
          </w:tcPr>
          <w:p w:rsidR="007717B4" w:rsidRDefault="007717B4" w:rsidP="006D0559">
            <w:r>
              <w:t xml:space="preserve"> 2</w:t>
            </w:r>
          </w:p>
        </w:tc>
        <w:tc>
          <w:tcPr>
            <w:tcW w:w="7889" w:type="dxa"/>
            <w:gridSpan w:val="2"/>
          </w:tcPr>
          <w:p w:rsidR="007717B4" w:rsidRDefault="007717B4" w:rsidP="006D0559">
            <w:r>
              <w:t>Number of students enrolled in selected post-secondary institutions, 2011</w:t>
            </w:r>
          </w:p>
        </w:tc>
        <w:tc>
          <w:tcPr>
            <w:tcW w:w="683" w:type="dxa"/>
          </w:tcPr>
          <w:p w:rsidR="007717B4" w:rsidRDefault="00D061AC" w:rsidP="00356D92">
            <w:pPr>
              <w:jc w:val="center"/>
            </w:pPr>
            <w:r>
              <w:t>15</w:t>
            </w:r>
          </w:p>
        </w:tc>
      </w:tr>
      <w:tr w:rsidR="007717B4" w:rsidTr="00B96CA0">
        <w:trPr>
          <w:jc w:val="center"/>
        </w:trPr>
        <w:tc>
          <w:tcPr>
            <w:tcW w:w="608" w:type="dxa"/>
          </w:tcPr>
          <w:p w:rsidR="007717B4" w:rsidRDefault="007717B4" w:rsidP="006D0559">
            <w:r>
              <w:t xml:space="preserve"> 3</w:t>
            </w:r>
          </w:p>
        </w:tc>
        <w:tc>
          <w:tcPr>
            <w:tcW w:w="7889" w:type="dxa"/>
            <w:gridSpan w:val="2"/>
          </w:tcPr>
          <w:p w:rsidR="007717B4" w:rsidRDefault="007717B4" w:rsidP="006D0559">
            <w:r>
              <w:rPr>
                <w:lang w:val="en-US"/>
              </w:rPr>
              <w:t>Principal institutions and functions</w:t>
            </w:r>
          </w:p>
        </w:tc>
        <w:tc>
          <w:tcPr>
            <w:tcW w:w="683" w:type="dxa"/>
          </w:tcPr>
          <w:p w:rsidR="007717B4" w:rsidRDefault="003A5614" w:rsidP="00356D92">
            <w:pPr>
              <w:jc w:val="center"/>
            </w:pPr>
            <w:r>
              <w:t>1</w:t>
            </w:r>
            <w:r w:rsidR="00D061AC">
              <w:t>5</w:t>
            </w:r>
          </w:p>
        </w:tc>
      </w:tr>
      <w:tr w:rsidR="007717B4" w:rsidTr="00B96CA0">
        <w:trPr>
          <w:jc w:val="center"/>
        </w:trPr>
        <w:tc>
          <w:tcPr>
            <w:tcW w:w="608" w:type="dxa"/>
          </w:tcPr>
          <w:p w:rsidR="007717B4" w:rsidRDefault="007717B4" w:rsidP="006D0559">
            <w:r>
              <w:t xml:space="preserve"> 4</w:t>
            </w:r>
          </w:p>
        </w:tc>
        <w:tc>
          <w:tcPr>
            <w:tcW w:w="7889" w:type="dxa"/>
            <w:gridSpan w:val="2"/>
          </w:tcPr>
          <w:p w:rsidR="007717B4" w:rsidRDefault="007717B4" w:rsidP="006D0559">
            <w:pPr>
              <w:rPr>
                <w:lang w:val="en-US"/>
              </w:rPr>
            </w:pPr>
            <w:r>
              <w:t>Budget planning and financial management responsibilities</w:t>
            </w:r>
          </w:p>
        </w:tc>
        <w:tc>
          <w:tcPr>
            <w:tcW w:w="683" w:type="dxa"/>
          </w:tcPr>
          <w:p w:rsidR="007717B4" w:rsidRDefault="003A5614" w:rsidP="00356D92">
            <w:pPr>
              <w:jc w:val="center"/>
            </w:pPr>
            <w:r>
              <w:t>1</w:t>
            </w:r>
            <w:r w:rsidR="00D061AC">
              <w:t>7</w:t>
            </w:r>
          </w:p>
        </w:tc>
      </w:tr>
      <w:tr w:rsidR="007717B4" w:rsidTr="00B96CA0">
        <w:trPr>
          <w:jc w:val="center"/>
        </w:trPr>
        <w:tc>
          <w:tcPr>
            <w:tcW w:w="608" w:type="dxa"/>
          </w:tcPr>
          <w:p w:rsidR="007717B4" w:rsidRDefault="007717B4" w:rsidP="006D0559">
            <w:r>
              <w:t xml:space="preserve"> 5</w:t>
            </w:r>
          </w:p>
        </w:tc>
        <w:tc>
          <w:tcPr>
            <w:tcW w:w="7889" w:type="dxa"/>
            <w:gridSpan w:val="2"/>
          </w:tcPr>
          <w:p w:rsidR="007717B4" w:rsidRDefault="007717B4" w:rsidP="006D0559">
            <w:r>
              <w:t>Vanuatu education sector objectives and priorities</w:t>
            </w:r>
          </w:p>
        </w:tc>
        <w:tc>
          <w:tcPr>
            <w:tcW w:w="683" w:type="dxa"/>
          </w:tcPr>
          <w:p w:rsidR="007717B4" w:rsidRDefault="00D061AC" w:rsidP="00356D92">
            <w:pPr>
              <w:jc w:val="center"/>
            </w:pPr>
            <w:r>
              <w:t>21</w:t>
            </w:r>
          </w:p>
        </w:tc>
      </w:tr>
      <w:tr w:rsidR="007717B4" w:rsidTr="00B96CA0">
        <w:trPr>
          <w:jc w:val="center"/>
        </w:trPr>
        <w:tc>
          <w:tcPr>
            <w:tcW w:w="608" w:type="dxa"/>
          </w:tcPr>
          <w:p w:rsidR="007717B4" w:rsidRDefault="007717B4" w:rsidP="006D0559">
            <w:r>
              <w:t xml:space="preserve"> 6</w:t>
            </w:r>
          </w:p>
        </w:tc>
        <w:tc>
          <w:tcPr>
            <w:tcW w:w="7889" w:type="dxa"/>
            <w:gridSpan w:val="2"/>
          </w:tcPr>
          <w:p w:rsidR="007717B4" w:rsidRDefault="007717B4" w:rsidP="006D0559">
            <w:r>
              <w:t xml:space="preserve">Funding of Vanuatu’s education sector flowing through </w:t>
            </w:r>
            <w:proofErr w:type="spellStart"/>
            <w:r>
              <w:t>GoV</w:t>
            </w:r>
            <w:proofErr w:type="spellEnd"/>
            <w:r>
              <w:t xml:space="preserve"> on-budget accounts 2011-2012</w:t>
            </w:r>
          </w:p>
        </w:tc>
        <w:tc>
          <w:tcPr>
            <w:tcW w:w="683" w:type="dxa"/>
          </w:tcPr>
          <w:p w:rsidR="007717B4" w:rsidRDefault="003A5614" w:rsidP="00356D92">
            <w:pPr>
              <w:jc w:val="center"/>
            </w:pPr>
            <w:r>
              <w:t>2</w:t>
            </w:r>
            <w:r w:rsidR="00D061AC">
              <w:t>4</w:t>
            </w:r>
          </w:p>
        </w:tc>
      </w:tr>
      <w:tr w:rsidR="007717B4" w:rsidTr="00B96CA0">
        <w:trPr>
          <w:jc w:val="center"/>
        </w:trPr>
        <w:tc>
          <w:tcPr>
            <w:tcW w:w="608" w:type="dxa"/>
          </w:tcPr>
          <w:p w:rsidR="007717B4" w:rsidRDefault="007717B4" w:rsidP="006D0559">
            <w:r>
              <w:t xml:space="preserve"> 7</w:t>
            </w:r>
          </w:p>
        </w:tc>
        <w:tc>
          <w:tcPr>
            <w:tcW w:w="7889" w:type="dxa"/>
            <w:gridSpan w:val="2"/>
          </w:tcPr>
          <w:p w:rsidR="007717B4" w:rsidRDefault="007717B4" w:rsidP="006D0559">
            <w:proofErr w:type="spellStart"/>
            <w:r>
              <w:t>MoE</w:t>
            </w:r>
            <w:proofErr w:type="spellEnd"/>
            <w:r>
              <w:t xml:space="preserve"> estimates of development partner funding sources, 2011</w:t>
            </w:r>
          </w:p>
        </w:tc>
        <w:tc>
          <w:tcPr>
            <w:tcW w:w="683" w:type="dxa"/>
          </w:tcPr>
          <w:p w:rsidR="007717B4" w:rsidRDefault="003A5614" w:rsidP="00356D92">
            <w:pPr>
              <w:jc w:val="center"/>
            </w:pPr>
            <w:r>
              <w:t>2</w:t>
            </w:r>
            <w:r w:rsidR="00D061AC">
              <w:t>5</w:t>
            </w:r>
          </w:p>
        </w:tc>
      </w:tr>
      <w:tr w:rsidR="007717B4" w:rsidTr="00B96CA0">
        <w:trPr>
          <w:jc w:val="center"/>
        </w:trPr>
        <w:tc>
          <w:tcPr>
            <w:tcW w:w="608" w:type="dxa"/>
          </w:tcPr>
          <w:p w:rsidR="007717B4" w:rsidRDefault="007717B4" w:rsidP="006D0559">
            <w:r>
              <w:t xml:space="preserve"> 8</w:t>
            </w:r>
          </w:p>
        </w:tc>
        <w:tc>
          <w:tcPr>
            <w:tcW w:w="7889" w:type="dxa"/>
            <w:gridSpan w:val="2"/>
          </w:tcPr>
          <w:p w:rsidR="007717B4" w:rsidRDefault="007717B4" w:rsidP="006D0559">
            <w:r>
              <w:t>School Grants as a proportion of total credits to a sample of school bank accounts, 2011</w:t>
            </w:r>
          </w:p>
        </w:tc>
        <w:tc>
          <w:tcPr>
            <w:tcW w:w="683" w:type="dxa"/>
          </w:tcPr>
          <w:p w:rsidR="007717B4" w:rsidRDefault="003A5614" w:rsidP="00356D92">
            <w:pPr>
              <w:jc w:val="center"/>
            </w:pPr>
            <w:r>
              <w:t>2</w:t>
            </w:r>
            <w:r w:rsidR="00D061AC">
              <w:t>6</w:t>
            </w:r>
          </w:p>
        </w:tc>
      </w:tr>
      <w:tr w:rsidR="007717B4" w:rsidTr="00B96CA0">
        <w:trPr>
          <w:jc w:val="center"/>
        </w:trPr>
        <w:tc>
          <w:tcPr>
            <w:tcW w:w="608" w:type="dxa"/>
          </w:tcPr>
          <w:p w:rsidR="007717B4" w:rsidRDefault="007717B4" w:rsidP="006D0559">
            <w:r>
              <w:t xml:space="preserve"> 9</w:t>
            </w:r>
          </w:p>
        </w:tc>
        <w:tc>
          <w:tcPr>
            <w:tcW w:w="7889" w:type="dxa"/>
            <w:gridSpan w:val="2"/>
          </w:tcPr>
          <w:p w:rsidR="007717B4" w:rsidRDefault="007717B4" w:rsidP="006D0559">
            <w:r>
              <w:t>Average monthly expenditure per household on school fees, 2010 (Vatu)</w:t>
            </w:r>
          </w:p>
        </w:tc>
        <w:tc>
          <w:tcPr>
            <w:tcW w:w="683" w:type="dxa"/>
          </w:tcPr>
          <w:p w:rsidR="007717B4" w:rsidRDefault="003A5614" w:rsidP="00356D92">
            <w:pPr>
              <w:jc w:val="center"/>
            </w:pPr>
            <w:r>
              <w:t>2</w:t>
            </w:r>
            <w:r w:rsidR="00D061AC">
              <w:t>7</w:t>
            </w:r>
          </w:p>
        </w:tc>
      </w:tr>
      <w:tr w:rsidR="007717B4" w:rsidTr="00B96CA0">
        <w:trPr>
          <w:jc w:val="center"/>
        </w:trPr>
        <w:tc>
          <w:tcPr>
            <w:tcW w:w="608" w:type="dxa"/>
          </w:tcPr>
          <w:p w:rsidR="007717B4" w:rsidRDefault="007717B4" w:rsidP="006D0559">
            <w:r>
              <w:t>10</w:t>
            </w:r>
          </w:p>
        </w:tc>
        <w:tc>
          <w:tcPr>
            <w:tcW w:w="7889" w:type="dxa"/>
            <w:gridSpan w:val="2"/>
          </w:tcPr>
          <w:p w:rsidR="007717B4" w:rsidRDefault="007717B4" w:rsidP="006D0559">
            <w:r>
              <w:t>Regional Comparisons for 2008</w:t>
            </w:r>
          </w:p>
        </w:tc>
        <w:tc>
          <w:tcPr>
            <w:tcW w:w="683" w:type="dxa"/>
          </w:tcPr>
          <w:p w:rsidR="007717B4" w:rsidRDefault="00D061AC" w:rsidP="00356D92">
            <w:pPr>
              <w:jc w:val="center"/>
            </w:pPr>
            <w:r>
              <w:t>28</w:t>
            </w:r>
          </w:p>
        </w:tc>
      </w:tr>
      <w:tr w:rsidR="007717B4" w:rsidTr="00B96CA0">
        <w:trPr>
          <w:jc w:val="center"/>
        </w:trPr>
        <w:tc>
          <w:tcPr>
            <w:tcW w:w="608" w:type="dxa"/>
          </w:tcPr>
          <w:p w:rsidR="007717B4" w:rsidRDefault="007717B4" w:rsidP="006D0559">
            <w:r>
              <w:t>11</w:t>
            </w:r>
          </w:p>
        </w:tc>
        <w:tc>
          <w:tcPr>
            <w:tcW w:w="7889" w:type="dxa"/>
            <w:gridSpan w:val="2"/>
          </w:tcPr>
          <w:p w:rsidR="007717B4" w:rsidRDefault="007717B4" w:rsidP="006D0559">
            <w:proofErr w:type="spellStart"/>
            <w:r>
              <w:t>MoE</w:t>
            </w:r>
            <w:proofErr w:type="spellEnd"/>
            <w:r>
              <w:t xml:space="preserve"> budgeted recurrent expenditure, teacher salaries and numbers in real terms, 2007 and 2011</w:t>
            </w:r>
          </w:p>
        </w:tc>
        <w:tc>
          <w:tcPr>
            <w:tcW w:w="683" w:type="dxa"/>
          </w:tcPr>
          <w:p w:rsidR="007717B4" w:rsidRDefault="003A5614" w:rsidP="00356D92">
            <w:pPr>
              <w:jc w:val="center"/>
            </w:pPr>
            <w:r>
              <w:t>2</w:t>
            </w:r>
            <w:r w:rsidR="00D061AC">
              <w:t>9</w:t>
            </w:r>
          </w:p>
        </w:tc>
      </w:tr>
      <w:tr w:rsidR="007717B4" w:rsidTr="00B96CA0">
        <w:trPr>
          <w:jc w:val="center"/>
        </w:trPr>
        <w:tc>
          <w:tcPr>
            <w:tcW w:w="608" w:type="dxa"/>
          </w:tcPr>
          <w:p w:rsidR="007717B4" w:rsidRDefault="007717B4" w:rsidP="006D0559">
            <w:r>
              <w:t>12</w:t>
            </w:r>
          </w:p>
        </w:tc>
        <w:tc>
          <w:tcPr>
            <w:tcW w:w="7889" w:type="dxa"/>
            <w:gridSpan w:val="2"/>
          </w:tcPr>
          <w:p w:rsidR="007717B4" w:rsidRDefault="007717B4" w:rsidP="006D0559">
            <w:proofErr w:type="spellStart"/>
            <w:r>
              <w:t>MoE</w:t>
            </w:r>
            <w:proofErr w:type="spellEnd"/>
            <w:r>
              <w:t xml:space="preserve"> sub-sector shares of actual expenditure 2008-2011</w:t>
            </w:r>
          </w:p>
        </w:tc>
        <w:tc>
          <w:tcPr>
            <w:tcW w:w="683" w:type="dxa"/>
          </w:tcPr>
          <w:p w:rsidR="007717B4" w:rsidRDefault="00D061AC" w:rsidP="00356D92">
            <w:pPr>
              <w:jc w:val="center"/>
            </w:pPr>
            <w:r>
              <w:t>30</w:t>
            </w:r>
          </w:p>
        </w:tc>
      </w:tr>
      <w:tr w:rsidR="007717B4" w:rsidTr="00B96CA0">
        <w:trPr>
          <w:jc w:val="center"/>
        </w:trPr>
        <w:tc>
          <w:tcPr>
            <w:tcW w:w="608" w:type="dxa"/>
          </w:tcPr>
          <w:p w:rsidR="007717B4" w:rsidRDefault="007717B4" w:rsidP="006D0559">
            <w:r>
              <w:t>13</w:t>
            </w:r>
          </w:p>
        </w:tc>
        <w:tc>
          <w:tcPr>
            <w:tcW w:w="7889" w:type="dxa"/>
            <w:gridSpan w:val="2"/>
          </w:tcPr>
          <w:p w:rsidR="007717B4" w:rsidRDefault="007717B4" w:rsidP="006D0559">
            <w:r w:rsidRPr="00517108">
              <w:t xml:space="preserve">Major percentage </w:t>
            </w:r>
            <w:r>
              <w:t xml:space="preserve">increases in budgets at current prices for Goods/Services and Subsidies/Transfers </w:t>
            </w:r>
            <w:r w:rsidRPr="00517108">
              <w:t>between 2007</w:t>
            </w:r>
            <w:r>
              <w:t xml:space="preserve"> and </w:t>
            </w:r>
            <w:r w:rsidRPr="00517108">
              <w:t>2012</w:t>
            </w:r>
          </w:p>
        </w:tc>
        <w:tc>
          <w:tcPr>
            <w:tcW w:w="683" w:type="dxa"/>
          </w:tcPr>
          <w:p w:rsidR="007717B4" w:rsidRDefault="00D061AC" w:rsidP="00356D92">
            <w:pPr>
              <w:jc w:val="center"/>
            </w:pPr>
            <w:r>
              <w:t>33</w:t>
            </w:r>
          </w:p>
        </w:tc>
      </w:tr>
      <w:tr w:rsidR="007717B4" w:rsidTr="00B96CA0">
        <w:trPr>
          <w:jc w:val="center"/>
        </w:trPr>
        <w:tc>
          <w:tcPr>
            <w:tcW w:w="608" w:type="dxa"/>
          </w:tcPr>
          <w:p w:rsidR="007717B4" w:rsidRDefault="007717B4" w:rsidP="006D0559">
            <w:r>
              <w:t>14</w:t>
            </w:r>
          </w:p>
        </w:tc>
        <w:tc>
          <w:tcPr>
            <w:tcW w:w="7889" w:type="dxa"/>
            <w:gridSpan w:val="2"/>
          </w:tcPr>
          <w:p w:rsidR="007717B4" w:rsidRDefault="007717B4" w:rsidP="006D0559">
            <w:proofErr w:type="spellStart"/>
            <w:r>
              <w:t>MoE</w:t>
            </w:r>
            <w:proofErr w:type="spellEnd"/>
            <w:r>
              <w:t xml:space="preserve"> original and final budgets and actual expenditure, 2008 to 2011</w:t>
            </w:r>
          </w:p>
        </w:tc>
        <w:tc>
          <w:tcPr>
            <w:tcW w:w="683" w:type="dxa"/>
          </w:tcPr>
          <w:p w:rsidR="007717B4" w:rsidRDefault="003A5614" w:rsidP="00356D92">
            <w:pPr>
              <w:jc w:val="center"/>
            </w:pPr>
            <w:r>
              <w:t>3</w:t>
            </w:r>
            <w:r w:rsidR="00D061AC">
              <w:t>4</w:t>
            </w:r>
          </w:p>
        </w:tc>
      </w:tr>
      <w:tr w:rsidR="007717B4" w:rsidTr="00B96CA0">
        <w:trPr>
          <w:jc w:val="center"/>
        </w:trPr>
        <w:tc>
          <w:tcPr>
            <w:tcW w:w="608" w:type="dxa"/>
          </w:tcPr>
          <w:p w:rsidR="007717B4" w:rsidRDefault="007717B4" w:rsidP="006D0559">
            <w:r>
              <w:t>15</w:t>
            </w:r>
          </w:p>
        </w:tc>
        <w:tc>
          <w:tcPr>
            <w:tcW w:w="7889" w:type="dxa"/>
            <w:gridSpan w:val="2"/>
          </w:tcPr>
          <w:p w:rsidR="007717B4" w:rsidRDefault="007717B4" w:rsidP="006D0559">
            <w:r>
              <w:t>Percentage changes in sub sector budgeted expenditures, 2011 on 2007, in real terms (2006 prices)</w:t>
            </w:r>
          </w:p>
        </w:tc>
        <w:tc>
          <w:tcPr>
            <w:tcW w:w="683" w:type="dxa"/>
          </w:tcPr>
          <w:p w:rsidR="007717B4" w:rsidRDefault="003A5614" w:rsidP="00356D92">
            <w:pPr>
              <w:jc w:val="center"/>
            </w:pPr>
            <w:r>
              <w:t>3</w:t>
            </w:r>
            <w:r w:rsidR="00D061AC">
              <w:t>6</w:t>
            </w:r>
          </w:p>
        </w:tc>
      </w:tr>
      <w:tr w:rsidR="007717B4" w:rsidTr="00B96CA0">
        <w:trPr>
          <w:jc w:val="center"/>
        </w:trPr>
        <w:tc>
          <w:tcPr>
            <w:tcW w:w="608" w:type="dxa"/>
          </w:tcPr>
          <w:p w:rsidR="007717B4" w:rsidRDefault="007717B4" w:rsidP="006D0559">
            <w:r>
              <w:t>16</w:t>
            </w:r>
          </w:p>
        </w:tc>
        <w:tc>
          <w:tcPr>
            <w:tcW w:w="7889" w:type="dxa"/>
            <w:gridSpan w:val="2"/>
          </w:tcPr>
          <w:p w:rsidR="007717B4" w:rsidRDefault="007717B4" w:rsidP="006D0559">
            <w:r>
              <w:t>Proportion of persons aged 6 to 19 years inclusive attending school</w:t>
            </w:r>
          </w:p>
        </w:tc>
        <w:tc>
          <w:tcPr>
            <w:tcW w:w="683" w:type="dxa"/>
          </w:tcPr>
          <w:p w:rsidR="007717B4" w:rsidRDefault="003A5614" w:rsidP="00356D92">
            <w:pPr>
              <w:jc w:val="center"/>
            </w:pPr>
            <w:r>
              <w:t>3</w:t>
            </w:r>
            <w:r w:rsidR="00D061AC">
              <w:t>7</w:t>
            </w:r>
          </w:p>
        </w:tc>
      </w:tr>
      <w:tr w:rsidR="007717B4" w:rsidTr="00B96CA0">
        <w:trPr>
          <w:jc w:val="center"/>
        </w:trPr>
        <w:tc>
          <w:tcPr>
            <w:tcW w:w="608" w:type="dxa"/>
          </w:tcPr>
          <w:p w:rsidR="007717B4" w:rsidRDefault="007717B4" w:rsidP="006D0559">
            <w:r>
              <w:t>17</w:t>
            </w:r>
          </w:p>
        </w:tc>
        <w:tc>
          <w:tcPr>
            <w:tcW w:w="7889" w:type="dxa"/>
            <w:gridSpan w:val="2"/>
          </w:tcPr>
          <w:p w:rsidR="007717B4" w:rsidRDefault="007717B4" w:rsidP="006D0559">
            <w:r>
              <w:t>Statistics on access and quality</w:t>
            </w:r>
          </w:p>
        </w:tc>
        <w:tc>
          <w:tcPr>
            <w:tcW w:w="683" w:type="dxa"/>
          </w:tcPr>
          <w:p w:rsidR="007717B4" w:rsidRDefault="003A5614" w:rsidP="00356D92">
            <w:pPr>
              <w:jc w:val="center"/>
            </w:pPr>
            <w:r>
              <w:t>3</w:t>
            </w:r>
            <w:r w:rsidR="00D061AC">
              <w:t>8</w:t>
            </w:r>
          </w:p>
        </w:tc>
      </w:tr>
      <w:tr w:rsidR="007717B4" w:rsidTr="00B96CA0">
        <w:trPr>
          <w:jc w:val="center"/>
        </w:trPr>
        <w:tc>
          <w:tcPr>
            <w:tcW w:w="608" w:type="dxa"/>
          </w:tcPr>
          <w:p w:rsidR="007717B4" w:rsidRDefault="007717B4" w:rsidP="006D0559">
            <w:r>
              <w:t>18</w:t>
            </w:r>
          </w:p>
        </w:tc>
        <w:tc>
          <w:tcPr>
            <w:tcW w:w="7889" w:type="dxa"/>
            <w:gridSpan w:val="2"/>
          </w:tcPr>
          <w:p w:rsidR="007717B4" w:rsidRDefault="00356D92" w:rsidP="00356D92">
            <w:r>
              <w:t>Pacific region education indicators</w:t>
            </w:r>
          </w:p>
        </w:tc>
        <w:tc>
          <w:tcPr>
            <w:tcW w:w="683" w:type="dxa"/>
          </w:tcPr>
          <w:p w:rsidR="007717B4" w:rsidRDefault="003A5614">
            <w:pPr>
              <w:jc w:val="center"/>
            </w:pPr>
            <w:r>
              <w:t>3</w:t>
            </w:r>
            <w:r w:rsidR="00D061AC">
              <w:t>9</w:t>
            </w:r>
          </w:p>
        </w:tc>
      </w:tr>
      <w:tr w:rsidR="007717B4" w:rsidTr="00B96CA0">
        <w:trPr>
          <w:jc w:val="center"/>
        </w:trPr>
        <w:tc>
          <w:tcPr>
            <w:tcW w:w="608" w:type="dxa"/>
          </w:tcPr>
          <w:p w:rsidR="007717B4" w:rsidRDefault="007717B4" w:rsidP="006D0559">
            <w:r>
              <w:t>19</w:t>
            </w:r>
          </w:p>
        </w:tc>
        <w:tc>
          <w:tcPr>
            <w:tcW w:w="7889" w:type="dxa"/>
            <w:gridSpan w:val="2"/>
          </w:tcPr>
          <w:p w:rsidR="007717B4" w:rsidRDefault="007717B4" w:rsidP="006D0559">
            <w:r>
              <w:t>Original budgets and actual expenditure for primary and secondary teacher salaries (VT million)</w:t>
            </w:r>
          </w:p>
        </w:tc>
        <w:tc>
          <w:tcPr>
            <w:tcW w:w="683" w:type="dxa"/>
          </w:tcPr>
          <w:p w:rsidR="007717B4" w:rsidRDefault="00D061AC" w:rsidP="00356D92">
            <w:pPr>
              <w:jc w:val="center"/>
            </w:pPr>
            <w:r>
              <w:t>41</w:t>
            </w:r>
          </w:p>
        </w:tc>
      </w:tr>
      <w:tr w:rsidR="007717B4" w:rsidTr="00B96CA0">
        <w:trPr>
          <w:jc w:val="center"/>
        </w:trPr>
        <w:tc>
          <w:tcPr>
            <w:tcW w:w="608" w:type="dxa"/>
          </w:tcPr>
          <w:p w:rsidR="007717B4" w:rsidRDefault="007717B4" w:rsidP="006D0559">
            <w:r>
              <w:t>20</w:t>
            </w:r>
          </w:p>
        </w:tc>
        <w:tc>
          <w:tcPr>
            <w:tcW w:w="7889" w:type="dxa"/>
            <w:gridSpan w:val="2"/>
          </w:tcPr>
          <w:p w:rsidR="007717B4" w:rsidRDefault="007717B4" w:rsidP="006D0559">
            <w:r>
              <w:t xml:space="preserve">Key features of </w:t>
            </w:r>
            <w:proofErr w:type="spellStart"/>
            <w:r>
              <w:t>MoE</w:t>
            </w:r>
            <w:proofErr w:type="spellEnd"/>
            <w:r>
              <w:t xml:space="preserve"> planning, budgeting, financial management and internal audit</w:t>
            </w:r>
          </w:p>
        </w:tc>
        <w:tc>
          <w:tcPr>
            <w:tcW w:w="683" w:type="dxa"/>
          </w:tcPr>
          <w:p w:rsidR="007717B4" w:rsidRDefault="00D061AC" w:rsidP="00356D92">
            <w:pPr>
              <w:jc w:val="center"/>
            </w:pPr>
            <w:r>
              <w:t>45</w:t>
            </w:r>
          </w:p>
        </w:tc>
      </w:tr>
      <w:tr w:rsidR="007717B4" w:rsidTr="00B96CA0">
        <w:trPr>
          <w:jc w:val="center"/>
        </w:trPr>
        <w:tc>
          <w:tcPr>
            <w:tcW w:w="608" w:type="dxa"/>
          </w:tcPr>
          <w:p w:rsidR="007717B4" w:rsidRDefault="007717B4" w:rsidP="006D0559">
            <w:r>
              <w:t>21</w:t>
            </w:r>
          </w:p>
        </w:tc>
        <w:tc>
          <w:tcPr>
            <w:tcW w:w="7889" w:type="dxa"/>
            <w:gridSpan w:val="2"/>
          </w:tcPr>
          <w:p w:rsidR="007717B4" w:rsidRDefault="007717B4" w:rsidP="006D0559">
            <w:r>
              <w:t xml:space="preserve">Informal MFEM assessments of </w:t>
            </w:r>
            <w:proofErr w:type="spellStart"/>
            <w:r>
              <w:t>MoE</w:t>
            </w:r>
            <w:proofErr w:type="spellEnd"/>
            <w:r>
              <w:t xml:space="preserve"> performance against the 2009 PEFA ratings</w:t>
            </w:r>
          </w:p>
        </w:tc>
        <w:tc>
          <w:tcPr>
            <w:tcW w:w="683" w:type="dxa"/>
          </w:tcPr>
          <w:p w:rsidR="007717B4" w:rsidRDefault="003A5614" w:rsidP="00356D92">
            <w:pPr>
              <w:jc w:val="center"/>
            </w:pPr>
            <w:r>
              <w:t>4</w:t>
            </w:r>
            <w:r w:rsidR="00D061AC">
              <w:t>6</w:t>
            </w:r>
          </w:p>
        </w:tc>
      </w:tr>
      <w:tr w:rsidR="007717B4" w:rsidTr="00B96CA0">
        <w:trPr>
          <w:jc w:val="center"/>
        </w:trPr>
        <w:tc>
          <w:tcPr>
            <w:tcW w:w="608" w:type="dxa"/>
          </w:tcPr>
          <w:p w:rsidR="007717B4" w:rsidRDefault="007717B4" w:rsidP="006D0559">
            <w:r>
              <w:t>22</w:t>
            </w:r>
          </w:p>
        </w:tc>
        <w:tc>
          <w:tcPr>
            <w:tcW w:w="7889" w:type="dxa"/>
            <w:gridSpan w:val="2"/>
          </w:tcPr>
          <w:p w:rsidR="007717B4" w:rsidRDefault="007717B4" w:rsidP="006D0559">
            <w:r w:rsidRPr="00413D58">
              <w:t>Selected primary and secondary education indicators by Province</w:t>
            </w:r>
          </w:p>
        </w:tc>
        <w:tc>
          <w:tcPr>
            <w:tcW w:w="683" w:type="dxa"/>
          </w:tcPr>
          <w:p w:rsidR="007717B4" w:rsidRDefault="003A5614" w:rsidP="00356D92">
            <w:pPr>
              <w:jc w:val="center"/>
            </w:pPr>
            <w:r>
              <w:t>4</w:t>
            </w:r>
            <w:r w:rsidR="00D061AC">
              <w:t>8</w:t>
            </w:r>
          </w:p>
        </w:tc>
      </w:tr>
      <w:tr w:rsidR="007717B4" w:rsidTr="00B96CA0">
        <w:trPr>
          <w:jc w:val="center"/>
        </w:trPr>
        <w:tc>
          <w:tcPr>
            <w:tcW w:w="608" w:type="dxa"/>
          </w:tcPr>
          <w:p w:rsidR="007717B4" w:rsidRDefault="007717B4" w:rsidP="006D0559">
            <w:r>
              <w:t>23</w:t>
            </w:r>
          </w:p>
        </w:tc>
        <w:tc>
          <w:tcPr>
            <w:tcW w:w="7889" w:type="dxa"/>
            <w:gridSpan w:val="2"/>
          </w:tcPr>
          <w:p w:rsidR="007717B4" w:rsidRDefault="007717B4" w:rsidP="00356D92">
            <w:r w:rsidRPr="00413D58">
              <w:t xml:space="preserve">Selected </w:t>
            </w:r>
            <w:r w:rsidR="00356D92">
              <w:t xml:space="preserve">scholarship </w:t>
            </w:r>
            <w:r w:rsidRPr="00413D58">
              <w:t>indicators by Province</w:t>
            </w:r>
          </w:p>
        </w:tc>
        <w:tc>
          <w:tcPr>
            <w:tcW w:w="683" w:type="dxa"/>
          </w:tcPr>
          <w:p w:rsidR="007717B4" w:rsidRDefault="00D061AC">
            <w:pPr>
              <w:jc w:val="center"/>
            </w:pPr>
            <w:r>
              <w:t>50</w:t>
            </w:r>
          </w:p>
        </w:tc>
      </w:tr>
      <w:tr w:rsidR="007717B4" w:rsidTr="00B96CA0">
        <w:trPr>
          <w:jc w:val="center"/>
        </w:trPr>
        <w:tc>
          <w:tcPr>
            <w:tcW w:w="608" w:type="dxa"/>
          </w:tcPr>
          <w:p w:rsidR="007717B4" w:rsidRDefault="007717B4" w:rsidP="006D0559">
            <w:r>
              <w:t>24</w:t>
            </w:r>
          </w:p>
        </w:tc>
        <w:tc>
          <w:tcPr>
            <w:tcW w:w="7889" w:type="dxa"/>
            <w:gridSpan w:val="2"/>
          </w:tcPr>
          <w:p w:rsidR="007717B4" w:rsidRDefault="007717B4" w:rsidP="006D0559">
            <w:r w:rsidRPr="00413D58">
              <w:rPr>
                <w:rFonts w:cs="Times New Roman"/>
                <w:szCs w:val="24"/>
              </w:rPr>
              <w:t>Net enrolment rates in primary education (Years 1-8), males and females, 2005-2009</w:t>
            </w:r>
          </w:p>
        </w:tc>
        <w:tc>
          <w:tcPr>
            <w:tcW w:w="683" w:type="dxa"/>
          </w:tcPr>
          <w:p w:rsidR="007717B4" w:rsidRDefault="00D061AC" w:rsidP="00356D92">
            <w:pPr>
              <w:jc w:val="center"/>
            </w:pPr>
            <w:r>
              <w:t>51</w:t>
            </w:r>
          </w:p>
        </w:tc>
      </w:tr>
      <w:tr w:rsidR="007717B4" w:rsidTr="00B96CA0">
        <w:trPr>
          <w:jc w:val="center"/>
        </w:trPr>
        <w:tc>
          <w:tcPr>
            <w:tcW w:w="608" w:type="dxa"/>
          </w:tcPr>
          <w:p w:rsidR="007717B4" w:rsidRDefault="007717B4" w:rsidP="006D0559">
            <w:r>
              <w:t>25</w:t>
            </w:r>
          </w:p>
        </w:tc>
        <w:tc>
          <w:tcPr>
            <w:tcW w:w="7889" w:type="dxa"/>
            <w:gridSpan w:val="2"/>
          </w:tcPr>
          <w:p w:rsidR="007717B4" w:rsidRDefault="007717B4" w:rsidP="006D0559">
            <w:r w:rsidRPr="00413D58">
              <w:rPr>
                <w:rFonts w:cs="Times New Roman"/>
                <w:szCs w:val="24"/>
              </w:rPr>
              <w:t>Rural-Urban Education Indicators from the 2009 National Census</w:t>
            </w:r>
          </w:p>
        </w:tc>
        <w:tc>
          <w:tcPr>
            <w:tcW w:w="683" w:type="dxa"/>
          </w:tcPr>
          <w:p w:rsidR="007717B4" w:rsidRDefault="00D061AC" w:rsidP="00356D92">
            <w:pPr>
              <w:jc w:val="center"/>
            </w:pPr>
            <w:r>
              <w:t>51</w:t>
            </w:r>
          </w:p>
        </w:tc>
      </w:tr>
      <w:tr w:rsidR="007717B4" w:rsidTr="00B96CA0">
        <w:trPr>
          <w:jc w:val="center"/>
        </w:trPr>
        <w:tc>
          <w:tcPr>
            <w:tcW w:w="608" w:type="dxa"/>
          </w:tcPr>
          <w:p w:rsidR="007717B4" w:rsidRDefault="007717B4" w:rsidP="006D0559">
            <w:r>
              <w:t>26</w:t>
            </w:r>
          </w:p>
        </w:tc>
        <w:tc>
          <w:tcPr>
            <w:tcW w:w="7889" w:type="dxa"/>
            <w:gridSpan w:val="2"/>
          </w:tcPr>
          <w:p w:rsidR="007717B4" w:rsidRDefault="007717B4" w:rsidP="006D0559">
            <w:r w:rsidRPr="00413D58">
              <w:rPr>
                <w:rFonts w:cs="Times New Roman"/>
                <w:szCs w:val="24"/>
              </w:rPr>
              <w:t>Highest attendance of persons aged 15 years or more from the (draft) 2010 HIES</w:t>
            </w:r>
          </w:p>
        </w:tc>
        <w:tc>
          <w:tcPr>
            <w:tcW w:w="683" w:type="dxa"/>
          </w:tcPr>
          <w:p w:rsidR="007717B4" w:rsidRDefault="00D061AC" w:rsidP="00356D92">
            <w:pPr>
              <w:jc w:val="center"/>
            </w:pPr>
            <w:r>
              <w:t>51</w:t>
            </w:r>
          </w:p>
        </w:tc>
      </w:tr>
      <w:tr w:rsidR="007717B4" w:rsidTr="00B96CA0">
        <w:trPr>
          <w:jc w:val="center"/>
        </w:trPr>
        <w:tc>
          <w:tcPr>
            <w:tcW w:w="608" w:type="dxa"/>
          </w:tcPr>
          <w:p w:rsidR="007717B4" w:rsidRDefault="007717B4" w:rsidP="006D0559">
            <w:r>
              <w:t>27</w:t>
            </w:r>
          </w:p>
        </w:tc>
        <w:tc>
          <w:tcPr>
            <w:tcW w:w="7889" w:type="dxa"/>
            <w:gridSpan w:val="2"/>
          </w:tcPr>
          <w:p w:rsidR="007717B4" w:rsidRDefault="007717B4" w:rsidP="006D0559">
            <w:r w:rsidRPr="00413D58">
              <w:t>Proportions of population aged 15 years or older by sex and highest level of education completed, 1999 and 2009</w:t>
            </w:r>
          </w:p>
        </w:tc>
        <w:tc>
          <w:tcPr>
            <w:tcW w:w="683" w:type="dxa"/>
          </w:tcPr>
          <w:p w:rsidR="007717B4" w:rsidRDefault="00D061AC" w:rsidP="00356D92">
            <w:pPr>
              <w:jc w:val="center"/>
            </w:pPr>
            <w:r>
              <w:t>52</w:t>
            </w:r>
          </w:p>
        </w:tc>
      </w:tr>
      <w:tr w:rsidR="007717B4" w:rsidTr="00B96CA0">
        <w:trPr>
          <w:jc w:val="center"/>
        </w:trPr>
        <w:tc>
          <w:tcPr>
            <w:tcW w:w="608" w:type="dxa"/>
          </w:tcPr>
          <w:p w:rsidR="007717B4" w:rsidRDefault="007717B4" w:rsidP="006D0559">
            <w:r>
              <w:t>28</w:t>
            </w:r>
          </w:p>
        </w:tc>
        <w:tc>
          <w:tcPr>
            <w:tcW w:w="7889" w:type="dxa"/>
            <w:gridSpan w:val="2"/>
          </w:tcPr>
          <w:p w:rsidR="007717B4" w:rsidRDefault="007717B4" w:rsidP="006D0559">
            <w:r w:rsidRPr="00413D58">
              <w:t>Gender Parity Indices for Net Enrolment Rates 2007-2011</w:t>
            </w:r>
          </w:p>
        </w:tc>
        <w:tc>
          <w:tcPr>
            <w:tcW w:w="683" w:type="dxa"/>
          </w:tcPr>
          <w:p w:rsidR="007717B4" w:rsidRDefault="00D061AC" w:rsidP="00356D92">
            <w:pPr>
              <w:jc w:val="center"/>
            </w:pPr>
            <w:r>
              <w:t>52</w:t>
            </w:r>
          </w:p>
        </w:tc>
      </w:tr>
      <w:tr w:rsidR="007717B4" w:rsidTr="00B96CA0">
        <w:trPr>
          <w:jc w:val="center"/>
        </w:trPr>
        <w:tc>
          <w:tcPr>
            <w:tcW w:w="608" w:type="dxa"/>
          </w:tcPr>
          <w:p w:rsidR="007717B4" w:rsidRDefault="00356D92" w:rsidP="00356D92">
            <w:r>
              <w:t>29</w:t>
            </w:r>
          </w:p>
        </w:tc>
        <w:tc>
          <w:tcPr>
            <w:tcW w:w="7889" w:type="dxa"/>
            <w:gridSpan w:val="2"/>
          </w:tcPr>
          <w:p w:rsidR="007717B4" w:rsidRDefault="007717B4" w:rsidP="006D0559">
            <w:r w:rsidRPr="00413D58">
              <w:t xml:space="preserve">Female percentage shares of enrolments in </w:t>
            </w:r>
            <w:proofErr w:type="spellStart"/>
            <w:r w:rsidRPr="00413D58">
              <w:t>post secondary</w:t>
            </w:r>
            <w:proofErr w:type="spellEnd"/>
            <w:r w:rsidRPr="00413D58">
              <w:t xml:space="preserve"> education and rural training centres, 2011</w:t>
            </w:r>
          </w:p>
        </w:tc>
        <w:tc>
          <w:tcPr>
            <w:tcW w:w="683" w:type="dxa"/>
          </w:tcPr>
          <w:p w:rsidR="007717B4" w:rsidRDefault="00D061AC" w:rsidP="00356D92">
            <w:pPr>
              <w:jc w:val="center"/>
            </w:pPr>
            <w:r>
              <w:t>53</w:t>
            </w:r>
          </w:p>
        </w:tc>
      </w:tr>
      <w:tr w:rsidR="007717B4" w:rsidTr="00B96CA0">
        <w:trPr>
          <w:jc w:val="center"/>
        </w:trPr>
        <w:tc>
          <w:tcPr>
            <w:tcW w:w="608" w:type="dxa"/>
          </w:tcPr>
          <w:p w:rsidR="007717B4" w:rsidRDefault="007717B4" w:rsidP="00356D92">
            <w:r>
              <w:t>3</w:t>
            </w:r>
            <w:r w:rsidR="00356D92">
              <w:t>0</w:t>
            </w:r>
          </w:p>
        </w:tc>
        <w:tc>
          <w:tcPr>
            <w:tcW w:w="7889" w:type="dxa"/>
            <w:gridSpan w:val="2"/>
          </w:tcPr>
          <w:p w:rsidR="007717B4" w:rsidRDefault="007717B4" w:rsidP="006D0559">
            <w:r w:rsidRPr="00413D58">
              <w:t>Percentage indicators of literacy/numeracy achievement</w:t>
            </w:r>
          </w:p>
        </w:tc>
        <w:tc>
          <w:tcPr>
            <w:tcW w:w="683" w:type="dxa"/>
          </w:tcPr>
          <w:p w:rsidR="007717B4" w:rsidRDefault="00D061AC" w:rsidP="00356D92">
            <w:pPr>
              <w:jc w:val="center"/>
            </w:pPr>
            <w:r>
              <w:t>54</w:t>
            </w:r>
          </w:p>
        </w:tc>
      </w:tr>
      <w:tr w:rsidR="007717B4" w:rsidTr="00B96CA0">
        <w:trPr>
          <w:jc w:val="center"/>
        </w:trPr>
        <w:tc>
          <w:tcPr>
            <w:tcW w:w="608" w:type="dxa"/>
          </w:tcPr>
          <w:p w:rsidR="007717B4" w:rsidRDefault="007717B4" w:rsidP="00356D92">
            <w:r>
              <w:t>3</w:t>
            </w:r>
            <w:r w:rsidR="00356D92">
              <w:t>1</w:t>
            </w:r>
          </w:p>
        </w:tc>
        <w:tc>
          <w:tcPr>
            <w:tcW w:w="7889" w:type="dxa"/>
            <w:gridSpan w:val="2"/>
          </w:tcPr>
          <w:p w:rsidR="007717B4" w:rsidRDefault="007717B4" w:rsidP="006D0559">
            <w:r>
              <w:t>Key primary and secondary access indicators</w:t>
            </w:r>
          </w:p>
        </w:tc>
        <w:tc>
          <w:tcPr>
            <w:tcW w:w="683" w:type="dxa"/>
          </w:tcPr>
          <w:p w:rsidR="007717B4" w:rsidRDefault="00D061AC" w:rsidP="00356D92">
            <w:pPr>
              <w:jc w:val="center"/>
            </w:pPr>
            <w:r>
              <w:t>58</w:t>
            </w:r>
          </w:p>
        </w:tc>
      </w:tr>
      <w:tr w:rsidR="007717B4" w:rsidTr="00B96CA0">
        <w:trPr>
          <w:jc w:val="center"/>
        </w:trPr>
        <w:tc>
          <w:tcPr>
            <w:tcW w:w="608" w:type="dxa"/>
          </w:tcPr>
          <w:p w:rsidR="007717B4" w:rsidRDefault="007717B4" w:rsidP="00356D92">
            <w:r>
              <w:t>3</w:t>
            </w:r>
            <w:r w:rsidR="00356D92">
              <w:t>2</w:t>
            </w:r>
          </w:p>
        </w:tc>
        <w:tc>
          <w:tcPr>
            <w:tcW w:w="7889" w:type="dxa"/>
            <w:gridSpan w:val="2"/>
          </w:tcPr>
          <w:p w:rsidR="007717B4" w:rsidRDefault="007717B4" w:rsidP="006D0559">
            <w:r>
              <w:t>Scholarship recipient numbers</w:t>
            </w:r>
          </w:p>
        </w:tc>
        <w:tc>
          <w:tcPr>
            <w:tcW w:w="683" w:type="dxa"/>
          </w:tcPr>
          <w:p w:rsidR="007717B4" w:rsidRDefault="003A5614" w:rsidP="00356D92">
            <w:pPr>
              <w:jc w:val="center"/>
            </w:pPr>
            <w:r>
              <w:t>5</w:t>
            </w:r>
            <w:r w:rsidR="00D061AC">
              <w:t>9</w:t>
            </w:r>
          </w:p>
        </w:tc>
      </w:tr>
      <w:tr w:rsidR="00356D92" w:rsidTr="00B96CA0">
        <w:trPr>
          <w:jc w:val="center"/>
        </w:trPr>
        <w:tc>
          <w:tcPr>
            <w:tcW w:w="608" w:type="dxa"/>
          </w:tcPr>
          <w:p w:rsidR="00356D92" w:rsidDel="00356D92" w:rsidRDefault="00356D92" w:rsidP="00356D92">
            <w:r>
              <w:t>33</w:t>
            </w:r>
          </w:p>
        </w:tc>
        <w:tc>
          <w:tcPr>
            <w:tcW w:w="7877" w:type="dxa"/>
          </w:tcPr>
          <w:p w:rsidR="00356D92" w:rsidRDefault="00356D92" w:rsidP="006D0559">
            <w:r>
              <w:t>Some ‘input quality’ indicators</w:t>
            </w:r>
          </w:p>
        </w:tc>
        <w:tc>
          <w:tcPr>
            <w:tcW w:w="695" w:type="dxa"/>
            <w:gridSpan w:val="2"/>
          </w:tcPr>
          <w:p w:rsidR="00356D92" w:rsidRDefault="00D061AC" w:rsidP="003A5614">
            <w:pPr>
              <w:jc w:val="center"/>
            </w:pPr>
            <w:r>
              <w:t>59</w:t>
            </w:r>
          </w:p>
        </w:tc>
      </w:tr>
      <w:tr w:rsidR="006D0559" w:rsidTr="00B96CA0">
        <w:trPr>
          <w:jc w:val="center"/>
        </w:trPr>
        <w:tc>
          <w:tcPr>
            <w:tcW w:w="608" w:type="dxa"/>
          </w:tcPr>
          <w:p w:rsidR="006D0559" w:rsidRDefault="00356D92" w:rsidP="00356D92">
            <w:r>
              <w:t>34</w:t>
            </w:r>
          </w:p>
        </w:tc>
        <w:tc>
          <w:tcPr>
            <w:tcW w:w="7877" w:type="dxa"/>
          </w:tcPr>
          <w:p w:rsidR="006D0559" w:rsidRDefault="006D0559" w:rsidP="006D0559">
            <w:r>
              <w:t>‘Quality’ indicators included in PAA Action Plan 2011-2015</w:t>
            </w:r>
          </w:p>
        </w:tc>
        <w:tc>
          <w:tcPr>
            <w:tcW w:w="695" w:type="dxa"/>
            <w:gridSpan w:val="2"/>
          </w:tcPr>
          <w:p w:rsidR="006D0559" w:rsidRDefault="00D061AC" w:rsidP="00E16209">
            <w:pPr>
              <w:jc w:val="center"/>
            </w:pPr>
            <w:r>
              <w:t>61</w:t>
            </w:r>
          </w:p>
        </w:tc>
      </w:tr>
      <w:tr w:rsidR="007717B4" w:rsidTr="00B96CA0">
        <w:trPr>
          <w:jc w:val="center"/>
        </w:trPr>
        <w:tc>
          <w:tcPr>
            <w:tcW w:w="608" w:type="dxa"/>
          </w:tcPr>
          <w:p w:rsidR="007717B4" w:rsidRDefault="007717B4" w:rsidP="00E16209">
            <w:r>
              <w:t>3</w:t>
            </w:r>
            <w:r w:rsidR="00E16209">
              <w:t>5</w:t>
            </w:r>
          </w:p>
        </w:tc>
        <w:tc>
          <w:tcPr>
            <w:tcW w:w="7877" w:type="dxa"/>
          </w:tcPr>
          <w:p w:rsidR="007717B4" w:rsidRDefault="007717B4" w:rsidP="006D0559">
            <w:r>
              <w:t>Drop-out, Repeater, Promotion and Survival Rates 2009-2011</w:t>
            </w:r>
          </w:p>
        </w:tc>
        <w:tc>
          <w:tcPr>
            <w:tcW w:w="695" w:type="dxa"/>
            <w:gridSpan w:val="2"/>
          </w:tcPr>
          <w:p w:rsidR="007717B4" w:rsidRDefault="00D061AC" w:rsidP="00E16209">
            <w:pPr>
              <w:jc w:val="center"/>
            </w:pPr>
            <w:r>
              <w:t>61</w:t>
            </w:r>
          </w:p>
        </w:tc>
      </w:tr>
      <w:tr w:rsidR="007717B4" w:rsidTr="00B96CA0">
        <w:trPr>
          <w:jc w:val="center"/>
        </w:trPr>
        <w:tc>
          <w:tcPr>
            <w:tcW w:w="608" w:type="dxa"/>
          </w:tcPr>
          <w:p w:rsidR="007717B4" w:rsidRDefault="007717B4" w:rsidP="00E16209">
            <w:r>
              <w:t>3</w:t>
            </w:r>
            <w:r w:rsidR="00E16209">
              <w:t>6</w:t>
            </w:r>
          </w:p>
        </w:tc>
        <w:tc>
          <w:tcPr>
            <w:tcW w:w="7877" w:type="dxa"/>
          </w:tcPr>
          <w:p w:rsidR="007717B4" w:rsidRDefault="007717B4" w:rsidP="006D0559">
            <w:r>
              <w:t>VERM performance indicators for strengthened management of the education system</w:t>
            </w:r>
          </w:p>
        </w:tc>
        <w:tc>
          <w:tcPr>
            <w:tcW w:w="695" w:type="dxa"/>
            <w:gridSpan w:val="2"/>
          </w:tcPr>
          <w:p w:rsidR="007717B4" w:rsidRDefault="00D061AC" w:rsidP="00E16209">
            <w:pPr>
              <w:jc w:val="center"/>
            </w:pPr>
            <w:r>
              <w:t>62</w:t>
            </w:r>
          </w:p>
        </w:tc>
      </w:tr>
      <w:tr w:rsidR="007717B4" w:rsidTr="00B96CA0">
        <w:trPr>
          <w:jc w:val="center"/>
        </w:trPr>
        <w:tc>
          <w:tcPr>
            <w:tcW w:w="608" w:type="dxa"/>
          </w:tcPr>
          <w:p w:rsidR="007717B4" w:rsidRDefault="007717B4" w:rsidP="00E16209">
            <w:r>
              <w:lastRenderedPageBreak/>
              <w:t>3</w:t>
            </w:r>
            <w:r w:rsidR="00E16209">
              <w:t>7</w:t>
            </w:r>
          </w:p>
        </w:tc>
        <w:tc>
          <w:tcPr>
            <w:tcW w:w="7877" w:type="dxa"/>
          </w:tcPr>
          <w:p w:rsidR="007717B4" w:rsidRDefault="007717B4" w:rsidP="006D0559">
            <w:r>
              <w:rPr>
                <w:rFonts w:cs="Times New Roman"/>
              </w:rPr>
              <w:t>Status quo and target enrolment scenario parameters</w:t>
            </w:r>
          </w:p>
        </w:tc>
        <w:tc>
          <w:tcPr>
            <w:tcW w:w="695" w:type="dxa"/>
            <w:gridSpan w:val="2"/>
          </w:tcPr>
          <w:p w:rsidR="007717B4" w:rsidRDefault="00D061AC" w:rsidP="00E16209">
            <w:pPr>
              <w:jc w:val="center"/>
            </w:pPr>
            <w:r>
              <w:t>65</w:t>
            </w:r>
          </w:p>
        </w:tc>
      </w:tr>
      <w:tr w:rsidR="007717B4" w:rsidTr="00B96CA0">
        <w:trPr>
          <w:jc w:val="center"/>
        </w:trPr>
        <w:tc>
          <w:tcPr>
            <w:tcW w:w="608" w:type="dxa"/>
          </w:tcPr>
          <w:p w:rsidR="007717B4" w:rsidRDefault="007717B4" w:rsidP="00E16209">
            <w:r>
              <w:t>3</w:t>
            </w:r>
            <w:r w:rsidR="00E16209">
              <w:t>8</w:t>
            </w:r>
          </w:p>
        </w:tc>
        <w:tc>
          <w:tcPr>
            <w:tcW w:w="7877" w:type="dxa"/>
          </w:tcPr>
          <w:p w:rsidR="007717B4" w:rsidRDefault="007717B4" w:rsidP="006D0559">
            <w:r>
              <w:t xml:space="preserve">Projections of primary/secondary teacher numbers and personal emoluments, </w:t>
            </w:r>
            <w:proofErr w:type="spellStart"/>
            <w:r>
              <w:t>GoV</w:t>
            </w:r>
            <w:proofErr w:type="spellEnd"/>
            <w:r>
              <w:t xml:space="preserve"> and Government Assisted schools, constant (2012) prices</w:t>
            </w:r>
          </w:p>
        </w:tc>
        <w:tc>
          <w:tcPr>
            <w:tcW w:w="695" w:type="dxa"/>
            <w:gridSpan w:val="2"/>
          </w:tcPr>
          <w:p w:rsidR="007717B4" w:rsidRDefault="00D061AC" w:rsidP="00E16209">
            <w:pPr>
              <w:jc w:val="center"/>
            </w:pPr>
            <w:r>
              <w:t>66</w:t>
            </w:r>
          </w:p>
        </w:tc>
      </w:tr>
      <w:tr w:rsidR="007717B4" w:rsidTr="00B96CA0">
        <w:trPr>
          <w:jc w:val="center"/>
        </w:trPr>
        <w:tc>
          <w:tcPr>
            <w:tcW w:w="608" w:type="dxa"/>
          </w:tcPr>
          <w:p w:rsidR="007717B4" w:rsidRDefault="00E16209" w:rsidP="00E16209">
            <w:r>
              <w:t>39</w:t>
            </w:r>
          </w:p>
        </w:tc>
        <w:tc>
          <w:tcPr>
            <w:tcW w:w="7877" w:type="dxa"/>
          </w:tcPr>
          <w:p w:rsidR="007717B4" w:rsidRDefault="007717B4" w:rsidP="006D0559">
            <w:r>
              <w:t xml:space="preserve">Requirements for </w:t>
            </w:r>
            <w:proofErr w:type="spellStart"/>
            <w:r>
              <w:t>GoV</w:t>
            </w:r>
            <w:proofErr w:type="spellEnd"/>
            <w:r>
              <w:t xml:space="preserve"> funding of school grants</w:t>
            </w:r>
          </w:p>
        </w:tc>
        <w:tc>
          <w:tcPr>
            <w:tcW w:w="695" w:type="dxa"/>
            <w:gridSpan w:val="2"/>
          </w:tcPr>
          <w:p w:rsidR="007717B4" w:rsidRDefault="003A5614" w:rsidP="00E16209">
            <w:pPr>
              <w:jc w:val="center"/>
            </w:pPr>
            <w:r>
              <w:t>6</w:t>
            </w:r>
            <w:r w:rsidR="00D061AC">
              <w:t>7</w:t>
            </w:r>
          </w:p>
        </w:tc>
      </w:tr>
      <w:tr w:rsidR="007717B4" w:rsidTr="00B96CA0">
        <w:trPr>
          <w:jc w:val="center"/>
        </w:trPr>
        <w:tc>
          <w:tcPr>
            <w:tcW w:w="608" w:type="dxa"/>
          </w:tcPr>
          <w:p w:rsidR="007717B4" w:rsidRDefault="007717B4" w:rsidP="00E16209">
            <w:r>
              <w:t>4</w:t>
            </w:r>
            <w:r w:rsidR="00E16209">
              <w:t>0</w:t>
            </w:r>
          </w:p>
        </w:tc>
        <w:tc>
          <w:tcPr>
            <w:tcW w:w="7877" w:type="dxa"/>
          </w:tcPr>
          <w:p w:rsidR="007717B4" w:rsidRDefault="007717B4" w:rsidP="006D0559">
            <w:r>
              <w:t xml:space="preserve">Projected </w:t>
            </w:r>
            <w:proofErr w:type="spellStart"/>
            <w:r>
              <w:t>GoV</w:t>
            </w:r>
            <w:proofErr w:type="spellEnd"/>
            <w:r>
              <w:t>-funding requirements for overseas scholarships (VT million)</w:t>
            </w:r>
          </w:p>
        </w:tc>
        <w:tc>
          <w:tcPr>
            <w:tcW w:w="695" w:type="dxa"/>
            <w:gridSpan w:val="2"/>
          </w:tcPr>
          <w:p w:rsidR="007717B4" w:rsidRDefault="003A5614" w:rsidP="00E16209">
            <w:pPr>
              <w:jc w:val="center"/>
            </w:pPr>
            <w:r>
              <w:t>6</w:t>
            </w:r>
            <w:r w:rsidR="00D061AC">
              <w:t>8</w:t>
            </w:r>
          </w:p>
        </w:tc>
      </w:tr>
      <w:tr w:rsidR="007717B4" w:rsidTr="00B96CA0">
        <w:trPr>
          <w:jc w:val="center"/>
        </w:trPr>
        <w:tc>
          <w:tcPr>
            <w:tcW w:w="608" w:type="dxa"/>
          </w:tcPr>
          <w:p w:rsidR="007717B4" w:rsidRDefault="007717B4" w:rsidP="00E16209">
            <w:r>
              <w:t>4</w:t>
            </w:r>
            <w:r w:rsidR="00E16209">
              <w:t>1</w:t>
            </w:r>
          </w:p>
        </w:tc>
        <w:tc>
          <w:tcPr>
            <w:tcW w:w="7877" w:type="dxa"/>
          </w:tcPr>
          <w:p w:rsidR="007717B4" w:rsidRDefault="007717B4" w:rsidP="006D0559">
            <w:r>
              <w:t xml:space="preserve">Projections of </w:t>
            </w:r>
            <w:proofErr w:type="spellStart"/>
            <w:r>
              <w:t>GoV</w:t>
            </w:r>
            <w:proofErr w:type="spellEnd"/>
            <w:r>
              <w:t>-funded maintenance costs (VT million)</w:t>
            </w:r>
          </w:p>
        </w:tc>
        <w:tc>
          <w:tcPr>
            <w:tcW w:w="695" w:type="dxa"/>
            <w:gridSpan w:val="2"/>
          </w:tcPr>
          <w:p w:rsidR="007717B4" w:rsidRDefault="00D061AC" w:rsidP="00E16209">
            <w:pPr>
              <w:jc w:val="center"/>
            </w:pPr>
            <w:r>
              <w:t>69</w:t>
            </w:r>
          </w:p>
        </w:tc>
      </w:tr>
      <w:tr w:rsidR="007717B4" w:rsidTr="00B96CA0">
        <w:trPr>
          <w:jc w:val="center"/>
        </w:trPr>
        <w:tc>
          <w:tcPr>
            <w:tcW w:w="608" w:type="dxa"/>
          </w:tcPr>
          <w:p w:rsidR="007717B4" w:rsidRDefault="007717B4" w:rsidP="00E16209">
            <w:r>
              <w:t>4</w:t>
            </w:r>
            <w:r w:rsidR="00E16209">
              <w:t>2</w:t>
            </w:r>
          </w:p>
        </w:tc>
        <w:tc>
          <w:tcPr>
            <w:tcW w:w="7877" w:type="dxa"/>
          </w:tcPr>
          <w:p w:rsidR="007717B4" w:rsidRDefault="007717B4" w:rsidP="006D0559">
            <w:r>
              <w:t xml:space="preserve">Projected </w:t>
            </w:r>
            <w:proofErr w:type="spellStart"/>
            <w:r>
              <w:t>GoV</w:t>
            </w:r>
            <w:proofErr w:type="spellEnd"/>
            <w:r>
              <w:t xml:space="preserve"> funding requirements for </w:t>
            </w:r>
            <w:proofErr w:type="spellStart"/>
            <w:r>
              <w:t>MoE</w:t>
            </w:r>
            <w:proofErr w:type="spellEnd"/>
            <w:r>
              <w:t xml:space="preserve"> corporate overhead (VT million)</w:t>
            </w:r>
          </w:p>
        </w:tc>
        <w:tc>
          <w:tcPr>
            <w:tcW w:w="695" w:type="dxa"/>
            <w:gridSpan w:val="2"/>
          </w:tcPr>
          <w:p w:rsidR="007717B4" w:rsidRDefault="00D061AC" w:rsidP="00E16209">
            <w:pPr>
              <w:jc w:val="center"/>
            </w:pPr>
            <w:r>
              <w:t>70</w:t>
            </w:r>
          </w:p>
        </w:tc>
      </w:tr>
      <w:tr w:rsidR="007717B4" w:rsidTr="00B96CA0">
        <w:trPr>
          <w:jc w:val="center"/>
        </w:trPr>
        <w:tc>
          <w:tcPr>
            <w:tcW w:w="608" w:type="dxa"/>
          </w:tcPr>
          <w:p w:rsidR="007717B4" w:rsidRDefault="007717B4" w:rsidP="00E16209">
            <w:r>
              <w:t>4</w:t>
            </w:r>
            <w:r w:rsidR="00E16209">
              <w:t>3</w:t>
            </w:r>
          </w:p>
        </w:tc>
        <w:tc>
          <w:tcPr>
            <w:tcW w:w="7877" w:type="dxa"/>
          </w:tcPr>
          <w:p w:rsidR="007717B4" w:rsidRDefault="007717B4" w:rsidP="006D0559">
            <w:r>
              <w:t xml:space="preserve">Total </w:t>
            </w:r>
            <w:proofErr w:type="spellStart"/>
            <w:r>
              <w:t>GoV</w:t>
            </w:r>
            <w:proofErr w:type="spellEnd"/>
            <w:r>
              <w:t xml:space="preserve"> funding requirements, alternative scenarios, in 2012 prices (VT million)  </w:t>
            </w:r>
          </w:p>
        </w:tc>
        <w:tc>
          <w:tcPr>
            <w:tcW w:w="695" w:type="dxa"/>
            <w:gridSpan w:val="2"/>
          </w:tcPr>
          <w:p w:rsidR="007717B4" w:rsidRDefault="00D061AC" w:rsidP="00E16209">
            <w:pPr>
              <w:jc w:val="center"/>
            </w:pPr>
            <w:r>
              <w:t>70</w:t>
            </w:r>
          </w:p>
        </w:tc>
      </w:tr>
      <w:tr w:rsidR="007717B4" w:rsidTr="00B96CA0">
        <w:trPr>
          <w:jc w:val="center"/>
        </w:trPr>
        <w:tc>
          <w:tcPr>
            <w:tcW w:w="608" w:type="dxa"/>
          </w:tcPr>
          <w:p w:rsidR="007717B4" w:rsidRDefault="007717B4" w:rsidP="00E16209">
            <w:r>
              <w:t>4</w:t>
            </w:r>
            <w:r w:rsidR="00E16209">
              <w:t>4</w:t>
            </w:r>
          </w:p>
        </w:tc>
        <w:tc>
          <w:tcPr>
            <w:tcW w:w="7877" w:type="dxa"/>
          </w:tcPr>
          <w:p w:rsidR="007717B4" w:rsidRDefault="007717B4" w:rsidP="006D0559">
            <w:r>
              <w:t xml:space="preserve">Projected </w:t>
            </w:r>
            <w:proofErr w:type="spellStart"/>
            <w:r>
              <w:t>GoV</w:t>
            </w:r>
            <w:proofErr w:type="spellEnd"/>
            <w:r>
              <w:t>-funded school grant costs  for Year 7-8 students, status quo estimates of enrolments (VT million)</w:t>
            </w:r>
          </w:p>
        </w:tc>
        <w:tc>
          <w:tcPr>
            <w:tcW w:w="695" w:type="dxa"/>
            <w:gridSpan w:val="2"/>
          </w:tcPr>
          <w:p w:rsidR="007717B4" w:rsidRDefault="00D061AC" w:rsidP="00E16209">
            <w:pPr>
              <w:jc w:val="center"/>
            </w:pPr>
            <w:r>
              <w:t>72</w:t>
            </w:r>
          </w:p>
        </w:tc>
      </w:tr>
    </w:tbl>
    <w:p w:rsidR="00B96CA0" w:rsidRDefault="00B96CA0"/>
    <w:p w:rsidR="00B96CA0" w:rsidRPr="008E6D79" w:rsidRDefault="00B96CA0" w:rsidP="00617B8E">
      <w:pPr>
        <w:pStyle w:val="Heading3"/>
      </w:pPr>
      <w:r>
        <w:t>Figures</w:t>
      </w:r>
    </w:p>
    <w:tbl>
      <w:tblPr>
        <w:tblStyle w:val="TableGrid"/>
        <w:tblW w:w="0" w:type="auto"/>
        <w:jc w:val="center"/>
        <w:tblLook w:val="04A0" w:firstRow="1" w:lastRow="0" w:firstColumn="1" w:lastColumn="0" w:noHBand="0" w:noVBand="1"/>
        <w:tblCaption w:val="List of Tables"/>
        <w:tblDescription w:val="Provides page number references for all tables in the document. "/>
      </w:tblPr>
      <w:tblGrid>
        <w:gridCol w:w="608"/>
        <w:gridCol w:w="7877"/>
        <w:gridCol w:w="695"/>
      </w:tblGrid>
      <w:tr w:rsidR="00B96CA0" w:rsidTr="00142AAB">
        <w:trPr>
          <w:tblHeader/>
          <w:jc w:val="center"/>
        </w:trPr>
        <w:tc>
          <w:tcPr>
            <w:tcW w:w="608" w:type="dxa"/>
            <w:shd w:val="clear" w:color="auto" w:fill="BFBFBF" w:themeFill="background1" w:themeFillShade="BF"/>
          </w:tcPr>
          <w:p w:rsidR="00B96CA0" w:rsidRDefault="00B96CA0" w:rsidP="006D0559"/>
        </w:tc>
        <w:tc>
          <w:tcPr>
            <w:tcW w:w="7877" w:type="dxa"/>
            <w:shd w:val="clear" w:color="auto" w:fill="BFBFBF" w:themeFill="background1" w:themeFillShade="BF"/>
          </w:tcPr>
          <w:p w:rsidR="00B96CA0" w:rsidRDefault="00B96CA0" w:rsidP="006D0559"/>
        </w:tc>
        <w:tc>
          <w:tcPr>
            <w:tcW w:w="695" w:type="dxa"/>
            <w:shd w:val="clear" w:color="auto" w:fill="BFBFBF" w:themeFill="background1" w:themeFillShade="BF"/>
          </w:tcPr>
          <w:p w:rsidR="00B96CA0" w:rsidRDefault="00B96CA0" w:rsidP="00E16209">
            <w:pPr>
              <w:jc w:val="center"/>
            </w:pPr>
            <w:r>
              <w:t>Page</w:t>
            </w:r>
          </w:p>
        </w:tc>
      </w:tr>
      <w:tr w:rsidR="007717B4" w:rsidTr="00B96CA0">
        <w:trPr>
          <w:jc w:val="center"/>
        </w:trPr>
        <w:tc>
          <w:tcPr>
            <w:tcW w:w="608" w:type="dxa"/>
          </w:tcPr>
          <w:p w:rsidR="007717B4" w:rsidRDefault="007717B4" w:rsidP="006D0559">
            <w:r>
              <w:t xml:space="preserve"> 1</w:t>
            </w:r>
          </w:p>
        </w:tc>
        <w:tc>
          <w:tcPr>
            <w:tcW w:w="7877" w:type="dxa"/>
          </w:tcPr>
          <w:p w:rsidR="007717B4" w:rsidRDefault="007717B4" w:rsidP="006D0559">
            <w:proofErr w:type="spellStart"/>
            <w:r>
              <w:t>MoE</w:t>
            </w:r>
            <w:proofErr w:type="spellEnd"/>
            <w:r>
              <w:t xml:space="preserve"> budgets and expenditures as a proportion of total </w:t>
            </w:r>
            <w:proofErr w:type="spellStart"/>
            <w:r>
              <w:t>GoV</w:t>
            </w:r>
            <w:proofErr w:type="spellEnd"/>
            <w:r>
              <w:t>-funded expenditure</w:t>
            </w:r>
          </w:p>
        </w:tc>
        <w:tc>
          <w:tcPr>
            <w:tcW w:w="695" w:type="dxa"/>
          </w:tcPr>
          <w:p w:rsidR="007717B4" w:rsidRDefault="00D061AC" w:rsidP="00E16209">
            <w:pPr>
              <w:jc w:val="center"/>
            </w:pPr>
            <w:r>
              <w:t>27</w:t>
            </w:r>
          </w:p>
        </w:tc>
      </w:tr>
      <w:tr w:rsidR="007717B4" w:rsidTr="00B96CA0">
        <w:trPr>
          <w:jc w:val="center"/>
        </w:trPr>
        <w:tc>
          <w:tcPr>
            <w:tcW w:w="608" w:type="dxa"/>
          </w:tcPr>
          <w:p w:rsidR="007717B4" w:rsidRDefault="007717B4" w:rsidP="006D0559">
            <w:r>
              <w:t xml:space="preserve"> 2</w:t>
            </w:r>
          </w:p>
        </w:tc>
        <w:tc>
          <w:tcPr>
            <w:tcW w:w="7877" w:type="dxa"/>
          </w:tcPr>
          <w:p w:rsidR="007717B4" w:rsidRDefault="007717B4" w:rsidP="006D0559">
            <w:proofErr w:type="spellStart"/>
            <w:r>
              <w:t>MoE</w:t>
            </w:r>
            <w:proofErr w:type="spellEnd"/>
            <w:r>
              <w:t xml:space="preserve"> original budgets and expenditures as a proportion of Vanuatu’s Gross Domestic Product at market prices</w:t>
            </w:r>
          </w:p>
        </w:tc>
        <w:tc>
          <w:tcPr>
            <w:tcW w:w="695" w:type="dxa"/>
          </w:tcPr>
          <w:p w:rsidR="007717B4" w:rsidRDefault="003A5614" w:rsidP="00E16209">
            <w:pPr>
              <w:jc w:val="center"/>
            </w:pPr>
            <w:r>
              <w:t>2</w:t>
            </w:r>
            <w:r w:rsidR="00D061AC">
              <w:t>8</w:t>
            </w:r>
          </w:p>
        </w:tc>
      </w:tr>
      <w:tr w:rsidR="007717B4" w:rsidTr="00B96CA0">
        <w:trPr>
          <w:jc w:val="center"/>
        </w:trPr>
        <w:tc>
          <w:tcPr>
            <w:tcW w:w="608" w:type="dxa"/>
          </w:tcPr>
          <w:p w:rsidR="007717B4" w:rsidRDefault="007717B4" w:rsidP="006D0559">
            <w:r>
              <w:t xml:space="preserve"> 3</w:t>
            </w:r>
          </w:p>
        </w:tc>
        <w:tc>
          <w:tcPr>
            <w:tcW w:w="7877" w:type="dxa"/>
          </w:tcPr>
          <w:p w:rsidR="007717B4" w:rsidRDefault="007717B4" w:rsidP="006D0559">
            <w:r>
              <w:t xml:space="preserve">Sub sector shares of </w:t>
            </w:r>
            <w:proofErr w:type="spellStart"/>
            <w:r>
              <w:t>MoE</w:t>
            </w:r>
            <w:proofErr w:type="spellEnd"/>
            <w:r>
              <w:t xml:space="preserve"> original budgets 2006-2012</w:t>
            </w:r>
          </w:p>
        </w:tc>
        <w:tc>
          <w:tcPr>
            <w:tcW w:w="695" w:type="dxa"/>
          </w:tcPr>
          <w:p w:rsidR="007717B4" w:rsidRDefault="00D061AC" w:rsidP="00E16209">
            <w:pPr>
              <w:jc w:val="center"/>
            </w:pPr>
            <w:r>
              <w:t>30</w:t>
            </w:r>
          </w:p>
        </w:tc>
      </w:tr>
      <w:tr w:rsidR="007717B4" w:rsidTr="00B96CA0">
        <w:trPr>
          <w:jc w:val="center"/>
        </w:trPr>
        <w:tc>
          <w:tcPr>
            <w:tcW w:w="608" w:type="dxa"/>
          </w:tcPr>
          <w:p w:rsidR="007717B4" w:rsidRDefault="007717B4" w:rsidP="006D0559">
            <w:r>
              <w:t xml:space="preserve"> 4</w:t>
            </w:r>
          </w:p>
        </w:tc>
        <w:tc>
          <w:tcPr>
            <w:tcW w:w="7877" w:type="dxa"/>
          </w:tcPr>
          <w:p w:rsidR="007717B4" w:rsidRDefault="007717B4" w:rsidP="006D0559">
            <w:r w:rsidRPr="002E726A">
              <w:t xml:space="preserve">Direct actual </w:t>
            </w:r>
            <w:proofErr w:type="spellStart"/>
            <w:r>
              <w:t>MoE</w:t>
            </w:r>
            <w:proofErr w:type="spellEnd"/>
            <w:r>
              <w:t xml:space="preserve"> </w:t>
            </w:r>
            <w:r w:rsidRPr="002E726A">
              <w:t xml:space="preserve">expenditure per enrolee at constant (2006) prices,  </w:t>
            </w:r>
            <w:proofErr w:type="spellStart"/>
            <w:r w:rsidRPr="002E726A">
              <w:t>GoV</w:t>
            </w:r>
            <w:proofErr w:type="spellEnd"/>
            <w:r w:rsidRPr="002E726A">
              <w:t xml:space="preserve"> and Government Assisted schools, 2008-11</w:t>
            </w:r>
          </w:p>
        </w:tc>
        <w:tc>
          <w:tcPr>
            <w:tcW w:w="695" w:type="dxa"/>
          </w:tcPr>
          <w:p w:rsidR="007717B4" w:rsidRDefault="00D061AC" w:rsidP="00E16209">
            <w:pPr>
              <w:jc w:val="center"/>
            </w:pPr>
            <w:r>
              <w:t>31</w:t>
            </w:r>
          </w:p>
        </w:tc>
      </w:tr>
      <w:tr w:rsidR="007717B4" w:rsidTr="00B96CA0">
        <w:trPr>
          <w:jc w:val="center"/>
        </w:trPr>
        <w:tc>
          <w:tcPr>
            <w:tcW w:w="608" w:type="dxa"/>
          </w:tcPr>
          <w:p w:rsidR="007717B4" w:rsidRDefault="007717B4" w:rsidP="006D0559">
            <w:r>
              <w:t xml:space="preserve"> 5</w:t>
            </w:r>
          </w:p>
        </w:tc>
        <w:tc>
          <w:tcPr>
            <w:tcW w:w="7877" w:type="dxa"/>
          </w:tcPr>
          <w:p w:rsidR="007717B4" w:rsidRDefault="007717B4" w:rsidP="006D0559">
            <w:r>
              <w:t xml:space="preserve">A closer look at the </w:t>
            </w:r>
            <w:proofErr w:type="spellStart"/>
            <w:r>
              <w:t>post secondary</w:t>
            </w:r>
            <w:proofErr w:type="spellEnd"/>
            <w:r>
              <w:t xml:space="preserve"> sub sector</w:t>
            </w:r>
          </w:p>
        </w:tc>
        <w:tc>
          <w:tcPr>
            <w:tcW w:w="695" w:type="dxa"/>
          </w:tcPr>
          <w:p w:rsidR="007717B4" w:rsidRDefault="00D061AC" w:rsidP="00E16209">
            <w:pPr>
              <w:jc w:val="center"/>
            </w:pPr>
            <w:r>
              <w:t>31</w:t>
            </w:r>
          </w:p>
        </w:tc>
      </w:tr>
      <w:tr w:rsidR="007717B4" w:rsidTr="00B96CA0">
        <w:trPr>
          <w:jc w:val="center"/>
        </w:trPr>
        <w:tc>
          <w:tcPr>
            <w:tcW w:w="608" w:type="dxa"/>
          </w:tcPr>
          <w:p w:rsidR="007717B4" w:rsidRDefault="007717B4" w:rsidP="006D0559">
            <w:r>
              <w:t xml:space="preserve"> 6</w:t>
            </w:r>
          </w:p>
        </w:tc>
        <w:tc>
          <w:tcPr>
            <w:tcW w:w="7877" w:type="dxa"/>
          </w:tcPr>
          <w:p w:rsidR="007717B4" w:rsidRDefault="007717B4" w:rsidP="006D0559">
            <w:r>
              <w:t xml:space="preserve">Percentage shares of </w:t>
            </w:r>
            <w:proofErr w:type="spellStart"/>
            <w:r>
              <w:t>MoE</w:t>
            </w:r>
            <w:proofErr w:type="spellEnd"/>
            <w:r>
              <w:t xml:space="preserve"> original budgets allocated to Personal Emoluments, 2006-2012</w:t>
            </w:r>
          </w:p>
        </w:tc>
        <w:tc>
          <w:tcPr>
            <w:tcW w:w="695" w:type="dxa"/>
          </w:tcPr>
          <w:p w:rsidR="007717B4" w:rsidRDefault="00D061AC" w:rsidP="00E16209">
            <w:pPr>
              <w:jc w:val="center"/>
            </w:pPr>
            <w:r>
              <w:t>32</w:t>
            </w:r>
          </w:p>
        </w:tc>
      </w:tr>
      <w:tr w:rsidR="007717B4" w:rsidTr="00B96CA0">
        <w:trPr>
          <w:jc w:val="center"/>
        </w:trPr>
        <w:tc>
          <w:tcPr>
            <w:tcW w:w="608" w:type="dxa"/>
          </w:tcPr>
          <w:p w:rsidR="007717B4" w:rsidRDefault="007717B4" w:rsidP="006D0559">
            <w:r>
              <w:t xml:space="preserve"> 7</w:t>
            </w:r>
          </w:p>
        </w:tc>
        <w:tc>
          <w:tcPr>
            <w:tcW w:w="7877" w:type="dxa"/>
          </w:tcPr>
          <w:p w:rsidR="007717B4" w:rsidRDefault="007717B4" w:rsidP="006D0559">
            <w:r>
              <w:t xml:space="preserve">Percentage shares of </w:t>
            </w:r>
            <w:proofErr w:type="spellStart"/>
            <w:r>
              <w:t>MoE</w:t>
            </w:r>
            <w:proofErr w:type="spellEnd"/>
            <w:r>
              <w:t xml:space="preserve"> original budgets allocated to Other Goods/ Services, Subsidies/Transfers and ‘Capital’ Expenditure, 2006-2012</w:t>
            </w:r>
          </w:p>
        </w:tc>
        <w:tc>
          <w:tcPr>
            <w:tcW w:w="695" w:type="dxa"/>
          </w:tcPr>
          <w:p w:rsidR="007717B4" w:rsidRDefault="00D061AC" w:rsidP="00E16209">
            <w:pPr>
              <w:jc w:val="center"/>
            </w:pPr>
            <w:r>
              <w:t>32</w:t>
            </w:r>
          </w:p>
        </w:tc>
      </w:tr>
      <w:tr w:rsidR="007717B4" w:rsidTr="00B96CA0">
        <w:trPr>
          <w:jc w:val="center"/>
        </w:trPr>
        <w:tc>
          <w:tcPr>
            <w:tcW w:w="608" w:type="dxa"/>
          </w:tcPr>
          <w:p w:rsidR="007717B4" w:rsidRDefault="007717B4" w:rsidP="006D0559">
            <w:r>
              <w:t xml:space="preserve"> 8</w:t>
            </w:r>
          </w:p>
        </w:tc>
        <w:tc>
          <w:tcPr>
            <w:tcW w:w="7877" w:type="dxa"/>
          </w:tcPr>
          <w:p w:rsidR="007717B4" w:rsidRDefault="007717B4" w:rsidP="006D0559">
            <w:r>
              <w:t xml:space="preserve">Budgeted expenditure (current prices) on selected </w:t>
            </w:r>
            <w:proofErr w:type="spellStart"/>
            <w:r>
              <w:t>post secondary</w:t>
            </w:r>
            <w:proofErr w:type="spellEnd"/>
            <w:r>
              <w:t xml:space="preserve"> TVET, 2006-2012</w:t>
            </w:r>
          </w:p>
        </w:tc>
        <w:tc>
          <w:tcPr>
            <w:tcW w:w="695" w:type="dxa"/>
          </w:tcPr>
          <w:p w:rsidR="007717B4" w:rsidRDefault="003A5614" w:rsidP="00E16209">
            <w:pPr>
              <w:jc w:val="center"/>
            </w:pPr>
            <w:r>
              <w:t>3</w:t>
            </w:r>
            <w:r w:rsidR="00D061AC">
              <w:t>5</w:t>
            </w:r>
          </w:p>
        </w:tc>
      </w:tr>
      <w:tr w:rsidR="007717B4" w:rsidTr="00B96CA0">
        <w:trPr>
          <w:jc w:val="center"/>
        </w:trPr>
        <w:tc>
          <w:tcPr>
            <w:tcW w:w="608" w:type="dxa"/>
          </w:tcPr>
          <w:p w:rsidR="007717B4" w:rsidRDefault="007717B4" w:rsidP="006D0559">
            <w:r>
              <w:t xml:space="preserve"> 9</w:t>
            </w:r>
          </w:p>
        </w:tc>
        <w:tc>
          <w:tcPr>
            <w:tcW w:w="7877" w:type="dxa"/>
          </w:tcPr>
          <w:p w:rsidR="007717B4" w:rsidRDefault="007717B4" w:rsidP="006D0559">
            <w:r>
              <w:t>Coefficient of Efficiency 2007-2010</w:t>
            </w:r>
          </w:p>
        </w:tc>
        <w:tc>
          <w:tcPr>
            <w:tcW w:w="695" w:type="dxa"/>
          </w:tcPr>
          <w:p w:rsidR="007717B4" w:rsidRDefault="003A5614" w:rsidP="00E16209">
            <w:pPr>
              <w:jc w:val="center"/>
            </w:pPr>
            <w:r>
              <w:t>3</w:t>
            </w:r>
            <w:r w:rsidR="00D061AC">
              <w:t>9</w:t>
            </w:r>
          </w:p>
        </w:tc>
      </w:tr>
      <w:tr w:rsidR="007717B4" w:rsidTr="00B96CA0">
        <w:trPr>
          <w:jc w:val="center"/>
        </w:trPr>
        <w:tc>
          <w:tcPr>
            <w:tcW w:w="608" w:type="dxa"/>
          </w:tcPr>
          <w:p w:rsidR="007717B4" w:rsidRDefault="007717B4" w:rsidP="006D0559">
            <w:r>
              <w:t>10</w:t>
            </w:r>
          </w:p>
        </w:tc>
        <w:tc>
          <w:tcPr>
            <w:tcW w:w="7877" w:type="dxa"/>
          </w:tcPr>
          <w:p w:rsidR="007717B4" w:rsidRDefault="007717B4" w:rsidP="006D0559">
            <w:r w:rsidRPr="00413D58">
              <w:t>Percentage attending school in the 5-18 age group, 2009</w:t>
            </w:r>
          </w:p>
        </w:tc>
        <w:tc>
          <w:tcPr>
            <w:tcW w:w="695" w:type="dxa"/>
          </w:tcPr>
          <w:p w:rsidR="007717B4" w:rsidRDefault="003A5614" w:rsidP="00E16209">
            <w:pPr>
              <w:jc w:val="center"/>
            </w:pPr>
            <w:r>
              <w:t>5</w:t>
            </w:r>
            <w:r w:rsidR="00D061AC">
              <w:t>3</w:t>
            </w:r>
          </w:p>
        </w:tc>
      </w:tr>
      <w:tr w:rsidR="007717B4" w:rsidTr="00B96CA0">
        <w:trPr>
          <w:jc w:val="center"/>
        </w:trPr>
        <w:tc>
          <w:tcPr>
            <w:tcW w:w="608" w:type="dxa"/>
          </w:tcPr>
          <w:p w:rsidR="007717B4" w:rsidRDefault="007717B4" w:rsidP="006D0559">
            <w:r>
              <w:t>11</w:t>
            </w:r>
          </w:p>
        </w:tc>
        <w:tc>
          <w:tcPr>
            <w:tcW w:w="7877" w:type="dxa"/>
          </w:tcPr>
          <w:p w:rsidR="007717B4" w:rsidRDefault="007717B4" w:rsidP="006D0559">
            <w:r>
              <w:t>Trends in Teacher Certification</w:t>
            </w:r>
          </w:p>
        </w:tc>
        <w:tc>
          <w:tcPr>
            <w:tcW w:w="695" w:type="dxa"/>
          </w:tcPr>
          <w:p w:rsidR="007717B4" w:rsidRDefault="00D061AC" w:rsidP="00E16209">
            <w:pPr>
              <w:jc w:val="center"/>
            </w:pPr>
            <w:r>
              <w:t>60</w:t>
            </w:r>
          </w:p>
        </w:tc>
      </w:tr>
      <w:tr w:rsidR="007717B4" w:rsidTr="00B96CA0">
        <w:trPr>
          <w:jc w:val="center"/>
        </w:trPr>
        <w:tc>
          <w:tcPr>
            <w:tcW w:w="608" w:type="dxa"/>
          </w:tcPr>
          <w:p w:rsidR="007717B4" w:rsidRDefault="007717B4" w:rsidP="006D0559">
            <w:r>
              <w:t>12</w:t>
            </w:r>
          </w:p>
        </w:tc>
        <w:tc>
          <w:tcPr>
            <w:tcW w:w="7877" w:type="dxa"/>
          </w:tcPr>
          <w:p w:rsidR="007717B4" w:rsidRDefault="007717B4" w:rsidP="006D0559">
            <w:r>
              <w:t xml:space="preserve">Projected </w:t>
            </w:r>
            <w:proofErr w:type="spellStart"/>
            <w:r>
              <w:t>GoV</w:t>
            </w:r>
            <w:proofErr w:type="spellEnd"/>
            <w:r>
              <w:t>-funding deficits</w:t>
            </w:r>
          </w:p>
        </w:tc>
        <w:tc>
          <w:tcPr>
            <w:tcW w:w="695" w:type="dxa"/>
          </w:tcPr>
          <w:p w:rsidR="007717B4" w:rsidRDefault="00D061AC" w:rsidP="00E16209">
            <w:pPr>
              <w:jc w:val="center"/>
            </w:pPr>
            <w:r>
              <w:t>71</w:t>
            </w:r>
          </w:p>
        </w:tc>
      </w:tr>
    </w:tbl>
    <w:p w:rsidR="00142AAB" w:rsidRDefault="00142AAB" w:rsidP="005727F2">
      <w:pPr>
        <w:pStyle w:val="Heading1"/>
      </w:pPr>
      <w:r>
        <w:br w:type="page"/>
      </w:r>
    </w:p>
    <w:p w:rsidR="006D0559" w:rsidRPr="008E6D79" w:rsidRDefault="00A91C17" w:rsidP="005727F2">
      <w:pPr>
        <w:pStyle w:val="Heading1"/>
      </w:pPr>
      <w:bookmarkStart w:id="2" w:name="_Toc348711310"/>
      <w:r w:rsidRPr="008E6D79">
        <w:lastRenderedPageBreak/>
        <w:t>Abbreviations</w:t>
      </w:r>
      <w:bookmarkEnd w:id="2"/>
    </w:p>
    <w:p w:rsidR="006D0559" w:rsidRDefault="006D0559" w:rsidP="006D055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w:tblDescription w:val="Provides definitions for all acronymns and abbreviations used in the document eg. ADB is Asian Development Bank"/>
      </w:tblPr>
      <w:tblGrid>
        <w:gridCol w:w="1668"/>
        <w:gridCol w:w="7291"/>
      </w:tblGrid>
      <w:tr w:rsidR="00345F79" w:rsidTr="00E632D5">
        <w:trPr>
          <w:tblHeader/>
        </w:trPr>
        <w:tc>
          <w:tcPr>
            <w:tcW w:w="1668" w:type="dxa"/>
          </w:tcPr>
          <w:p w:rsidR="00345F79" w:rsidRDefault="00345F79" w:rsidP="006D0559">
            <w:r>
              <w:t>ADB</w:t>
            </w:r>
          </w:p>
        </w:tc>
        <w:tc>
          <w:tcPr>
            <w:tcW w:w="7291" w:type="dxa"/>
          </w:tcPr>
          <w:p w:rsidR="00345F79" w:rsidRDefault="00345F79" w:rsidP="006D0559">
            <w:r>
              <w:t>Asian Development Bank</w:t>
            </w:r>
          </w:p>
        </w:tc>
      </w:tr>
      <w:tr w:rsidR="00345F79" w:rsidTr="006D0559">
        <w:tc>
          <w:tcPr>
            <w:tcW w:w="1668" w:type="dxa"/>
          </w:tcPr>
          <w:p w:rsidR="00345F79" w:rsidRDefault="00345F79" w:rsidP="006D0559">
            <w:r>
              <w:t>AG</w:t>
            </w:r>
          </w:p>
        </w:tc>
        <w:tc>
          <w:tcPr>
            <w:tcW w:w="7291" w:type="dxa"/>
          </w:tcPr>
          <w:p w:rsidR="00345F79" w:rsidRDefault="00345F79" w:rsidP="006D0559">
            <w:r>
              <w:t>Auditor General</w:t>
            </w:r>
          </w:p>
        </w:tc>
      </w:tr>
      <w:tr w:rsidR="00345F79" w:rsidTr="006D0559">
        <w:tc>
          <w:tcPr>
            <w:tcW w:w="1668" w:type="dxa"/>
          </w:tcPr>
          <w:p w:rsidR="00345F79" w:rsidRDefault="00345F79" w:rsidP="006D0559">
            <w:r>
              <w:t>AusAID</w:t>
            </w:r>
          </w:p>
        </w:tc>
        <w:tc>
          <w:tcPr>
            <w:tcW w:w="7291" w:type="dxa"/>
          </w:tcPr>
          <w:p w:rsidR="00345F79" w:rsidRDefault="00345F79" w:rsidP="006D0559">
            <w:r>
              <w:t>Australian Agency for International Development</w:t>
            </w:r>
          </w:p>
        </w:tc>
      </w:tr>
      <w:tr w:rsidR="00345F79" w:rsidTr="006D0559">
        <w:tc>
          <w:tcPr>
            <w:tcW w:w="1668" w:type="dxa"/>
          </w:tcPr>
          <w:p w:rsidR="00345F79" w:rsidRDefault="00345F79" w:rsidP="006D0559">
            <w:r>
              <w:t>DP</w:t>
            </w:r>
          </w:p>
        </w:tc>
        <w:tc>
          <w:tcPr>
            <w:tcW w:w="7291" w:type="dxa"/>
          </w:tcPr>
          <w:p w:rsidR="00345F79" w:rsidRDefault="00345F79" w:rsidP="006D0559">
            <w:r>
              <w:t>Development Partner</w:t>
            </w:r>
          </w:p>
        </w:tc>
      </w:tr>
      <w:tr w:rsidR="00345F79" w:rsidTr="006D0559">
        <w:tc>
          <w:tcPr>
            <w:tcW w:w="1668" w:type="dxa"/>
          </w:tcPr>
          <w:p w:rsidR="00345F79" w:rsidRDefault="00345F79" w:rsidP="006D0559">
            <w:r>
              <w:t>ECE</w:t>
            </w:r>
          </w:p>
        </w:tc>
        <w:tc>
          <w:tcPr>
            <w:tcW w:w="7291" w:type="dxa"/>
          </w:tcPr>
          <w:p w:rsidR="00345F79" w:rsidRDefault="00345F79" w:rsidP="006D0559">
            <w:r>
              <w:t>Early Childhood Education</w:t>
            </w:r>
          </w:p>
        </w:tc>
      </w:tr>
      <w:tr w:rsidR="00345F79" w:rsidTr="006D0559">
        <w:tc>
          <w:tcPr>
            <w:tcW w:w="1668" w:type="dxa"/>
          </w:tcPr>
          <w:p w:rsidR="00345F79" w:rsidRDefault="00345F79" w:rsidP="006D0559">
            <w:r>
              <w:t>EFA</w:t>
            </w:r>
          </w:p>
        </w:tc>
        <w:tc>
          <w:tcPr>
            <w:tcW w:w="7291" w:type="dxa"/>
          </w:tcPr>
          <w:p w:rsidR="00345F79" w:rsidRDefault="00345F79" w:rsidP="006D0559">
            <w:r>
              <w:t>Education for All</w:t>
            </w:r>
          </w:p>
        </w:tc>
      </w:tr>
      <w:tr w:rsidR="00345F79" w:rsidTr="006D0559">
        <w:tc>
          <w:tcPr>
            <w:tcW w:w="1668" w:type="dxa"/>
          </w:tcPr>
          <w:p w:rsidR="00345F79" w:rsidRDefault="00345F79" w:rsidP="006D0559">
            <w:r>
              <w:t>EGRA</w:t>
            </w:r>
          </w:p>
        </w:tc>
        <w:tc>
          <w:tcPr>
            <w:tcW w:w="7291" w:type="dxa"/>
          </w:tcPr>
          <w:p w:rsidR="00345F79" w:rsidRDefault="00345F79" w:rsidP="006D0559">
            <w:r>
              <w:t>Early Grade Reading Assessment</w:t>
            </w:r>
          </w:p>
        </w:tc>
      </w:tr>
      <w:tr w:rsidR="00345F79" w:rsidTr="006D0559">
        <w:tc>
          <w:tcPr>
            <w:tcW w:w="1668" w:type="dxa"/>
          </w:tcPr>
          <w:p w:rsidR="00345F79" w:rsidRDefault="00345F79" w:rsidP="006D0559">
            <w:r>
              <w:t>GA</w:t>
            </w:r>
          </w:p>
        </w:tc>
        <w:tc>
          <w:tcPr>
            <w:tcW w:w="7291" w:type="dxa"/>
          </w:tcPr>
          <w:p w:rsidR="00345F79" w:rsidRDefault="00345F79" w:rsidP="006D0559">
            <w:r>
              <w:t>(</w:t>
            </w:r>
            <w:proofErr w:type="spellStart"/>
            <w:r>
              <w:t>GoV</w:t>
            </w:r>
            <w:proofErr w:type="spellEnd"/>
            <w:r>
              <w:t xml:space="preserve">) Government Assisted (schools) </w:t>
            </w:r>
          </w:p>
        </w:tc>
      </w:tr>
      <w:tr w:rsidR="00345F79" w:rsidTr="006D0559">
        <w:tc>
          <w:tcPr>
            <w:tcW w:w="1668" w:type="dxa"/>
          </w:tcPr>
          <w:p w:rsidR="00345F79" w:rsidRDefault="00345F79" w:rsidP="006D0559">
            <w:r>
              <w:t>GDP</w:t>
            </w:r>
          </w:p>
        </w:tc>
        <w:tc>
          <w:tcPr>
            <w:tcW w:w="7291" w:type="dxa"/>
          </w:tcPr>
          <w:p w:rsidR="00345F79" w:rsidRDefault="00345F79" w:rsidP="006D0559">
            <w:r>
              <w:t>Gross Domestic Product</w:t>
            </w:r>
          </w:p>
        </w:tc>
      </w:tr>
      <w:tr w:rsidR="00345F79" w:rsidTr="006D0559">
        <w:tc>
          <w:tcPr>
            <w:tcW w:w="1668" w:type="dxa"/>
          </w:tcPr>
          <w:p w:rsidR="00345F79" w:rsidRDefault="00345F79" w:rsidP="006D0559">
            <w:proofErr w:type="spellStart"/>
            <w:r>
              <w:t>GoV</w:t>
            </w:r>
            <w:proofErr w:type="spellEnd"/>
          </w:p>
        </w:tc>
        <w:tc>
          <w:tcPr>
            <w:tcW w:w="7291" w:type="dxa"/>
          </w:tcPr>
          <w:p w:rsidR="00345F79" w:rsidRDefault="00345F79" w:rsidP="006D0559">
            <w:r>
              <w:t>Government of Vanuatu</w:t>
            </w:r>
          </w:p>
        </w:tc>
      </w:tr>
      <w:tr w:rsidR="00345F79" w:rsidTr="006D0559">
        <w:tc>
          <w:tcPr>
            <w:tcW w:w="1668" w:type="dxa"/>
          </w:tcPr>
          <w:p w:rsidR="00345F79" w:rsidRDefault="00345F79" w:rsidP="006D0559">
            <w:r>
              <w:t>GPI</w:t>
            </w:r>
          </w:p>
        </w:tc>
        <w:tc>
          <w:tcPr>
            <w:tcW w:w="7291" w:type="dxa"/>
          </w:tcPr>
          <w:p w:rsidR="00345F79" w:rsidRDefault="00345F79" w:rsidP="006D0559">
            <w:r>
              <w:t>Gender Parity Index</w:t>
            </w:r>
          </w:p>
        </w:tc>
      </w:tr>
      <w:tr w:rsidR="00345F79" w:rsidTr="006D0559">
        <w:tc>
          <w:tcPr>
            <w:tcW w:w="1668" w:type="dxa"/>
          </w:tcPr>
          <w:p w:rsidR="00345F79" w:rsidRDefault="00345F79" w:rsidP="006D0559">
            <w:r>
              <w:t>HIES</w:t>
            </w:r>
          </w:p>
        </w:tc>
        <w:tc>
          <w:tcPr>
            <w:tcW w:w="7291" w:type="dxa"/>
          </w:tcPr>
          <w:p w:rsidR="00345F79" w:rsidRDefault="00345F79" w:rsidP="00D339A4">
            <w:pPr>
              <w:tabs>
                <w:tab w:val="left" w:pos="5438"/>
              </w:tabs>
            </w:pPr>
            <w:r>
              <w:t>Household Income and Expenditure Survey</w:t>
            </w:r>
            <w:r w:rsidR="00D339A4">
              <w:tab/>
            </w:r>
          </w:p>
        </w:tc>
      </w:tr>
      <w:tr w:rsidR="00345F79" w:rsidTr="006D0559">
        <w:tc>
          <w:tcPr>
            <w:tcW w:w="1668" w:type="dxa"/>
          </w:tcPr>
          <w:p w:rsidR="00345F79" w:rsidRDefault="00345F79" w:rsidP="006D0559">
            <w:r>
              <w:t>JPA</w:t>
            </w:r>
          </w:p>
        </w:tc>
        <w:tc>
          <w:tcPr>
            <w:tcW w:w="7291" w:type="dxa"/>
          </w:tcPr>
          <w:p w:rsidR="00345F79" w:rsidRDefault="00345F79" w:rsidP="006D0559">
            <w:r>
              <w:t>Joint Partnership Agreement</w:t>
            </w:r>
          </w:p>
        </w:tc>
      </w:tr>
      <w:tr w:rsidR="00345F79" w:rsidTr="006D0559">
        <w:tc>
          <w:tcPr>
            <w:tcW w:w="1668" w:type="dxa"/>
          </w:tcPr>
          <w:p w:rsidR="00345F79" w:rsidRDefault="00345F79" w:rsidP="006D0559">
            <w:r>
              <w:t>M&amp;E</w:t>
            </w:r>
          </w:p>
        </w:tc>
        <w:tc>
          <w:tcPr>
            <w:tcW w:w="7291" w:type="dxa"/>
          </w:tcPr>
          <w:p w:rsidR="00345F79" w:rsidRDefault="00345F79" w:rsidP="006D0559">
            <w:r>
              <w:t>Monitoring and Evaluation</w:t>
            </w:r>
          </w:p>
        </w:tc>
      </w:tr>
      <w:tr w:rsidR="00345F79" w:rsidTr="006D0559">
        <w:tc>
          <w:tcPr>
            <w:tcW w:w="1668" w:type="dxa"/>
          </w:tcPr>
          <w:p w:rsidR="00345F79" w:rsidRDefault="00345F79" w:rsidP="006D0559">
            <w:r>
              <w:t>MDG</w:t>
            </w:r>
          </w:p>
        </w:tc>
        <w:tc>
          <w:tcPr>
            <w:tcW w:w="7291" w:type="dxa"/>
          </w:tcPr>
          <w:p w:rsidR="00345F79" w:rsidRDefault="00345F79" w:rsidP="006D0559">
            <w:r>
              <w:t>Millennium Development Goal(s)</w:t>
            </w:r>
          </w:p>
        </w:tc>
      </w:tr>
      <w:tr w:rsidR="00345F79" w:rsidTr="006D0559">
        <w:tc>
          <w:tcPr>
            <w:tcW w:w="1668" w:type="dxa"/>
          </w:tcPr>
          <w:p w:rsidR="00345F79" w:rsidRDefault="00345F79" w:rsidP="006D0559">
            <w:r>
              <w:t>MFEM</w:t>
            </w:r>
          </w:p>
        </w:tc>
        <w:tc>
          <w:tcPr>
            <w:tcW w:w="7291" w:type="dxa"/>
          </w:tcPr>
          <w:p w:rsidR="00345F79" w:rsidRDefault="00345F79" w:rsidP="006D0559">
            <w:r>
              <w:t>Ministry of Finance and Economic Management</w:t>
            </w:r>
          </w:p>
        </w:tc>
      </w:tr>
      <w:tr w:rsidR="00345F79" w:rsidTr="006D0559">
        <w:tc>
          <w:tcPr>
            <w:tcW w:w="1668" w:type="dxa"/>
          </w:tcPr>
          <w:p w:rsidR="00345F79" w:rsidRDefault="00345F79" w:rsidP="006D0559">
            <w:proofErr w:type="spellStart"/>
            <w:r>
              <w:t>MoE</w:t>
            </w:r>
            <w:proofErr w:type="spellEnd"/>
          </w:p>
        </w:tc>
        <w:tc>
          <w:tcPr>
            <w:tcW w:w="7291" w:type="dxa"/>
          </w:tcPr>
          <w:p w:rsidR="00345F79" w:rsidRDefault="00345F79" w:rsidP="006D0559">
            <w:r>
              <w:t>Ministry of Education</w:t>
            </w:r>
          </w:p>
        </w:tc>
      </w:tr>
      <w:tr w:rsidR="00345F79" w:rsidTr="006D0559">
        <w:tc>
          <w:tcPr>
            <w:tcW w:w="1668" w:type="dxa"/>
          </w:tcPr>
          <w:p w:rsidR="00345F79" w:rsidRDefault="00345F79" w:rsidP="006D0559">
            <w:r>
              <w:t>MYDST</w:t>
            </w:r>
          </w:p>
        </w:tc>
        <w:tc>
          <w:tcPr>
            <w:tcW w:w="7291" w:type="dxa"/>
          </w:tcPr>
          <w:p w:rsidR="00345F79" w:rsidRDefault="00345F79" w:rsidP="006D0559">
            <w:r>
              <w:t>Ministry of Youth Development, Sport and Training</w:t>
            </w:r>
          </w:p>
        </w:tc>
      </w:tr>
      <w:tr w:rsidR="00345F79" w:rsidTr="006D0559">
        <w:tc>
          <w:tcPr>
            <w:tcW w:w="1668" w:type="dxa"/>
          </w:tcPr>
          <w:p w:rsidR="00345F79" w:rsidRDefault="00345F79" w:rsidP="006D0559">
            <w:r>
              <w:t>NER</w:t>
            </w:r>
          </w:p>
        </w:tc>
        <w:tc>
          <w:tcPr>
            <w:tcW w:w="7291" w:type="dxa"/>
          </w:tcPr>
          <w:p w:rsidR="00345F79" w:rsidRDefault="00345F79" w:rsidP="006D0559">
            <w:r>
              <w:t>Net Enrolment Rate</w:t>
            </w:r>
          </w:p>
        </w:tc>
      </w:tr>
      <w:tr w:rsidR="00345F79" w:rsidTr="006D0559">
        <w:tc>
          <w:tcPr>
            <w:tcW w:w="1668" w:type="dxa"/>
          </w:tcPr>
          <w:p w:rsidR="00345F79" w:rsidRDefault="00345F79" w:rsidP="006D0559">
            <w:r>
              <w:t>NIR</w:t>
            </w:r>
          </w:p>
        </w:tc>
        <w:tc>
          <w:tcPr>
            <w:tcW w:w="7291" w:type="dxa"/>
          </w:tcPr>
          <w:p w:rsidR="00345F79" w:rsidRDefault="00345F79" w:rsidP="006D0559">
            <w:r>
              <w:t>Net Intake Rate</w:t>
            </w:r>
          </w:p>
        </w:tc>
      </w:tr>
      <w:tr w:rsidR="00345F79" w:rsidTr="006D0559">
        <w:tc>
          <w:tcPr>
            <w:tcW w:w="1668" w:type="dxa"/>
          </w:tcPr>
          <w:p w:rsidR="00345F79" w:rsidRDefault="00345F79" w:rsidP="006D0559">
            <w:r>
              <w:t>NZMFAT</w:t>
            </w:r>
          </w:p>
        </w:tc>
        <w:tc>
          <w:tcPr>
            <w:tcW w:w="7291" w:type="dxa"/>
          </w:tcPr>
          <w:p w:rsidR="00345F79" w:rsidRDefault="00345F79" w:rsidP="006D0559">
            <w:r>
              <w:t>New Zealand Ministry of Foreign Affairs and Trade</w:t>
            </w:r>
          </w:p>
        </w:tc>
      </w:tr>
      <w:tr w:rsidR="00345F79" w:rsidTr="006D0559">
        <w:tc>
          <w:tcPr>
            <w:tcW w:w="1668" w:type="dxa"/>
          </w:tcPr>
          <w:p w:rsidR="00345F79" w:rsidRDefault="00345F79" w:rsidP="006D0559">
            <w:r>
              <w:t>PER</w:t>
            </w:r>
          </w:p>
        </w:tc>
        <w:tc>
          <w:tcPr>
            <w:tcW w:w="7291" w:type="dxa"/>
          </w:tcPr>
          <w:p w:rsidR="00345F79" w:rsidRDefault="00345F79" w:rsidP="006D0559">
            <w:r>
              <w:t>Public Expenditure Review</w:t>
            </w:r>
          </w:p>
        </w:tc>
      </w:tr>
      <w:tr w:rsidR="00345F79" w:rsidTr="006D0559">
        <w:tc>
          <w:tcPr>
            <w:tcW w:w="1668" w:type="dxa"/>
          </w:tcPr>
          <w:p w:rsidR="00345F79" w:rsidRDefault="00345F79" w:rsidP="006D0559">
            <w:r>
              <w:t>PFM</w:t>
            </w:r>
          </w:p>
        </w:tc>
        <w:tc>
          <w:tcPr>
            <w:tcW w:w="7291" w:type="dxa"/>
          </w:tcPr>
          <w:p w:rsidR="00345F79" w:rsidRDefault="00345F79" w:rsidP="006D0559">
            <w:r>
              <w:t>Public Financial Management</w:t>
            </w:r>
          </w:p>
        </w:tc>
      </w:tr>
      <w:tr w:rsidR="00345F79" w:rsidTr="006D0559">
        <w:tc>
          <w:tcPr>
            <w:tcW w:w="1668" w:type="dxa"/>
          </w:tcPr>
          <w:p w:rsidR="00345F79" w:rsidRDefault="00345F79" w:rsidP="006D0559">
            <w:r>
              <w:t>PMO</w:t>
            </w:r>
          </w:p>
        </w:tc>
        <w:tc>
          <w:tcPr>
            <w:tcW w:w="7291" w:type="dxa"/>
          </w:tcPr>
          <w:p w:rsidR="00345F79" w:rsidRDefault="00345F79" w:rsidP="006D0559">
            <w:r>
              <w:t>Prime Minister’s Office</w:t>
            </w:r>
          </w:p>
        </w:tc>
      </w:tr>
      <w:tr w:rsidR="00345F79" w:rsidTr="006D0559">
        <w:tc>
          <w:tcPr>
            <w:tcW w:w="1668" w:type="dxa"/>
          </w:tcPr>
          <w:p w:rsidR="00345F79" w:rsidRDefault="00345F79" w:rsidP="006D0559">
            <w:r>
              <w:t>PPBS</w:t>
            </w:r>
          </w:p>
        </w:tc>
        <w:tc>
          <w:tcPr>
            <w:tcW w:w="7291" w:type="dxa"/>
          </w:tcPr>
          <w:p w:rsidR="00345F79" w:rsidRDefault="00345F79" w:rsidP="006D0559">
            <w:r>
              <w:t>Program Budgeting and Performance System</w:t>
            </w:r>
          </w:p>
        </w:tc>
      </w:tr>
      <w:tr w:rsidR="00345F79" w:rsidTr="006D0559">
        <w:tc>
          <w:tcPr>
            <w:tcW w:w="1668" w:type="dxa"/>
          </w:tcPr>
          <w:p w:rsidR="00345F79" w:rsidRDefault="00345F79" w:rsidP="006D0559">
            <w:r>
              <w:t>SBM</w:t>
            </w:r>
          </w:p>
        </w:tc>
        <w:tc>
          <w:tcPr>
            <w:tcW w:w="7291" w:type="dxa"/>
          </w:tcPr>
          <w:p w:rsidR="00345F79" w:rsidRDefault="00345F79" w:rsidP="006D0559">
            <w:r>
              <w:t>School Based Management</w:t>
            </w:r>
          </w:p>
        </w:tc>
      </w:tr>
      <w:tr w:rsidR="00345F79" w:rsidTr="006D0559">
        <w:tc>
          <w:tcPr>
            <w:tcW w:w="1668" w:type="dxa"/>
          </w:tcPr>
          <w:p w:rsidR="00345F79" w:rsidRDefault="00345F79" w:rsidP="006D0559">
            <w:r>
              <w:t>SPC</w:t>
            </w:r>
          </w:p>
        </w:tc>
        <w:tc>
          <w:tcPr>
            <w:tcW w:w="7291" w:type="dxa"/>
          </w:tcPr>
          <w:p w:rsidR="00345F79" w:rsidRDefault="00345F79" w:rsidP="006D0559">
            <w:r>
              <w:t>Secretariat of the Pacific Community</w:t>
            </w:r>
          </w:p>
        </w:tc>
      </w:tr>
      <w:tr w:rsidR="00345F79" w:rsidTr="006D0559">
        <w:tc>
          <w:tcPr>
            <w:tcW w:w="1668" w:type="dxa"/>
          </w:tcPr>
          <w:p w:rsidR="00345F79" w:rsidRDefault="00345F79" w:rsidP="006D0559">
            <w:r>
              <w:t>TSC</w:t>
            </w:r>
          </w:p>
        </w:tc>
        <w:tc>
          <w:tcPr>
            <w:tcW w:w="7291" w:type="dxa"/>
          </w:tcPr>
          <w:p w:rsidR="00345F79" w:rsidRDefault="00345F79" w:rsidP="006D0559">
            <w:r>
              <w:t>Teaching Service Commission</w:t>
            </w:r>
          </w:p>
        </w:tc>
      </w:tr>
      <w:tr w:rsidR="00345F79" w:rsidTr="006D0559">
        <w:tc>
          <w:tcPr>
            <w:tcW w:w="1668" w:type="dxa"/>
          </w:tcPr>
          <w:p w:rsidR="00345F79" w:rsidRDefault="00345F79" w:rsidP="006D0559">
            <w:r>
              <w:t>TVET</w:t>
            </w:r>
          </w:p>
        </w:tc>
        <w:tc>
          <w:tcPr>
            <w:tcW w:w="7291" w:type="dxa"/>
          </w:tcPr>
          <w:p w:rsidR="00345F79" w:rsidRDefault="00345F79" w:rsidP="006D0559">
            <w:r>
              <w:t>Technical Vocational Education and Training</w:t>
            </w:r>
          </w:p>
        </w:tc>
      </w:tr>
      <w:tr w:rsidR="00345F79" w:rsidTr="006D0559">
        <w:tc>
          <w:tcPr>
            <w:tcW w:w="1668" w:type="dxa"/>
          </w:tcPr>
          <w:p w:rsidR="00345F79" w:rsidRDefault="00345F79" w:rsidP="006D0559">
            <w:r>
              <w:t>UBE</w:t>
            </w:r>
          </w:p>
        </w:tc>
        <w:tc>
          <w:tcPr>
            <w:tcW w:w="7291" w:type="dxa"/>
          </w:tcPr>
          <w:p w:rsidR="00345F79" w:rsidRDefault="00345F79" w:rsidP="006D0559">
            <w:r>
              <w:t>Universal Basic Education</w:t>
            </w:r>
          </w:p>
        </w:tc>
      </w:tr>
      <w:tr w:rsidR="00345F79" w:rsidTr="006D0559">
        <w:tc>
          <w:tcPr>
            <w:tcW w:w="1668" w:type="dxa"/>
          </w:tcPr>
          <w:p w:rsidR="00345F79" w:rsidRDefault="00345F79" w:rsidP="003A5614">
            <w:r>
              <w:t>UNICEF</w:t>
            </w:r>
          </w:p>
        </w:tc>
        <w:tc>
          <w:tcPr>
            <w:tcW w:w="7291" w:type="dxa"/>
          </w:tcPr>
          <w:p w:rsidR="00345F79" w:rsidRDefault="00345F79" w:rsidP="006D0559">
            <w:r>
              <w:t>United Nations Save the Children Fund</w:t>
            </w:r>
          </w:p>
        </w:tc>
      </w:tr>
      <w:tr w:rsidR="00345F79" w:rsidTr="006D0559">
        <w:tc>
          <w:tcPr>
            <w:tcW w:w="1668" w:type="dxa"/>
          </w:tcPr>
          <w:p w:rsidR="00345F79" w:rsidRDefault="00345F79" w:rsidP="006D0559">
            <w:r>
              <w:t>UPE</w:t>
            </w:r>
          </w:p>
        </w:tc>
        <w:tc>
          <w:tcPr>
            <w:tcW w:w="7291" w:type="dxa"/>
          </w:tcPr>
          <w:p w:rsidR="00345F79" w:rsidRDefault="00345F79" w:rsidP="006D0559">
            <w:r>
              <w:t>Universal Primary Education</w:t>
            </w:r>
          </w:p>
        </w:tc>
      </w:tr>
      <w:tr w:rsidR="00345F79" w:rsidTr="006D0559">
        <w:tc>
          <w:tcPr>
            <w:tcW w:w="1668" w:type="dxa"/>
          </w:tcPr>
          <w:p w:rsidR="00345F79" w:rsidRDefault="00345F79" w:rsidP="006D0559">
            <w:r>
              <w:t>USP</w:t>
            </w:r>
          </w:p>
        </w:tc>
        <w:tc>
          <w:tcPr>
            <w:tcW w:w="7291" w:type="dxa"/>
          </w:tcPr>
          <w:p w:rsidR="00345F79" w:rsidRDefault="00345F79" w:rsidP="006D0559">
            <w:r>
              <w:t>University of the South Pacific</w:t>
            </w:r>
          </w:p>
        </w:tc>
      </w:tr>
      <w:tr w:rsidR="00345F79" w:rsidTr="006D0559">
        <w:tc>
          <w:tcPr>
            <w:tcW w:w="1668" w:type="dxa"/>
          </w:tcPr>
          <w:p w:rsidR="00345F79" w:rsidRDefault="00345F79" w:rsidP="006D0559">
            <w:r>
              <w:t>VANSTA</w:t>
            </w:r>
          </w:p>
        </w:tc>
        <w:tc>
          <w:tcPr>
            <w:tcW w:w="7291" w:type="dxa"/>
          </w:tcPr>
          <w:p w:rsidR="00345F79" w:rsidRDefault="00345F79" w:rsidP="006D0559">
            <w:r>
              <w:t>Vanuatu Standardised Tests of Achievement</w:t>
            </w:r>
          </w:p>
        </w:tc>
      </w:tr>
      <w:tr w:rsidR="00345F79" w:rsidTr="006D0559">
        <w:tc>
          <w:tcPr>
            <w:tcW w:w="1668" w:type="dxa"/>
          </w:tcPr>
          <w:p w:rsidR="00345F79" w:rsidRDefault="00345F79" w:rsidP="006D0559">
            <w:r>
              <w:t>VCCI</w:t>
            </w:r>
          </w:p>
        </w:tc>
        <w:tc>
          <w:tcPr>
            <w:tcW w:w="7291" w:type="dxa"/>
          </w:tcPr>
          <w:p w:rsidR="00345F79" w:rsidRDefault="00345F79" w:rsidP="006D0559">
            <w:r>
              <w:t>Vanuatu Chamber of Commerce and Industry</w:t>
            </w:r>
          </w:p>
        </w:tc>
      </w:tr>
      <w:tr w:rsidR="00345F79" w:rsidTr="006D0559">
        <w:tc>
          <w:tcPr>
            <w:tcW w:w="1668" w:type="dxa"/>
          </w:tcPr>
          <w:p w:rsidR="00345F79" w:rsidRDefault="00345F79" w:rsidP="006D0559">
            <w:r>
              <w:t>VCNE</w:t>
            </w:r>
          </w:p>
        </w:tc>
        <w:tc>
          <w:tcPr>
            <w:tcW w:w="7291" w:type="dxa"/>
          </w:tcPr>
          <w:p w:rsidR="00345F79" w:rsidRDefault="00345F79" w:rsidP="006D0559">
            <w:r>
              <w:t>Vanuatu College of Nurse Education</w:t>
            </w:r>
          </w:p>
        </w:tc>
      </w:tr>
      <w:tr w:rsidR="00345F79" w:rsidTr="006D0559">
        <w:tc>
          <w:tcPr>
            <w:tcW w:w="1668" w:type="dxa"/>
          </w:tcPr>
          <w:p w:rsidR="00345F79" w:rsidRDefault="00345F79" w:rsidP="006D0559">
            <w:r>
              <w:t>VEMIS</w:t>
            </w:r>
          </w:p>
        </w:tc>
        <w:tc>
          <w:tcPr>
            <w:tcW w:w="7291" w:type="dxa"/>
          </w:tcPr>
          <w:p w:rsidR="00345F79" w:rsidRDefault="00345F79" w:rsidP="006D0559">
            <w:r>
              <w:t>Vanuatu Education Management Information System</w:t>
            </w:r>
          </w:p>
        </w:tc>
      </w:tr>
      <w:tr w:rsidR="00345F79" w:rsidTr="006D0559">
        <w:tc>
          <w:tcPr>
            <w:tcW w:w="1668" w:type="dxa"/>
          </w:tcPr>
          <w:p w:rsidR="00345F79" w:rsidRDefault="00345F79" w:rsidP="006D0559">
            <w:r>
              <w:t>VERM</w:t>
            </w:r>
          </w:p>
        </w:tc>
        <w:tc>
          <w:tcPr>
            <w:tcW w:w="7291" w:type="dxa"/>
          </w:tcPr>
          <w:p w:rsidR="00345F79" w:rsidRDefault="00345F79" w:rsidP="006D0559">
            <w:r>
              <w:t>Vanuatu Education Road Map</w:t>
            </w:r>
          </w:p>
        </w:tc>
      </w:tr>
      <w:tr w:rsidR="00345F79" w:rsidTr="006D0559">
        <w:tc>
          <w:tcPr>
            <w:tcW w:w="1668" w:type="dxa"/>
          </w:tcPr>
          <w:p w:rsidR="00345F79" w:rsidRDefault="00345F79" w:rsidP="006D0559">
            <w:r>
              <w:t>VESP</w:t>
            </w:r>
          </w:p>
        </w:tc>
        <w:tc>
          <w:tcPr>
            <w:tcW w:w="7291" w:type="dxa"/>
          </w:tcPr>
          <w:p w:rsidR="00345F79" w:rsidRDefault="00345F79" w:rsidP="006D0559">
            <w:r>
              <w:t>Vanuatu Education Sector Program</w:t>
            </w:r>
          </w:p>
        </w:tc>
      </w:tr>
      <w:tr w:rsidR="00345F79" w:rsidTr="006D0559">
        <w:tc>
          <w:tcPr>
            <w:tcW w:w="1668" w:type="dxa"/>
          </w:tcPr>
          <w:p w:rsidR="00345F79" w:rsidRDefault="00345F79" w:rsidP="006D0559">
            <w:r>
              <w:t>VESS</w:t>
            </w:r>
          </w:p>
        </w:tc>
        <w:tc>
          <w:tcPr>
            <w:tcW w:w="7291" w:type="dxa"/>
          </w:tcPr>
          <w:p w:rsidR="00345F79" w:rsidRDefault="00345F79" w:rsidP="006D0559">
            <w:r>
              <w:t>Vanuatu Education Sector Strategy</w:t>
            </w:r>
          </w:p>
        </w:tc>
      </w:tr>
      <w:tr w:rsidR="00345F79" w:rsidTr="006D0559">
        <w:tc>
          <w:tcPr>
            <w:tcW w:w="1668" w:type="dxa"/>
          </w:tcPr>
          <w:p w:rsidR="00345F79" w:rsidRDefault="00345F79" w:rsidP="006D0559">
            <w:r>
              <w:t>VIT</w:t>
            </w:r>
          </w:p>
        </w:tc>
        <w:tc>
          <w:tcPr>
            <w:tcW w:w="7291" w:type="dxa"/>
          </w:tcPr>
          <w:p w:rsidR="00345F79" w:rsidRDefault="00345F79" w:rsidP="006D0559">
            <w:r>
              <w:t>Vanuatu Institute of Technology</w:t>
            </w:r>
          </w:p>
        </w:tc>
      </w:tr>
      <w:tr w:rsidR="00345F79" w:rsidTr="006D0559">
        <w:tc>
          <w:tcPr>
            <w:tcW w:w="1668" w:type="dxa"/>
          </w:tcPr>
          <w:p w:rsidR="00345F79" w:rsidRDefault="00345F79" w:rsidP="006D0559">
            <w:r>
              <w:t>VITE</w:t>
            </w:r>
          </w:p>
        </w:tc>
        <w:tc>
          <w:tcPr>
            <w:tcW w:w="7291" w:type="dxa"/>
          </w:tcPr>
          <w:p w:rsidR="00345F79" w:rsidRDefault="00345F79" w:rsidP="006D0559">
            <w:r>
              <w:t>Vanuatu Institute of Teacher Education</w:t>
            </w:r>
          </w:p>
        </w:tc>
      </w:tr>
      <w:tr w:rsidR="00345F79" w:rsidTr="006D0559">
        <w:tc>
          <w:tcPr>
            <w:tcW w:w="1668" w:type="dxa"/>
          </w:tcPr>
          <w:p w:rsidR="00345F79" w:rsidRDefault="00345F79" w:rsidP="006D0559">
            <w:r>
              <w:t>VNSO</w:t>
            </w:r>
          </w:p>
        </w:tc>
        <w:tc>
          <w:tcPr>
            <w:tcW w:w="7291" w:type="dxa"/>
          </w:tcPr>
          <w:p w:rsidR="00345F79" w:rsidRDefault="00345F79" w:rsidP="006D0559">
            <w:r>
              <w:t>Vanuatu National Statistics Office</w:t>
            </w:r>
          </w:p>
        </w:tc>
      </w:tr>
      <w:tr w:rsidR="00345F79" w:rsidTr="006D0559">
        <w:tc>
          <w:tcPr>
            <w:tcW w:w="1668" w:type="dxa"/>
          </w:tcPr>
          <w:p w:rsidR="00345F79" w:rsidRDefault="00345F79" w:rsidP="006D0559">
            <w:r>
              <w:t>VNTC</w:t>
            </w:r>
          </w:p>
        </w:tc>
        <w:tc>
          <w:tcPr>
            <w:tcW w:w="7291" w:type="dxa"/>
          </w:tcPr>
          <w:p w:rsidR="00345F79" w:rsidRDefault="00345F79" w:rsidP="006D0559">
            <w:r>
              <w:t>Vanuatu National Training Council</w:t>
            </w:r>
          </w:p>
        </w:tc>
      </w:tr>
      <w:tr w:rsidR="00345F79" w:rsidTr="006D0559">
        <w:tc>
          <w:tcPr>
            <w:tcW w:w="1668" w:type="dxa"/>
          </w:tcPr>
          <w:p w:rsidR="00345F79" w:rsidRDefault="00345F79" w:rsidP="006D0559">
            <w:r>
              <w:t>VPC</w:t>
            </w:r>
          </w:p>
        </w:tc>
        <w:tc>
          <w:tcPr>
            <w:tcW w:w="7291" w:type="dxa"/>
          </w:tcPr>
          <w:p w:rsidR="00345F79" w:rsidRDefault="00345F79" w:rsidP="006D0559">
            <w:r>
              <w:t>Vanuatu Police College</w:t>
            </w:r>
          </w:p>
        </w:tc>
      </w:tr>
      <w:tr w:rsidR="00345F79" w:rsidTr="006D0559">
        <w:tc>
          <w:tcPr>
            <w:tcW w:w="1668" w:type="dxa"/>
          </w:tcPr>
          <w:p w:rsidR="00345F79" w:rsidRDefault="00345F79" w:rsidP="006D0559">
            <w:r>
              <w:t>VRDCTA</w:t>
            </w:r>
          </w:p>
        </w:tc>
        <w:tc>
          <w:tcPr>
            <w:tcW w:w="7291" w:type="dxa"/>
          </w:tcPr>
          <w:p w:rsidR="00345F79" w:rsidRDefault="00345F79" w:rsidP="006D0559">
            <w:r>
              <w:t>Vanuatu Rural Development and Training Centre Association</w:t>
            </w:r>
          </w:p>
        </w:tc>
      </w:tr>
      <w:tr w:rsidR="00345F79" w:rsidTr="006D0559">
        <w:tc>
          <w:tcPr>
            <w:tcW w:w="1668" w:type="dxa"/>
          </w:tcPr>
          <w:p w:rsidR="00345F79" w:rsidRDefault="00345F79" w:rsidP="006D0559">
            <w:r>
              <w:t>VT</w:t>
            </w:r>
          </w:p>
        </w:tc>
        <w:tc>
          <w:tcPr>
            <w:tcW w:w="7291" w:type="dxa"/>
          </w:tcPr>
          <w:p w:rsidR="00345F79" w:rsidRDefault="00345F79">
            <w:r>
              <w:t>Vatu – the national currency unit.  As at December 2012 A$1 = approximately 95 Vatu</w:t>
            </w:r>
          </w:p>
        </w:tc>
      </w:tr>
    </w:tbl>
    <w:p w:rsidR="00C05FAA" w:rsidRDefault="006D0559" w:rsidP="006D0559">
      <w:pPr>
        <w:rPr>
          <w:rFonts w:cs="Times New Roman"/>
          <w:szCs w:val="24"/>
        </w:rPr>
      </w:pPr>
      <w:r>
        <w:t xml:space="preserve"> </w:t>
      </w:r>
    </w:p>
    <w:p w:rsidR="006D0559" w:rsidRPr="006D0559" w:rsidRDefault="006D0559" w:rsidP="006D0559">
      <w:pPr>
        <w:rPr>
          <w:rFonts w:cs="Times New Roman"/>
          <w:szCs w:val="24"/>
        </w:rPr>
        <w:sectPr w:rsidR="006D0559" w:rsidRPr="006D0559" w:rsidSect="00617B8E">
          <w:headerReference w:type="default" r:id="rId10"/>
          <w:pgSz w:w="11906" w:h="16838"/>
          <w:pgMar w:top="1134" w:right="1134" w:bottom="709" w:left="1418" w:header="709" w:footer="709" w:gutter="0"/>
          <w:pgNumType w:start="1"/>
          <w:cols w:space="708"/>
          <w:docGrid w:linePitch="360"/>
        </w:sectPr>
      </w:pPr>
    </w:p>
    <w:p w:rsidR="00A91C17" w:rsidRPr="005727F2" w:rsidRDefault="00A91C17" w:rsidP="00D339A4">
      <w:pPr>
        <w:pStyle w:val="Heading1"/>
        <w:spacing w:before="120"/>
      </w:pPr>
      <w:bookmarkStart w:id="3" w:name="_Toc341210773"/>
      <w:bookmarkStart w:id="4" w:name="_Toc341210896"/>
      <w:bookmarkStart w:id="5" w:name="_Toc341265714"/>
      <w:bookmarkStart w:id="6" w:name="_Toc343257273"/>
      <w:bookmarkStart w:id="7" w:name="_Toc343257390"/>
      <w:bookmarkStart w:id="8" w:name="_Toc348711311"/>
      <w:r w:rsidRPr="005727F2">
        <w:lastRenderedPageBreak/>
        <w:t>Executive Summary</w:t>
      </w:r>
      <w:bookmarkEnd w:id="3"/>
      <w:bookmarkEnd w:id="4"/>
      <w:bookmarkEnd w:id="5"/>
      <w:bookmarkEnd w:id="6"/>
      <w:bookmarkEnd w:id="7"/>
      <w:bookmarkEnd w:id="8"/>
      <w:r w:rsidRPr="005727F2">
        <w:t xml:space="preserve"> </w:t>
      </w:r>
    </w:p>
    <w:p w:rsidR="00A00525" w:rsidRPr="00160C19" w:rsidRDefault="00A00525" w:rsidP="00160C19">
      <w:pPr>
        <w:pStyle w:val="Heading3"/>
      </w:pPr>
      <w:bookmarkStart w:id="9" w:name="_Toc341210774"/>
      <w:bookmarkStart w:id="10" w:name="_Toc343257274"/>
      <w:r w:rsidRPr="00160C19">
        <w:t>Background</w:t>
      </w:r>
      <w:bookmarkEnd w:id="9"/>
      <w:bookmarkEnd w:id="10"/>
    </w:p>
    <w:p w:rsidR="00A00525" w:rsidRPr="00A00525" w:rsidRDefault="00A00525" w:rsidP="00A00525"/>
    <w:p w:rsidR="00F92CC3" w:rsidRDefault="00F92CC3" w:rsidP="00F92CC3">
      <w:pPr>
        <w:jc w:val="both"/>
      </w:pPr>
      <w:r>
        <w:t>This public expenditure review (PER) of Vanuatu’s education sector has been commissioned by the Government of Vanuatu (</w:t>
      </w:r>
      <w:proofErr w:type="spellStart"/>
      <w:r>
        <w:t>GoV</w:t>
      </w:r>
      <w:proofErr w:type="spellEnd"/>
      <w:r>
        <w:t>) as one of a series of reviews over the next five years to complement the work of the Ministry of Finance and Economic Management (MFEM) in analysing the efficient and effective use of public monies.</w:t>
      </w:r>
    </w:p>
    <w:p w:rsidR="00F92CC3" w:rsidRDefault="00F92CC3" w:rsidP="00F92CC3">
      <w:pPr>
        <w:jc w:val="both"/>
      </w:pPr>
    </w:p>
    <w:p w:rsidR="00F92CC3" w:rsidRDefault="00F92CC3" w:rsidP="00F92CC3">
      <w:pPr>
        <w:jc w:val="both"/>
      </w:pPr>
      <w:r>
        <w:t>In keeping with generally-accepted principles for PERs the present review aims to address the following key questions:</w:t>
      </w:r>
    </w:p>
    <w:p w:rsidR="00F92CC3" w:rsidRDefault="00F92CC3" w:rsidP="00F92CC3">
      <w:pPr>
        <w:jc w:val="both"/>
      </w:pPr>
    </w:p>
    <w:p w:rsidR="00F92CC3" w:rsidRDefault="00F92CC3" w:rsidP="00F92CC3">
      <w:pPr>
        <w:pStyle w:val="ListParagraph"/>
        <w:numPr>
          <w:ilvl w:val="0"/>
          <w:numId w:val="1"/>
        </w:numPr>
        <w:jc w:val="both"/>
      </w:pPr>
      <w:r>
        <w:t xml:space="preserve">How much is spent on education and what is the </w:t>
      </w:r>
      <w:proofErr w:type="spellStart"/>
      <w:r>
        <w:t>GoV’s</w:t>
      </w:r>
      <w:proofErr w:type="spellEnd"/>
      <w:r>
        <w:t xml:space="preserve"> share of that?</w:t>
      </w:r>
    </w:p>
    <w:p w:rsidR="00F92CC3" w:rsidRDefault="00F92CC3" w:rsidP="00F92CC3">
      <w:pPr>
        <w:pStyle w:val="ListParagraph"/>
        <w:numPr>
          <w:ilvl w:val="0"/>
          <w:numId w:val="1"/>
        </w:numPr>
        <w:jc w:val="both"/>
      </w:pPr>
      <w:r>
        <w:t xml:space="preserve">How does the </w:t>
      </w:r>
      <w:proofErr w:type="spellStart"/>
      <w:r>
        <w:t>GoV</w:t>
      </w:r>
      <w:proofErr w:type="spellEnd"/>
      <w:r>
        <w:t xml:space="preserve"> finance education spending?</w:t>
      </w:r>
    </w:p>
    <w:p w:rsidR="00F92CC3" w:rsidRDefault="00F92CC3" w:rsidP="00F92CC3">
      <w:pPr>
        <w:pStyle w:val="ListParagraph"/>
        <w:numPr>
          <w:ilvl w:val="0"/>
          <w:numId w:val="1"/>
        </w:numPr>
        <w:jc w:val="both"/>
      </w:pPr>
      <w:r>
        <w:t>Is public spending on education distributed equitably?</w:t>
      </w:r>
    </w:p>
    <w:p w:rsidR="00F92CC3" w:rsidRDefault="00F92CC3" w:rsidP="00F92CC3">
      <w:pPr>
        <w:pStyle w:val="ListParagraph"/>
        <w:numPr>
          <w:ilvl w:val="0"/>
          <w:numId w:val="1"/>
        </w:numPr>
        <w:jc w:val="both"/>
      </w:pPr>
      <w:r>
        <w:t>Does the public get value for money from public spending on education?</w:t>
      </w:r>
    </w:p>
    <w:p w:rsidR="00F92CC3" w:rsidRDefault="00F92CC3" w:rsidP="00F92CC3">
      <w:pPr>
        <w:pStyle w:val="ListParagraph"/>
        <w:numPr>
          <w:ilvl w:val="0"/>
          <w:numId w:val="1"/>
        </w:numPr>
        <w:jc w:val="both"/>
      </w:pPr>
      <w:r>
        <w:t>Is public spending on education adequate and sustainable?</w:t>
      </w:r>
    </w:p>
    <w:p w:rsidR="00F92CC3" w:rsidRDefault="00F92CC3" w:rsidP="00F92CC3">
      <w:pPr>
        <w:jc w:val="both"/>
      </w:pPr>
    </w:p>
    <w:p w:rsidR="00F92CC3" w:rsidRDefault="00F92CC3" w:rsidP="00F92CC3">
      <w:pPr>
        <w:jc w:val="both"/>
      </w:pPr>
      <w:r>
        <w:t>These questions are primarily addressed in Section 2 with findings and recommendations drawn together in Section 3.  The review has also addressed monitoring and evaluation issues in a preliminary way as input to parallel work currently underway and in prospect (Section 4).</w:t>
      </w:r>
    </w:p>
    <w:p w:rsidR="00A00525" w:rsidRDefault="00A00525" w:rsidP="00D57D95">
      <w:pPr>
        <w:jc w:val="both"/>
      </w:pPr>
    </w:p>
    <w:p w:rsidR="00A00525" w:rsidRDefault="00A00525" w:rsidP="00A00525">
      <w:pPr>
        <w:jc w:val="both"/>
      </w:pPr>
      <w:r>
        <w:t>The Terms of Reference (</w:t>
      </w:r>
      <w:proofErr w:type="spellStart"/>
      <w:r>
        <w:t>ToR</w:t>
      </w:r>
      <w:proofErr w:type="spellEnd"/>
      <w:r>
        <w:t>) for the PER primarily sought a focus on areas of weakness in public financial management of the education sector.</w:t>
      </w:r>
      <w:r w:rsidR="00F649BE">
        <w:t xml:space="preserve">  </w:t>
      </w:r>
      <w:r>
        <w:t xml:space="preserve">The review’s findings and recommendations </w:t>
      </w:r>
      <w:r w:rsidR="00900D1D">
        <w:t xml:space="preserve">generally </w:t>
      </w:r>
      <w:r>
        <w:t>reflect that focus.</w:t>
      </w:r>
      <w:r w:rsidR="00900D1D">
        <w:t xml:space="preserve">  </w:t>
      </w:r>
      <w:r w:rsidR="00F649BE">
        <w:t xml:space="preserve">However, </w:t>
      </w:r>
      <w:r w:rsidR="00900D1D">
        <w:t xml:space="preserve">this in no way seeks to detract from the efforts being made by the </w:t>
      </w:r>
      <w:proofErr w:type="spellStart"/>
      <w:r w:rsidR="00900D1D">
        <w:t>GoV</w:t>
      </w:r>
      <w:proofErr w:type="spellEnd"/>
      <w:r w:rsidR="00900D1D">
        <w:t xml:space="preserve"> and its agencies to improve the efficiency and effectiveness of public expenditure on education.</w:t>
      </w:r>
    </w:p>
    <w:p w:rsidR="00900D1D" w:rsidRDefault="00900D1D" w:rsidP="00160C19">
      <w:pPr>
        <w:pStyle w:val="Heading3"/>
      </w:pPr>
      <w:bookmarkStart w:id="11" w:name="_Toc341210775"/>
      <w:bookmarkStart w:id="12" w:name="_Toc343257275"/>
      <w:r w:rsidRPr="00900D1D">
        <w:t>Principal findings</w:t>
      </w:r>
      <w:bookmarkEnd w:id="11"/>
      <w:bookmarkEnd w:id="12"/>
    </w:p>
    <w:p w:rsidR="00345F79" w:rsidRDefault="00345F79" w:rsidP="00900D1D">
      <w:pPr>
        <w:jc w:val="both"/>
      </w:pPr>
    </w:p>
    <w:p w:rsidR="00900D1D" w:rsidRDefault="00900D1D" w:rsidP="00900D1D">
      <w:pPr>
        <w:jc w:val="both"/>
      </w:pPr>
      <w:r>
        <w:t>The review’s main findings are presented in the form of answers to a series of questions (including those posed in the review’s terms of reference).</w:t>
      </w:r>
    </w:p>
    <w:p w:rsidR="00E142FF" w:rsidRDefault="00E142FF" w:rsidP="00900D1D">
      <w:pPr>
        <w:rPr>
          <w:u w:val="single"/>
        </w:rPr>
      </w:pPr>
    </w:p>
    <w:p w:rsidR="00F92CC3" w:rsidRPr="00900D1D" w:rsidRDefault="00F92CC3" w:rsidP="00900D1D">
      <w:pPr>
        <w:rPr>
          <w:u w:val="single"/>
        </w:rPr>
      </w:pPr>
      <w:r w:rsidRPr="00900D1D">
        <w:rPr>
          <w:u w:val="single"/>
        </w:rPr>
        <w:t xml:space="preserve">Is budgeted expenditure on education allocated in line with strategic objectives? </w:t>
      </w:r>
    </w:p>
    <w:p w:rsidR="00F92CC3" w:rsidRDefault="00F92CC3" w:rsidP="00F92CC3">
      <w:pPr>
        <w:jc w:val="both"/>
      </w:pPr>
    </w:p>
    <w:p w:rsidR="00F92CC3" w:rsidRDefault="00F92CC3" w:rsidP="00F92CC3">
      <w:pPr>
        <w:jc w:val="both"/>
      </w:pPr>
      <w:r>
        <w:t xml:space="preserve">At the aggregate level </w:t>
      </w:r>
      <w:proofErr w:type="spellStart"/>
      <w:r>
        <w:t>MoE’s</w:t>
      </w:r>
      <w:proofErr w:type="spellEnd"/>
      <w:r>
        <w:t xml:space="preserve"> budgets and expenditures as a proportion of total </w:t>
      </w:r>
      <w:proofErr w:type="spellStart"/>
      <w:r>
        <w:t>GoV</w:t>
      </w:r>
      <w:proofErr w:type="spellEnd"/>
      <w:r>
        <w:t>-funded recurrent expenditure  have been trending upwards over the past decade, albeit with fluctuations from year to year.  Its budgets have also been on a (slightly) upward trend as a proportion of Vanuatu’s GDP.  Both trends are consistent with the high priority attached by successive governments to raising access to and the quality of education.</w:t>
      </w:r>
    </w:p>
    <w:p w:rsidR="00F92CC3" w:rsidRDefault="00F92CC3" w:rsidP="00F92CC3">
      <w:pPr>
        <w:jc w:val="both"/>
      </w:pPr>
    </w:p>
    <w:p w:rsidR="00F92CC3" w:rsidRDefault="00F92CC3" w:rsidP="00F92CC3">
      <w:pPr>
        <w:jc w:val="both"/>
      </w:pPr>
      <w:r>
        <w:t>At the sub sector level, Pool Partner funding of priorities identified in the V</w:t>
      </w:r>
      <w:r w:rsidR="00E30D79">
        <w:t>anuatu Education Road Map (V</w:t>
      </w:r>
      <w:r>
        <w:t>ERM</w:t>
      </w:r>
      <w:r w:rsidR="00E30D79">
        <w:t>)</w:t>
      </w:r>
      <w:r>
        <w:t xml:space="preserve"> and any </w:t>
      </w:r>
      <w:proofErr w:type="spellStart"/>
      <w:r>
        <w:t>GoV</w:t>
      </w:r>
      <w:proofErr w:type="spellEnd"/>
      <w:r>
        <w:t xml:space="preserve"> funding directly linked to Pool Partner funding has been aligned with the main priorities articulated by the VERM.  Beyond this it is difficult to compare </w:t>
      </w:r>
      <w:proofErr w:type="spellStart"/>
      <w:r>
        <w:t>GoV</w:t>
      </w:r>
      <w:proofErr w:type="spellEnd"/>
      <w:r>
        <w:t xml:space="preserve"> budget and expenditure trends at sub sector levels to the </w:t>
      </w:r>
      <w:proofErr w:type="spellStart"/>
      <w:r>
        <w:t>GoV’s</w:t>
      </w:r>
      <w:proofErr w:type="spellEnd"/>
      <w:r>
        <w:t xml:space="preserve"> stated priorities at these levels because</w:t>
      </w:r>
      <w:r w:rsidR="00D61FCF">
        <w:t xml:space="preserve"> of the multiple ‘priorities’ identified in numerous policy statements covering all sub-sectors.  However, if improving access to and the quality of primary education are seen as major priorities, </w:t>
      </w:r>
      <w:proofErr w:type="spellStart"/>
      <w:r w:rsidR="00D61FCF">
        <w:t>GoV</w:t>
      </w:r>
      <w:proofErr w:type="spellEnd"/>
      <w:r w:rsidR="00D61FCF">
        <w:t xml:space="preserve">-funded budgets and expenditures have been heading in the opposite direction.  </w:t>
      </w:r>
      <w:r w:rsidR="00900D1D">
        <w:t xml:space="preserve">In constant price terms real </w:t>
      </w:r>
      <w:proofErr w:type="spellStart"/>
      <w:r w:rsidR="00900D1D">
        <w:t>GoV</w:t>
      </w:r>
      <w:proofErr w:type="spellEnd"/>
      <w:r w:rsidR="00E30D79">
        <w:t xml:space="preserve"> </w:t>
      </w:r>
      <w:r w:rsidR="00900D1D">
        <w:t>funding o</w:t>
      </w:r>
      <w:r w:rsidR="00F649BE">
        <w:t>f</w:t>
      </w:r>
      <w:r w:rsidR="00900D1D">
        <w:t xml:space="preserve"> the primary and secondary sub-sectors has been declining while </w:t>
      </w:r>
      <w:proofErr w:type="spellStart"/>
      <w:r w:rsidR="00900D1D">
        <w:t>GoV</w:t>
      </w:r>
      <w:proofErr w:type="spellEnd"/>
      <w:r w:rsidR="00900D1D">
        <w:t xml:space="preserve">-funded expenditure on post-secondary scholarships in particular has dramatically increased.  </w:t>
      </w:r>
      <w:r w:rsidR="00C177F1">
        <w:t xml:space="preserve">The </w:t>
      </w:r>
      <w:r w:rsidR="00C177F1" w:rsidRPr="002B09C9">
        <w:rPr>
          <w:i/>
        </w:rPr>
        <w:t>development</w:t>
      </w:r>
      <w:r w:rsidR="00C177F1">
        <w:t xml:space="preserve"> challenges facing the primary school sub sector in particular are being addressed almost exclusively by development partner funding.</w:t>
      </w:r>
    </w:p>
    <w:p w:rsidR="00F92CC3" w:rsidRPr="00C177F1" w:rsidRDefault="00F92CC3" w:rsidP="00C177F1">
      <w:pPr>
        <w:rPr>
          <w:u w:val="single"/>
        </w:rPr>
      </w:pPr>
      <w:r w:rsidRPr="00C177F1">
        <w:rPr>
          <w:u w:val="single"/>
        </w:rPr>
        <w:lastRenderedPageBreak/>
        <w:t>Are education budgets executed as intended?</w:t>
      </w:r>
    </w:p>
    <w:p w:rsidR="00F92CC3" w:rsidRDefault="00F92CC3" w:rsidP="00C177F1"/>
    <w:p w:rsidR="00356D92" w:rsidRDefault="00F92CC3" w:rsidP="003E13EF">
      <w:pPr>
        <w:jc w:val="both"/>
      </w:pPr>
      <w:r>
        <w:t xml:space="preserve">Yes, broadly speaking, at the level of </w:t>
      </w:r>
      <w:proofErr w:type="spellStart"/>
      <w:r>
        <w:t>MoE</w:t>
      </w:r>
      <w:proofErr w:type="spellEnd"/>
      <w:r>
        <w:t xml:space="preserve"> as a whole.  Below that level, expenditure patterns increasingly diverge from original budgets in the descending hierarchy of </w:t>
      </w:r>
      <w:proofErr w:type="spellStart"/>
      <w:r>
        <w:t>MoE</w:t>
      </w:r>
      <w:proofErr w:type="spellEnd"/>
      <w:r>
        <w:t xml:space="preserve"> programs</w:t>
      </w:r>
      <w:r w:rsidR="00F649BE">
        <w:t xml:space="preserve"> and </w:t>
      </w:r>
      <w:r>
        <w:t>cost centres</w:t>
      </w:r>
      <w:r w:rsidR="00F649BE">
        <w:t>.</w:t>
      </w:r>
      <w:r>
        <w:t xml:space="preserve">  </w:t>
      </w:r>
      <w:r w:rsidR="008E0C16">
        <w:t xml:space="preserve">These divergences between budgets and expenditures </w:t>
      </w:r>
      <w:r>
        <w:t>suggest</w:t>
      </w:r>
      <w:r w:rsidR="008E0C16">
        <w:t xml:space="preserve"> </w:t>
      </w:r>
      <w:r>
        <w:t xml:space="preserve">significant weaknesses in budget planning and/or subsequent expenditure control within </w:t>
      </w:r>
      <w:proofErr w:type="spellStart"/>
      <w:r>
        <w:t>MoE</w:t>
      </w:r>
      <w:proofErr w:type="spellEnd"/>
      <w:r w:rsidR="00C77093">
        <w:t>.</w:t>
      </w:r>
    </w:p>
    <w:p w:rsidR="00356D92" w:rsidRDefault="00356D92" w:rsidP="003E13EF">
      <w:pPr>
        <w:jc w:val="both"/>
      </w:pPr>
    </w:p>
    <w:p w:rsidR="00F92CC3" w:rsidRPr="00C177F1" w:rsidRDefault="00F92CC3" w:rsidP="00C177F1">
      <w:pPr>
        <w:rPr>
          <w:u w:val="single"/>
        </w:rPr>
      </w:pPr>
      <w:r w:rsidRPr="00C177F1">
        <w:rPr>
          <w:u w:val="single"/>
        </w:rPr>
        <w:t>Does education spending reach its intended beneficiaries?</w:t>
      </w:r>
    </w:p>
    <w:p w:rsidR="00F92CC3" w:rsidRDefault="00F92CC3" w:rsidP="00F92CC3">
      <w:pPr>
        <w:jc w:val="both"/>
      </w:pPr>
    </w:p>
    <w:p w:rsidR="00F92CC3" w:rsidRDefault="00D06112" w:rsidP="00F92CC3">
      <w:pPr>
        <w:jc w:val="both"/>
        <w:rPr>
          <w:iCs/>
          <w:lang w:bidi="en-US"/>
        </w:rPr>
      </w:pPr>
      <w:proofErr w:type="spellStart"/>
      <w:r>
        <w:t>MoE’s</w:t>
      </w:r>
      <w:proofErr w:type="spellEnd"/>
      <w:r>
        <w:t xml:space="preserve"> recurrent expenditure on personal emoluments and school grants amounted to some 84% of its total recurrent expenditure in 2011.  This spending broadly reached its intended beneficiaries, at least to the school level.  </w:t>
      </w:r>
      <w:r w:rsidR="00F92CC3">
        <w:t>As for the balance</w:t>
      </w:r>
      <w:r w:rsidR="004B7848">
        <w:t xml:space="preserve"> it</w:t>
      </w:r>
      <w:r w:rsidR="00F92CC3">
        <w:t xml:space="preserve"> appears clear that significant unbudgeted expenditures are incurred and that some of these, at least, are charged to cost centres unrelated to the purpose of the unbudgeted expenditures.  </w:t>
      </w:r>
      <w:r w:rsidR="00F92CC3">
        <w:rPr>
          <w:iCs/>
          <w:lang w:bidi="en-US"/>
        </w:rPr>
        <w:t>By definition, to the extent unbudgeted expenditures are incurred and funded at the expense of original budgets the originally budgeted expenditure is not reaching its intended beneficiaries.</w:t>
      </w:r>
    </w:p>
    <w:p w:rsidR="00C177F1" w:rsidRDefault="00F92CC3" w:rsidP="00C177F1">
      <w:r w:rsidRPr="006E6B2F">
        <w:t xml:space="preserve"> </w:t>
      </w:r>
    </w:p>
    <w:p w:rsidR="00F92CC3" w:rsidRPr="00C177F1" w:rsidRDefault="00F92CC3" w:rsidP="00C177F1">
      <w:pPr>
        <w:rPr>
          <w:u w:val="single"/>
        </w:rPr>
      </w:pPr>
      <w:r w:rsidRPr="00C177F1">
        <w:rPr>
          <w:u w:val="single"/>
        </w:rPr>
        <w:t>Is education spending efficient?</w:t>
      </w:r>
    </w:p>
    <w:p w:rsidR="00F92CC3" w:rsidRDefault="00F92CC3" w:rsidP="00C177F1"/>
    <w:p w:rsidR="00356D92" w:rsidRDefault="00F92CC3" w:rsidP="003E13EF">
      <w:pPr>
        <w:jc w:val="both"/>
      </w:pPr>
      <w:r>
        <w:t xml:space="preserve">The Pacific region indicators available suggest that, notwithstanding the relatively high share of education in the </w:t>
      </w:r>
      <w:proofErr w:type="spellStart"/>
      <w:r>
        <w:t>GoV’s</w:t>
      </w:r>
      <w:proofErr w:type="spellEnd"/>
      <w:r>
        <w:t xml:space="preserve"> recurrent spending</w:t>
      </w:r>
      <w:r w:rsidR="00E30D79">
        <w:t>,</w:t>
      </w:r>
      <w:r>
        <w:t xml:space="preserve"> the efficiency of </w:t>
      </w:r>
      <w:r w:rsidR="00D06112">
        <w:t xml:space="preserve">Vanuatu’s </w:t>
      </w:r>
      <w:r>
        <w:t xml:space="preserve">primary sector in terms of net enrolment rates and survival rates to the last primary grade </w:t>
      </w:r>
      <w:r w:rsidR="00E30D79">
        <w:t>is</w:t>
      </w:r>
      <w:r>
        <w:t xml:space="preserve"> at the lower end of regional norms.</w:t>
      </w:r>
      <w:r w:rsidR="004B7848">
        <w:t xml:space="preserve">  Moreover the available data suggest that </w:t>
      </w:r>
      <w:r w:rsidR="00D06112">
        <w:t xml:space="preserve">the internal </w:t>
      </w:r>
      <w:r w:rsidR="004B7848">
        <w:t>efficiency</w:t>
      </w:r>
      <w:r w:rsidR="00D06112">
        <w:t xml:space="preserve"> of the education system has not been improving in recent years at either the primary or secondary levels.</w:t>
      </w:r>
    </w:p>
    <w:p w:rsidR="00C177F1" w:rsidRDefault="00C177F1" w:rsidP="00C177F1"/>
    <w:p w:rsidR="00F92CC3" w:rsidRPr="00C177F1" w:rsidRDefault="00F92CC3" w:rsidP="00C177F1">
      <w:pPr>
        <w:rPr>
          <w:u w:val="single"/>
        </w:rPr>
      </w:pPr>
      <w:r w:rsidRPr="00C177F1">
        <w:rPr>
          <w:u w:val="single"/>
        </w:rPr>
        <w:t>Has education spending had its intended impacts?</w:t>
      </w:r>
    </w:p>
    <w:p w:rsidR="00F92CC3" w:rsidRDefault="00F92CC3" w:rsidP="00F92CC3">
      <w:pPr>
        <w:jc w:val="both"/>
      </w:pPr>
    </w:p>
    <w:p w:rsidR="00F92CC3" w:rsidRDefault="00D06112" w:rsidP="00F92CC3">
      <w:pPr>
        <w:jc w:val="both"/>
      </w:pPr>
      <w:r>
        <w:t xml:space="preserve">Over four decades or so </w:t>
      </w:r>
      <w:r w:rsidR="00F92CC3">
        <w:t xml:space="preserve">Vanuatu’s public expenditure on education has certainly had a substantial positive impact on </w:t>
      </w:r>
      <w:r w:rsidR="00F92CC3" w:rsidRPr="00791D6E">
        <w:rPr>
          <w:i/>
        </w:rPr>
        <w:t>access</w:t>
      </w:r>
      <w:r w:rsidR="00F92CC3">
        <w:t xml:space="preserve"> to primary and secondary education</w:t>
      </w:r>
      <w:r>
        <w:t xml:space="preserve">.  </w:t>
      </w:r>
      <w:r w:rsidR="00F92CC3">
        <w:t xml:space="preserve">Recent trends are less encouraging when set against the VERM strategic goal for access.  Net </w:t>
      </w:r>
      <w:r w:rsidR="00E30D79">
        <w:t>i</w:t>
      </w:r>
      <w:r w:rsidR="00F92CC3">
        <w:t xml:space="preserve">ntake and </w:t>
      </w:r>
      <w:r w:rsidR="00E30D79">
        <w:t>e</w:t>
      </w:r>
      <w:r w:rsidR="00F92CC3">
        <w:t xml:space="preserve">nrolment </w:t>
      </w:r>
      <w:r w:rsidR="00E30D79">
        <w:t>r</w:t>
      </w:r>
      <w:r w:rsidR="00F92CC3">
        <w:t>ates at primary level have been static (at best) over the period 2008-2011.  Net enrolments rates for Years 7 plus continue to fall substantially below any measure of universal access to secondary education.  Survival rates to Years 6, 10 and 13 fell over the period 2009-2011.</w:t>
      </w:r>
    </w:p>
    <w:p w:rsidR="00F92CC3" w:rsidRDefault="00F92CC3" w:rsidP="00F92CC3">
      <w:pPr>
        <w:jc w:val="both"/>
      </w:pPr>
    </w:p>
    <w:p w:rsidR="00F92CC3" w:rsidRDefault="00F92CC3" w:rsidP="00F92CC3">
      <w:pPr>
        <w:jc w:val="both"/>
      </w:pPr>
      <w:r>
        <w:t xml:space="preserve">It is not possible to draw evidence-based conclusions regarding the impacts of public expenditure on the </w:t>
      </w:r>
      <w:r w:rsidRPr="00791D6E">
        <w:rPr>
          <w:i/>
        </w:rPr>
        <w:t>quality</w:t>
      </w:r>
      <w:r>
        <w:t xml:space="preserve"> of education outcomes in Vanuatu pending the establishment of robust time series data in relation to literacy and numeracy in particular.  The limited data available suggest</w:t>
      </w:r>
      <w:r w:rsidR="00D06112">
        <w:t xml:space="preserve"> </w:t>
      </w:r>
      <w:r>
        <w:t xml:space="preserve">that increased </w:t>
      </w:r>
      <w:r w:rsidRPr="00791D6E">
        <w:t xml:space="preserve">access </w:t>
      </w:r>
      <w:r>
        <w:t>to primary and secondary education in recent years</w:t>
      </w:r>
      <w:r w:rsidR="004B7848">
        <w:t xml:space="preserve"> </w:t>
      </w:r>
      <w:r>
        <w:t xml:space="preserve">may have been at the expense of improved </w:t>
      </w:r>
      <w:r w:rsidRPr="00791D6E">
        <w:t>quality</w:t>
      </w:r>
      <w:r>
        <w:t>.</w:t>
      </w:r>
    </w:p>
    <w:p w:rsidR="00C177F1" w:rsidRDefault="00C177F1" w:rsidP="00C177F1"/>
    <w:p w:rsidR="00F92CC3" w:rsidRPr="00C177F1" w:rsidRDefault="00F92CC3" w:rsidP="00C177F1">
      <w:pPr>
        <w:rPr>
          <w:u w:val="single"/>
        </w:rPr>
      </w:pPr>
      <w:r w:rsidRPr="00C177F1">
        <w:rPr>
          <w:u w:val="single"/>
        </w:rPr>
        <w:t>Is education spending equitable?</w:t>
      </w:r>
    </w:p>
    <w:p w:rsidR="00F92CC3" w:rsidRDefault="00F92CC3" w:rsidP="00F92CC3">
      <w:pPr>
        <w:jc w:val="both"/>
      </w:pPr>
    </w:p>
    <w:p w:rsidR="00F92CC3" w:rsidRPr="00413D58" w:rsidRDefault="00F92CC3" w:rsidP="00D34AA0">
      <w:pPr>
        <w:pStyle w:val="ListParagraph"/>
        <w:numPr>
          <w:ilvl w:val="0"/>
          <w:numId w:val="50"/>
        </w:numPr>
        <w:jc w:val="both"/>
        <w:rPr>
          <w:rFonts w:eastAsia="Arial"/>
        </w:rPr>
      </w:pPr>
      <w:r w:rsidRPr="00413D58">
        <w:rPr>
          <w:rFonts w:eastAsia="Arial"/>
        </w:rPr>
        <w:t>There is no evidence of significant imbalance between males and females in access to either primary or secondary education although for those seeking tertiary scholarships it would (currently) be better to be a male.</w:t>
      </w:r>
    </w:p>
    <w:p w:rsidR="00F92CC3" w:rsidRPr="00413D58" w:rsidRDefault="00F92CC3" w:rsidP="00D34AA0">
      <w:pPr>
        <w:pStyle w:val="ListParagraph"/>
        <w:numPr>
          <w:ilvl w:val="0"/>
          <w:numId w:val="50"/>
        </w:numPr>
        <w:jc w:val="both"/>
        <w:rPr>
          <w:rFonts w:eastAsia="Arial"/>
        </w:rPr>
      </w:pPr>
      <w:r w:rsidRPr="00413D58">
        <w:rPr>
          <w:rFonts w:eastAsia="Arial"/>
        </w:rPr>
        <w:t xml:space="preserve">There is no systematic pattern of differentials between Provinces in access to or the quality of primary education.  The data do, however, suggest systematic differences favouring urban relative to rural areas in terms of access to and the quality of primary schools, and in terms of educational attainment.  </w:t>
      </w:r>
    </w:p>
    <w:p w:rsidR="00F92CC3" w:rsidRPr="00413D58" w:rsidRDefault="00F92CC3" w:rsidP="00D34AA0">
      <w:pPr>
        <w:pStyle w:val="ListParagraph"/>
        <w:numPr>
          <w:ilvl w:val="0"/>
          <w:numId w:val="50"/>
        </w:numPr>
        <w:jc w:val="both"/>
        <w:rPr>
          <w:rFonts w:eastAsia="Arial"/>
        </w:rPr>
      </w:pPr>
      <w:r w:rsidRPr="00413D58">
        <w:rPr>
          <w:rFonts w:eastAsia="Arial"/>
        </w:rPr>
        <w:t>Access to secondary and post-secondary (including tertiary) education is clearly more favourable for the relevant age groups residing in urban areas.</w:t>
      </w:r>
    </w:p>
    <w:p w:rsidR="00F92CC3" w:rsidRPr="00413D58" w:rsidRDefault="00F92CC3" w:rsidP="00D34AA0">
      <w:pPr>
        <w:pStyle w:val="ListParagraph"/>
        <w:numPr>
          <w:ilvl w:val="0"/>
          <w:numId w:val="50"/>
        </w:numPr>
        <w:jc w:val="both"/>
        <w:rPr>
          <w:rFonts w:eastAsia="Arial"/>
        </w:rPr>
      </w:pPr>
      <w:r w:rsidRPr="00413D58">
        <w:rPr>
          <w:rFonts w:eastAsia="Arial"/>
        </w:rPr>
        <w:lastRenderedPageBreak/>
        <w:t>While the data are dated, access to education at all levels and levels of educational attainment are correlated with household income/wealth (the richer the household, the higher the level of education access and attainment).</w:t>
      </w:r>
    </w:p>
    <w:p w:rsidR="00F92CC3" w:rsidRDefault="00F92CC3" w:rsidP="00F92CC3">
      <w:pPr>
        <w:jc w:val="both"/>
      </w:pPr>
    </w:p>
    <w:p w:rsidR="00F92CC3" w:rsidRPr="00C177F1" w:rsidRDefault="00F92CC3" w:rsidP="00C177F1">
      <w:pPr>
        <w:rPr>
          <w:u w:val="single"/>
        </w:rPr>
      </w:pPr>
      <w:r w:rsidRPr="00C177F1">
        <w:rPr>
          <w:u w:val="single"/>
        </w:rPr>
        <w:t>Can Vanuatu afford the goals of universal primary and basic education?</w:t>
      </w:r>
    </w:p>
    <w:p w:rsidR="00F92CC3" w:rsidRDefault="00F92CC3" w:rsidP="00F92CC3">
      <w:pPr>
        <w:jc w:val="both"/>
      </w:pPr>
    </w:p>
    <w:p w:rsidR="00F92CC3" w:rsidRDefault="002D67E6" w:rsidP="00F92CC3">
      <w:pPr>
        <w:jc w:val="both"/>
      </w:pPr>
      <w:r>
        <w:t xml:space="preserve">The review’s projections suggest </w:t>
      </w:r>
      <w:r w:rsidR="00C61DC7">
        <w:t xml:space="preserve">Vanuatu cannot, </w:t>
      </w:r>
      <w:r w:rsidR="00F92CC3">
        <w:t>over the next five years</w:t>
      </w:r>
      <w:r w:rsidR="00C61DC7">
        <w:t>,</w:t>
      </w:r>
      <w:r w:rsidR="00760CD8">
        <w:t xml:space="preserve"> afford them</w:t>
      </w:r>
      <w:r w:rsidR="00F92CC3">
        <w:t xml:space="preserve"> unless:</w:t>
      </w:r>
    </w:p>
    <w:p w:rsidR="00F92CC3" w:rsidRDefault="00F92CC3" w:rsidP="00F92CC3">
      <w:pPr>
        <w:jc w:val="both"/>
      </w:pPr>
    </w:p>
    <w:p w:rsidR="00F92CC3" w:rsidRDefault="00F92CC3" w:rsidP="00CE4350">
      <w:pPr>
        <w:pStyle w:val="ListParagraph"/>
        <w:numPr>
          <w:ilvl w:val="0"/>
          <w:numId w:val="66"/>
        </w:numPr>
        <w:jc w:val="both"/>
      </w:pPr>
      <w:r>
        <w:t>Vanuatu’s annual real growth rate of GDP is significantly faster than the average for the period 2007-2011; and/or</w:t>
      </w:r>
    </w:p>
    <w:p w:rsidR="00F92CC3" w:rsidRDefault="00F92CC3" w:rsidP="00CE4350">
      <w:pPr>
        <w:pStyle w:val="ListParagraph"/>
        <w:numPr>
          <w:ilvl w:val="0"/>
          <w:numId w:val="66"/>
        </w:numPr>
        <w:jc w:val="both"/>
      </w:pPr>
      <w:r>
        <w:t xml:space="preserve">The </w:t>
      </w:r>
      <w:proofErr w:type="spellStart"/>
      <w:r>
        <w:t>GoV’s</w:t>
      </w:r>
      <w:proofErr w:type="spellEnd"/>
      <w:r>
        <w:t xml:space="preserve"> recurrent revenue share of GDP is significantly increased; and/or</w:t>
      </w:r>
    </w:p>
    <w:p w:rsidR="00F92CC3" w:rsidRDefault="00F92CC3" w:rsidP="00CE4350">
      <w:pPr>
        <w:pStyle w:val="ListParagraph"/>
        <w:numPr>
          <w:ilvl w:val="0"/>
          <w:numId w:val="66"/>
        </w:numPr>
        <w:jc w:val="both"/>
      </w:pPr>
      <w:proofErr w:type="spellStart"/>
      <w:r>
        <w:t>MoE’s</w:t>
      </w:r>
      <w:proofErr w:type="spellEnd"/>
      <w:r>
        <w:t xml:space="preserve"> share of </w:t>
      </w:r>
      <w:proofErr w:type="spellStart"/>
      <w:r>
        <w:t>GoV</w:t>
      </w:r>
      <w:proofErr w:type="spellEnd"/>
      <w:r>
        <w:t xml:space="preserve"> recurrent revenue rises beyond its already high share of 26%.</w:t>
      </w:r>
    </w:p>
    <w:p w:rsidR="00F92CC3" w:rsidRDefault="00F92CC3" w:rsidP="00F92CC3">
      <w:pPr>
        <w:jc w:val="both"/>
      </w:pPr>
    </w:p>
    <w:p w:rsidR="00F92CC3" w:rsidRPr="00DE6FC2" w:rsidRDefault="00C177F1" w:rsidP="00F92CC3">
      <w:pPr>
        <w:jc w:val="both"/>
      </w:pPr>
      <w:r>
        <w:t xml:space="preserve">Derived from prior work by others the </w:t>
      </w:r>
      <w:r w:rsidR="00F92CC3">
        <w:t xml:space="preserve">review’s projections suggest that, if none of these </w:t>
      </w:r>
      <w:r>
        <w:t xml:space="preserve">parameters </w:t>
      </w:r>
      <w:r w:rsidR="00F92CC3">
        <w:t xml:space="preserve">change, achievement of the </w:t>
      </w:r>
      <w:r>
        <w:t xml:space="preserve">goals set for universal primary education (UPE) and basic education </w:t>
      </w:r>
      <w:r w:rsidR="000865F5">
        <w:t xml:space="preserve">(UBE) - even at a more modest rate of progress than originally set for 2015 - </w:t>
      </w:r>
      <w:r w:rsidR="00F92CC3">
        <w:t xml:space="preserve">would add an </w:t>
      </w:r>
      <w:r w:rsidR="00F92CC3" w:rsidRPr="00355D6B">
        <w:rPr>
          <w:i/>
        </w:rPr>
        <w:t>annual</w:t>
      </w:r>
      <w:r w:rsidR="00F92CC3">
        <w:t xml:space="preserve"> average of some VT510 million (12%) to </w:t>
      </w:r>
      <w:proofErr w:type="spellStart"/>
      <w:r w:rsidR="00F92CC3">
        <w:t>MoE’s</w:t>
      </w:r>
      <w:proofErr w:type="spellEnd"/>
      <w:r w:rsidR="00F92CC3">
        <w:t xml:space="preserve"> recurrent funding requirement over the period 2013-2017 compared to the status quo.</w:t>
      </w:r>
      <w:r w:rsidR="00D06112">
        <w:t xml:space="preserve">  </w:t>
      </w:r>
      <w:r w:rsidR="00F92CC3" w:rsidRPr="00DE6FC2">
        <w:t xml:space="preserve">Under any plausible scenario the </w:t>
      </w:r>
      <w:proofErr w:type="spellStart"/>
      <w:r w:rsidR="00F92CC3" w:rsidRPr="00DE6FC2">
        <w:t>GoV</w:t>
      </w:r>
      <w:proofErr w:type="spellEnd"/>
      <w:r w:rsidR="00F92CC3" w:rsidRPr="00DE6FC2">
        <w:t xml:space="preserve"> will be struggling to meets its commitments for recurrent funding of primary and secondary education</w:t>
      </w:r>
      <w:r w:rsidR="00C67D20">
        <w:t xml:space="preserve"> and faces a substantial degree of budget ‘lock-in’</w:t>
      </w:r>
      <w:r w:rsidR="00F92CC3" w:rsidRPr="00DE6FC2">
        <w:t>.</w:t>
      </w:r>
    </w:p>
    <w:p w:rsidR="00C67D20" w:rsidRDefault="00C67D20" w:rsidP="00C67D20"/>
    <w:p w:rsidR="00F92CC3" w:rsidRPr="00C67D20" w:rsidRDefault="00F92CC3" w:rsidP="00C67D20">
      <w:pPr>
        <w:rPr>
          <w:u w:val="single"/>
        </w:rPr>
      </w:pPr>
      <w:r w:rsidRPr="00C67D20">
        <w:rPr>
          <w:u w:val="single"/>
        </w:rPr>
        <w:t xml:space="preserve">What are the principal </w:t>
      </w:r>
      <w:r w:rsidR="0021118D">
        <w:rPr>
          <w:u w:val="single"/>
        </w:rPr>
        <w:t>weaknesses in public financial management of the education sector?</w:t>
      </w:r>
    </w:p>
    <w:p w:rsidR="00F92CC3" w:rsidRDefault="00F92CC3" w:rsidP="00F92CC3">
      <w:pPr>
        <w:jc w:val="both"/>
      </w:pPr>
    </w:p>
    <w:p w:rsidR="00F92CC3" w:rsidRDefault="00F92CC3" w:rsidP="00F92CC3">
      <w:pPr>
        <w:jc w:val="both"/>
      </w:pPr>
      <w:r>
        <w:t xml:space="preserve">The review suggests that there are five key weaknesses of public expenditure management contributing to poor outcomes from </w:t>
      </w:r>
      <w:proofErr w:type="spellStart"/>
      <w:r>
        <w:t>GoV</w:t>
      </w:r>
      <w:proofErr w:type="spellEnd"/>
      <w:r>
        <w:t xml:space="preserve"> spending on the education sector.</w:t>
      </w:r>
    </w:p>
    <w:p w:rsidR="00F92CC3" w:rsidRDefault="00F92CC3" w:rsidP="00F92CC3">
      <w:pPr>
        <w:jc w:val="both"/>
      </w:pPr>
    </w:p>
    <w:p w:rsidR="00F92CC3" w:rsidRDefault="00F92CC3" w:rsidP="00CE4350">
      <w:pPr>
        <w:pStyle w:val="ListParagraph"/>
        <w:numPr>
          <w:ilvl w:val="0"/>
          <w:numId w:val="68"/>
        </w:numPr>
        <w:jc w:val="both"/>
      </w:pPr>
      <w:r>
        <w:t xml:space="preserve">The </w:t>
      </w:r>
      <w:proofErr w:type="spellStart"/>
      <w:r>
        <w:t>GoV</w:t>
      </w:r>
      <w:proofErr w:type="spellEnd"/>
      <w:r>
        <w:t xml:space="preserve"> is trying to do too much relative to current and prospective funding availability.  </w:t>
      </w:r>
    </w:p>
    <w:p w:rsidR="00F92CC3" w:rsidRDefault="0021118D" w:rsidP="00CE4350">
      <w:pPr>
        <w:pStyle w:val="ListParagraph"/>
        <w:numPr>
          <w:ilvl w:val="0"/>
          <w:numId w:val="68"/>
        </w:numPr>
        <w:jc w:val="both"/>
      </w:pPr>
      <w:r>
        <w:t xml:space="preserve">In </w:t>
      </w:r>
      <w:r w:rsidR="00F92CC3">
        <w:t xml:space="preserve">the absence of systematic </w:t>
      </w:r>
      <w:proofErr w:type="spellStart"/>
      <w:r w:rsidR="00F92CC3">
        <w:t>GoV</w:t>
      </w:r>
      <w:proofErr w:type="spellEnd"/>
      <w:r w:rsidR="00F92CC3">
        <w:t xml:space="preserve"> consideration of its education sector expenditure priorities </w:t>
      </w:r>
      <w:proofErr w:type="spellStart"/>
      <w:r w:rsidR="00F92CC3">
        <w:t>GoV</w:t>
      </w:r>
      <w:proofErr w:type="spellEnd"/>
      <w:r w:rsidR="00F92CC3">
        <w:t xml:space="preserve"> recurrent budget allocations are typically determined on the basis</w:t>
      </w:r>
      <w:r w:rsidR="00E30D79">
        <w:t xml:space="preserve"> of</w:t>
      </w:r>
      <w:r w:rsidR="00F92CC3">
        <w:t xml:space="preserve"> ‘last year’s budget plus or minus a small amount’.  Serious debate concerning expenditure priorities is confined to the allocation of development partner funding</w:t>
      </w:r>
      <w:r w:rsidR="00760CD8">
        <w:t>.</w:t>
      </w:r>
    </w:p>
    <w:p w:rsidR="00F92CC3" w:rsidRDefault="00F92CC3" w:rsidP="00CE4350">
      <w:pPr>
        <w:pStyle w:val="ListParagraph"/>
        <w:numPr>
          <w:ilvl w:val="0"/>
          <w:numId w:val="68"/>
        </w:numPr>
        <w:jc w:val="both"/>
      </w:pPr>
      <w:r>
        <w:t xml:space="preserve">Other than at an aggregate level within ceilings enforced by MFEM the </w:t>
      </w:r>
      <w:proofErr w:type="spellStart"/>
      <w:r>
        <w:t>GoV</w:t>
      </w:r>
      <w:proofErr w:type="spellEnd"/>
      <w:r>
        <w:t xml:space="preserve"> and </w:t>
      </w:r>
      <w:proofErr w:type="spellStart"/>
      <w:r>
        <w:t>MoE</w:t>
      </w:r>
      <w:proofErr w:type="spellEnd"/>
      <w:r>
        <w:t xml:space="preserve"> have lost control of education expenditures relative to budgets.</w:t>
      </w:r>
    </w:p>
    <w:p w:rsidR="00F92CC3" w:rsidRDefault="0021118D" w:rsidP="00CE4350">
      <w:pPr>
        <w:pStyle w:val="ListParagraph"/>
        <w:numPr>
          <w:ilvl w:val="0"/>
          <w:numId w:val="68"/>
        </w:numPr>
        <w:jc w:val="both"/>
      </w:pPr>
      <w:r>
        <w:t>D</w:t>
      </w:r>
      <w:r w:rsidR="00F92CC3">
        <w:t xml:space="preserve">espite the best endeavours of </w:t>
      </w:r>
      <w:proofErr w:type="spellStart"/>
      <w:r w:rsidR="00F92CC3">
        <w:t>MoE</w:t>
      </w:r>
      <w:proofErr w:type="spellEnd"/>
      <w:r w:rsidR="00F92CC3">
        <w:t xml:space="preserve"> senior management it appears that decisions and instructions from a political level pay scant regard to either stated policy priorities or funding availability.</w:t>
      </w:r>
    </w:p>
    <w:p w:rsidR="00F92CC3" w:rsidRPr="003713E5" w:rsidRDefault="00D06112" w:rsidP="00CE4350">
      <w:pPr>
        <w:pStyle w:val="ListParagraph"/>
        <w:numPr>
          <w:ilvl w:val="0"/>
          <w:numId w:val="68"/>
        </w:numPr>
        <w:jc w:val="both"/>
      </w:pPr>
      <w:r>
        <w:t>L</w:t>
      </w:r>
      <w:r w:rsidR="00F92CC3" w:rsidRPr="003713E5">
        <w:t>egislat</w:t>
      </w:r>
      <w:r>
        <w:t xml:space="preserve">ed </w:t>
      </w:r>
      <w:r w:rsidR="00F92CC3" w:rsidRPr="003713E5">
        <w:t xml:space="preserve">requirements (and regulations/instructions pursuant to legislation) in relation to financial reporting on public expenditure at the level of Ministries, Provinces and schools are persistently ignored by most players at most levels.  Consequently the </w:t>
      </w:r>
      <w:proofErr w:type="spellStart"/>
      <w:r w:rsidR="00F92CC3" w:rsidRPr="003713E5">
        <w:t>GoV</w:t>
      </w:r>
      <w:proofErr w:type="spellEnd"/>
      <w:r w:rsidR="00F92CC3" w:rsidRPr="003713E5">
        <w:t>, the Parliament and communit</w:t>
      </w:r>
      <w:r w:rsidR="00F92CC3">
        <w:t xml:space="preserve">ies </w:t>
      </w:r>
      <w:r w:rsidR="00F92CC3" w:rsidRPr="003713E5">
        <w:t>at large have very little basis for assessing how public expenditure has actually been spent.</w:t>
      </w:r>
    </w:p>
    <w:p w:rsidR="00635B90" w:rsidRDefault="00635B90" w:rsidP="00160C19">
      <w:pPr>
        <w:pStyle w:val="Heading3"/>
      </w:pPr>
      <w:bookmarkStart w:id="13" w:name="_Toc341210776"/>
      <w:bookmarkStart w:id="14" w:name="_Toc343257276"/>
      <w:r>
        <w:br w:type="page"/>
      </w:r>
    </w:p>
    <w:p w:rsidR="00F92CC3" w:rsidRPr="00C67D20" w:rsidRDefault="00C67D20" w:rsidP="00160C19">
      <w:pPr>
        <w:pStyle w:val="Heading3"/>
      </w:pPr>
      <w:r>
        <w:lastRenderedPageBreak/>
        <w:t>Principal r</w:t>
      </w:r>
      <w:r w:rsidR="00F92CC3" w:rsidRPr="00C67D20">
        <w:t>ecommendations</w:t>
      </w:r>
      <w:bookmarkEnd w:id="13"/>
      <w:r w:rsidR="00266100">
        <w:rPr>
          <w:rStyle w:val="FootnoteReference"/>
          <w:i w:val="0"/>
        </w:rPr>
        <w:footnoteReference w:id="1"/>
      </w:r>
      <w:bookmarkEnd w:id="14"/>
    </w:p>
    <w:p w:rsidR="00F92CC3" w:rsidRDefault="00F92CC3" w:rsidP="00F92CC3"/>
    <w:p w:rsidR="00F92CC3" w:rsidRDefault="00F92CC3" w:rsidP="00F92CC3">
      <w:pPr>
        <w:jc w:val="both"/>
      </w:pPr>
      <w:r>
        <w:t xml:space="preserve">Prior studies and reviews by both technical advisors and </w:t>
      </w:r>
      <w:proofErr w:type="spellStart"/>
      <w:r>
        <w:t>GoV</w:t>
      </w:r>
      <w:proofErr w:type="spellEnd"/>
      <w:r>
        <w:t xml:space="preserve"> agencies have previously recommended a range of measures aimed at improving the efficiency (‘value for money’) of Vanuatu’s public expenditure on education.  The review endorses and recommends the following in particular.</w:t>
      </w:r>
    </w:p>
    <w:p w:rsidR="00216985" w:rsidRDefault="00216985" w:rsidP="00F92CC3">
      <w:pPr>
        <w:jc w:val="both"/>
      </w:pPr>
    </w:p>
    <w:tbl>
      <w:tblPr>
        <w:tblStyle w:val="TableGrid"/>
        <w:tblW w:w="0" w:type="auto"/>
        <w:tblLook w:val="04A0" w:firstRow="1" w:lastRow="0" w:firstColumn="1" w:lastColumn="0" w:noHBand="0" w:noVBand="1"/>
        <w:tblCaption w:val="Recommendation 1"/>
        <w:tblDescription w:val="Provides details of review recommendation 1. Text is: &quot;Recommendation 1: That the Government of Vanuatu actively seek to implement and/or enforce the following recommendations of prior reviews:&#10;a) Amend the Teaching Service Act to vest teacher appointment powers solely and unambiguously in the hands of the Teaching Service Commission.&#10;b) Strengthen the administrative resources of the Teaching Service Commission.&#10;c) Transition to application of correct age entry to Year 1 of primary schooling. &#10;d) Strictly apply the salary rates specified for unqualified/uncertified teachers.&#10;e) Enforce stricter administration of teacher housing allowances.&#10;f) Rotate teachers between schools less frequently and, possibly, provide some preference in teacher appointments for appointees originating from specific rural/remote locations.&#10;g) Review teacher pay structures and conditions aimed at rewarding good performance (possibly implemented over time by application to new teaching service entrants).&#10;h) Enforce transparent public tendering and outsourcing of school supplies including strict adherence to the provisions of the Public Contracts and Tenders Act.&#10;i) Strictly apply merit-based principles for the award of GoV-funded scholarships, re-call scholarship recipients failing intermediate stages in their progress to an award and provide for representation of the PMO and MFEM on the National Education Commission.&#10;j) Define a financially sustainable policy on the issue of leases for school sites.&#10;k) Ensure that appointments to education-related governing and advisory bodies are made strictly on merit.&#10;l) Improve the coding of expenditure transactions conducted through school bank accounts to better track the uses to which funding is being put by schools.&quot;"/>
      </w:tblPr>
      <w:tblGrid>
        <w:gridCol w:w="9570"/>
      </w:tblGrid>
      <w:tr w:rsidR="00E632D5" w:rsidTr="00E632D5">
        <w:trPr>
          <w:trHeight w:val="6909"/>
          <w:tblHeader/>
        </w:trPr>
        <w:tc>
          <w:tcPr>
            <w:tcW w:w="9570" w:type="dxa"/>
            <w:tcBorders>
              <w:top w:val="single" w:sz="4" w:space="0" w:color="auto"/>
            </w:tcBorders>
            <w:shd w:val="clear" w:color="auto" w:fill="BFBFBF" w:themeFill="background1" w:themeFillShade="BF"/>
          </w:tcPr>
          <w:p w:rsidR="00E632D5" w:rsidRPr="00E632D5" w:rsidRDefault="00E632D5" w:rsidP="00F92CC3">
            <w:pPr>
              <w:jc w:val="both"/>
            </w:pPr>
            <w:r w:rsidRPr="00426416">
              <w:rPr>
                <w:b/>
              </w:rPr>
              <w:t>Recommendation 1</w:t>
            </w:r>
            <w:r>
              <w:t>:  That the Government of Vanuatu actively seek to implement and/or enforce the following recommendations of prior reviews:</w:t>
            </w:r>
          </w:p>
          <w:p w:rsidR="00E632D5" w:rsidRDefault="00E632D5" w:rsidP="00E632D5">
            <w:pPr>
              <w:pStyle w:val="ListParagraph"/>
              <w:jc w:val="both"/>
            </w:pPr>
          </w:p>
          <w:p w:rsidR="00E632D5" w:rsidRDefault="00E632D5" w:rsidP="003E13EF">
            <w:pPr>
              <w:pStyle w:val="ListParagraph"/>
              <w:numPr>
                <w:ilvl w:val="0"/>
                <w:numId w:val="111"/>
              </w:numPr>
              <w:jc w:val="both"/>
            </w:pPr>
            <w:r>
              <w:t>Amend the Teaching Service Act to vest teacher appointment powers solely and unambiguously in the hands of the Teaching Service Commission.</w:t>
            </w:r>
          </w:p>
          <w:p w:rsidR="00E632D5" w:rsidRDefault="00E632D5" w:rsidP="003E13EF">
            <w:pPr>
              <w:pStyle w:val="ListParagraph"/>
              <w:numPr>
                <w:ilvl w:val="0"/>
                <w:numId w:val="111"/>
              </w:numPr>
              <w:jc w:val="both"/>
            </w:pPr>
            <w:r>
              <w:t>Strengthen the administrative resources of the Teaching Service Commission.</w:t>
            </w:r>
          </w:p>
          <w:p w:rsidR="00E632D5" w:rsidRDefault="00E632D5" w:rsidP="003E13EF">
            <w:pPr>
              <w:pStyle w:val="ListParagraph"/>
              <w:numPr>
                <w:ilvl w:val="0"/>
                <w:numId w:val="111"/>
              </w:numPr>
              <w:jc w:val="both"/>
            </w:pPr>
            <w:r>
              <w:t xml:space="preserve">Transition to application of correct age entry to Year 1 of primary schooling. </w:t>
            </w:r>
          </w:p>
          <w:p w:rsidR="00E632D5" w:rsidRDefault="00E632D5" w:rsidP="003E13EF">
            <w:pPr>
              <w:pStyle w:val="ListParagraph"/>
              <w:numPr>
                <w:ilvl w:val="0"/>
                <w:numId w:val="111"/>
              </w:numPr>
              <w:jc w:val="both"/>
            </w:pPr>
            <w:r>
              <w:t>Strictly apply the salary rates specified for unqualified/uncertified teachers.</w:t>
            </w:r>
          </w:p>
          <w:p w:rsidR="00E632D5" w:rsidRDefault="00E632D5" w:rsidP="003E13EF">
            <w:pPr>
              <w:pStyle w:val="ListParagraph"/>
              <w:numPr>
                <w:ilvl w:val="0"/>
                <w:numId w:val="111"/>
              </w:numPr>
              <w:jc w:val="both"/>
            </w:pPr>
            <w:r>
              <w:t>Enforce stricter administration of teacher housing allowances.</w:t>
            </w:r>
          </w:p>
          <w:p w:rsidR="00E632D5" w:rsidRDefault="00E632D5" w:rsidP="003E13EF">
            <w:pPr>
              <w:pStyle w:val="ListParagraph"/>
              <w:numPr>
                <w:ilvl w:val="0"/>
                <w:numId w:val="111"/>
              </w:numPr>
              <w:jc w:val="both"/>
            </w:pPr>
            <w:r>
              <w:t>Rotate teachers between schools less frequently and, possibly, provide some preference in teacher appointments for appointees originating from specific rural/remote locations.</w:t>
            </w:r>
          </w:p>
          <w:p w:rsidR="00E632D5" w:rsidRDefault="00E632D5" w:rsidP="003E13EF">
            <w:pPr>
              <w:pStyle w:val="ListParagraph"/>
              <w:numPr>
                <w:ilvl w:val="0"/>
                <w:numId w:val="111"/>
              </w:numPr>
              <w:jc w:val="both"/>
            </w:pPr>
            <w:r>
              <w:t>Review teacher pay structures and conditions aimed at rewarding good performance (possibly implemented over time by application to new teaching service entrants).</w:t>
            </w:r>
          </w:p>
          <w:p w:rsidR="00E632D5" w:rsidRDefault="00E632D5" w:rsidP="003E13EF">
            <w:pPr>
              <w:pStyle w:val="ListParagraph"/>
              <w:numPr>
                <w:ilvl w:val="0"/>
                <w:numId w:val="111"/>
              </w:numPr>
              <w:jc w:val="both"/>
            </w:pPr>
            <w:r>
              <w:t>Enforce transparent public tendering and outsourcing of school supplies including strict adherence to the provisions of the Public Contracts and Tenders Act.</w:t>
            </w:r>
          </w:p>
          <w:p w:rsidR="00E632D5" w:rsidRDefault="00E632D5" w:rsidP="003E13EF">
            <w:pPr>
              <w:pStyle w:val="ListParagraph"/>
              <w:numPr>
                <w:ilvl w:val="0"/>
                <w:numId w:val="111"/>
              </w:numPr>
              <w:jc w:val="both"/>
            </w:pPr>
            <w:r>
              <w:t xml:space="preserve">Strictly apply merit-based principles for the award of </w:t>
            </w:r>
            <w:proofErr w:type="spellStart"/>
            <w:r>
              <w:t>GoV</w:t>
            </w:r>
            <w:proofErr w:type="spellEnd"/>
            <w:r>
              <w:t>-funded scholarships, re-call scholarship recipients failing intermediate stages in their progress to an award and provide for representation of the PMO and MFEM on the National Education Commission.</w:t>
            </w:r>
          </w:p>
          <w:p w:rsidR="00E632D5" w:rsidRDefault="00E632D5" w:rsidP="003E13EF">
            <w:pPr>
              <w:pStyle w:val="ListParagraph"/>
              <w:numPr>
                <w:ilvl w:val="0"/>
                <w:numId w:val="111"/>
              </w:numPr>
            </w:pPr>
            <w:r>
              <w:t>Define a financially sustainable policy on the issue of leases for school sites.</w:t>
            </w:r>
          </w:p>
          <w:p w:rsidR="00E632D5" w:rsidRDefault="00E632D5" w:rsidP="003E13EF">
            <w:pPr>
              <w:pStyle w:val="ListParagraph"/>
              <w:numPr>
                <w:ilvl w:val="0"/>
                <w:numId w:val="111"/>
              </w:numPr>
              <w:jc w:val="both"/>
            </w:pPr>
            <w:r>
              <w:t>Ensure that appointments to education-related governing and advisory bodies are made strictly on merit.</w:t>
            </w:r>
          </w:p>
          <w:p w:rsidR="00E632D5" w:rsidRDefault="00E632D5" w:rsidP="003E13EF">
            <w:pPr>
              <w:pStyle w:val="ListParagraph"/>
              <w:numPr>
                <w:ilvl w:val="0"/>
                <w:numId w:val="111"/>
              </w:numPr>
              <w:jc w:val="both"/>
            </w:pPr>
            <w:r>
              <w:t>Improve the coding of expenditure transactions conducted through school bank accounts to better track the uses to which funding is being put by schools.</w:t>
            </w:r>
          </w:p>
          <w:p w:rsidR="00E632D5" w:rsidRPr="00E632D5" w:rsidRDefault="00E632D5" w:rsidP="00F92CC3">
            <w:pPr>
              <w:jc w:val="both"/>
            </w:pPr>
          </w:p>
        </w:tc>
      </w:tr>
    </w:tbl>
    <w:p w:rsidR="00F92CC3" w:rsidRDefault="00F92CC3" w:rsidP="00F92CC3">
      <w:pPr>
        <w:jc w:val="both"/>
      </w:pPr>
    </w:p>
    <w:p w:rsidR="00F92CC3" w:rsidRDefault="00E615DB" w:rsidP="00F92CC3">
      <w:pPr>
        <w:jc w:val="both"/>
      </w:pPr>
      <w:r>
        <w:t>The review makes five further recommendations fr</w:t>
      </w:r>
      <w:r w:rsidR="00F92CC3">
        <w:t>om a public financial management perspective</w:t>
      </w:r>
      <w:r>
        <w:t xml:space="preserve">.  </w:t>
      </w:r>
      <w:r w:rsidR="00F92CC3">
        <w:t>These are presented in descending order of priority as the review sees them.</w:t>
      </w:r>
    </w:p>
    <w:p w:rsidR="00C67D20" w:rsidRDefault="00C67D20" w:rsidP="00C67D20"/>
    <w:p w:rsidR="00F92CC3" w:rsidRDefault="0038270A" w:rsidP="00F92CC3">
      <w:pPr>
        <w:jc w:val="both"/>
      </w:pPr>
      <w:r w:rsidRPr="003E13EF">
        <w:rPr>
          <w:i/>
        </w:rPr>
        <w:t>Strengthen control of annual funding inputs:</w:t>
      </w:r>
      <w:r w:rsidR="00E615DB">
        <w:rPr>
          <w:i/>
        </w:rPr>
        <w:t xml:space="preserve">  </w:t>
      </w:r>
      <w:r w:rsidR="00F92CC3">
        <w:t>It is a cardinal principle of public financial management that before governments can influence outputs</w:t>
      </w:r>
      <w:r w:rsidR="004149AC">
        <w:t xml:space="preserve"> or </w:t>
      </w:r>
      <w:r w:rsidR="00F92CC3">
        <w:t>outcomes</w:t>
      </w:r>
      <w:r w:rsidR="0085109A">
        <w:t xml:space="preserve"> </w:t>
      </w:r>
      <w:r w:rsidR="00F92CC3">
        <w:t xml:space="preserve">they should establish firm control of financial inputs.  In addition to addressing the issue of unbudgeted teacher appointments the </w:t>
      </w:r>
      <w:proofErr w:type="spellStart"/>
      <w:r w:rsidR="00F92CC3">
        <w:t>GoV</w:t>
      </w:r>
      <w:proofErr w:type="spellEnd"/>
      <w:r w:rsidR="00F92CC3">
        <w:t xml:space="preserve">, MFEM and </w:t>
      </w:r>
      <w:proofErr w:type="spellStart"/>
      <w:r w:rsidR="00F92CC3">
        <w:t>MoE</w:t>
      </w:r>
      <w:proofErr w:type="spellEnd"/>
      <w:r w:rsidR="00F92CC3">
        <w:t xml:space="preserve"> can gain better control of annual expenditure inputs in four main ways. </w:t>
      </w:r>
    </w:p>
    <w:tbl>
      <w:tblPr>
        <w:tblStyle w:val="TableGrid"/>
        <w:tblW w:w="0" w:type="auto"/>
        <w:tblLook w:val="04A0" w:firstRow="1" w:lastRow="0" w:firstColumn="1" w:lastColumn="0" w:noHBand="0" w:noVBand="1"/>
        <w:tblCaption w:val="Recommendation 2"/>
        <w:tblDescription w:val="Provides details of review recommendation 2. Text is: &quot;Recommendation 2:  Strengthen control of annual funding inputs by the following means.&#10;a) Via MoE and MFEM, systematically review proposed funding allocations to MoE cost centres for 2013 and annually thereafter to ensure these reflect realistic assessments at each cost centre level of what is to be spent (within the aggregate funding ceiling) rather than the prior year’s cost centre budget.&#10;b) In conjunction with (a) undertake a thorough review of actual expenditures at the cost centre level in 2012 to determine the extent to which actual expenditures were posted to the correct cost centres/codes.&#10;c) Ensure in 2013 and beyond that any unbudgeted expenditure to be funded from within MoE’s original budget ceiling is formally vired within Smartstream to the appropriate cost centre/code from the cost centre/code providing the funding source.&quot;"/>
      </w:tblPr>
      <w:tblGrid>
        <w:gridCol w:w="9570"/>
      </w:tblGrid>
      <w:tr w:rsidR="00E632D5" w:rsidTr="00E632D5">
        <w:trPr>
          <w:trHeight w:val="4702"/>
          <w:tblHeader/>
        </w:trPr>
        <w:tc>
          <w:tcPr>
            <w:tcW w:w="9570" w:type="dxa"/>
            <w:shd w:val="clear" w:color="auto" w:fill="BFBFBF" w:themeFill="background1" w:themeFillShade="BF"/>
          </w:tcPr>
          <w:p w:rsidR="00E632D5" w:rsidRDefault="00E632D5" w:rsidP="00F92CC3">
            <w:pPr>
              <w:jc w:val="both"/>
            </w:pPr>
            <w:r w:rsidRPr="00BF71B2">
              <w:rPr>
                <w:b/>
              </w:rPr>
              <w:lastRenderedPageBreak/>
              <w:t>Recommendation 2</w:t>
            </w:r>
            <w:r>
              <w:t>:  Strengthen control of annual funding inputs by the following means.</w:t>
            </w:r>
          </w:p>
          <w:p w:rsidR="00E632D5" w:rsidRDefault="00E632D5" w:rsidP="00F92CC3">
            <w:pPr>
              <w:jc w:val="both"/>
            </w:pPr>
          </w:p>
          <w:p w:rsidR="00E632D5" w:rsidRDefault="00E632D5" w:rsidP="00CE4350">
            <w:pPr>
              <w:pStyle w:val="ListParagraph"/>
              <w:numPr>
                <w:ilvl w:val="0"/>
                <w:numId w:val="77"/>
              </w:numPr>
              <w:jc w:val="both"/>
            </w:pPr>
            <w:r>
              <w:t xml:space="preserve">Via </w:t>
            </w:r>
            <w:proofErr w:type="spellStart"/>
            <w:r>
              <w:t>MoE</w:t>
            </w:r>
            <w:proofErr w:type="spellEnd"/>
            <w:r>
              <w:t xml:space="preserve"> and MFEM, systematically review proposed funding allocations to </w:t>
            </w:r>
            <w:proofErr w:type="spellStart"/>
            <w:r>
              <w:t>MoE</w:t>
            </w:r>
            <w:proofErr w:type="spellEnd"/>
            <w:r>
              <w:t xml:space="preserve"> cost centres for 2013 and annually thereafter to ensure these reflect realistic assessments at each cost centre level of what is to be spent (within the aggregate funding ceiling) rather than the prior year’s cost centre budget.</w:t>
            </w:r>
          </w:p>
          <w:p w:rsidR="00E632D5" w:rsidRDefault="00E632D5" w:rsidP="00CE4350">
            <w:pPr>
              <w:pStyle w:val="ListParagraph"/>
              <w:numPr>
                <w:ilvl w:val="0"/>
                <w:numId w:val="77"/>
              </w:numPr>
              <w:jc w:val="both"/>
            </w:pPr>
            <w:r>
              <w:t>In conjunction with (a) undertake a thorough review of actual expenditures at the cost centre level in 2012 to determine the extent to which actual expenditures were posted to the correct cost centres/codes.</w:t>
            </w:r>
          </w:p>
          <w:p w:rsidR="00E632D5" w:rsidRDefault="00E632D5" w:rsidP="003E13EF">
            <w:pPr>
              <w:pStyle w:val="ListParagraph"/>
              <w:numPr>
                <w:ilvl w:val="0"/>
                <w:numId w:val="77"/>
              </w:numPr>
              <w:jc w:val="both"/>
            </w:pPr>
            <w:r>
              <w:t xml:space="preserve">Ensure in 2013 and beyond that any unbudgeted expenditure to be funded from within </w:t>
            </w:r>
            <w:proofErr w:type="spellStart"/>
            <w:r>
              <w:t>MoE’s</w:t>
            </w:r>
            <w:proofErr w:type="spellEnd"/>
            <w:r>
              <w:t xml:space="preserve"> original budget ceiling is formally </w:t>
            </w:r>
            <w:proofErr w:type="spellStart"/>
            <w:r>
              <w:t>vired</w:t>
            </w:r>
            <w:proofErr w:type="spellEnd"/>
            <w:r>
              <w:t xml:space="preserve"> within </w:t>
            </w:r>
            <w:proofErr w:type="spellStart"/>
            <w:r>
              <w:t>Smartstream</w:t>
            </w:r>
            <w:proofErr w:type="spellEnd"/>
            <w:r>
              <w:t xml:space="preserve"> to the appropriate cost centre/code from the cost centre/code providing the funding source.</w:t>
            </w:r>
          </w:p>
          <w:p w:rsidR="00E632D5" w:rsidRDefault="00E632D5" w:rsidP="0085109A">
            <w:pPr>
              <w:pStyle w:val="ListParagraph"/>
              <w:numPr>
                <w:ilvl w:val="0"/>
                <w:numId w:val="77"/>
              </w:numPr>
              <w:jc w:val="both"/>
            </w:pPr>
            <w:r>
              <w:t>Introduce a requirement via an MFEM directive that any proposed unbudgeted expenditure exceeding (say) VT5 million in any given year is to be formally submitted to MFEM and/or the Ministerial Budget Committee for approval of both that expenditure and how it is to be funded.</w:t>
            </w:r>
          </w:p>
          <w:p w:rsidR="00E632D5" w:rsidRDefault="00E632D5" w:rsidP="00F92CC3">
            <w:pPr>
              <w:jc w:val="both"/>
            </w:pPr>
          </w:p>
        </w:tc>
      </w:tr>
    </w:tbl>
    <w:p w:rsidR="00F92CC3" w:rsidRDefault="00F92CC3" w:rsidP="00F92CC3"/>
    <w:p w:rsidR="00F92CC3" w:rsidRDefault="00F92CC3" w:rsidP="00F92CC3">
      <w:pPr>
        <w:jc w:val="both"/>
      </w:pPr>
      <w:r>
        <w:t xml:space="preserve">Item (b) </w:t>
      </w:r>
      <w:r w:rsidR="00184920">
        <w:t xml:space="preserve">should </w:t>
      </w:r>
      <w:r>
        <w:t xml:space="preserve">be undertaken as part of a wider tracking survey to better establish the extent to which the </w:t>
      </w:r>
      <w:proofErr w:type="spellStart"/>
      <w:r>
        <w:t>GoV’s</w:t>
      </w:r>
      <w:proofErr w:type="spellEnd"/>
      <w:r>
        <w:t xml:space="preserve"> budgeted recurrent expenditures have been reaching intended beneficiaries.</w:t>
      </w:r>
    </w:p>
    <w:p w:rsidR="00C67D20" w:rsidRDefault="00C67D20" w:rsidP="00C67D20"/>
    <w:p w:rsidR="00C67D20" w:rsidRDefault="0038270A" w:rsidP="00F92CC3">
      <w:pPr>
        <w:jc w:val="both"/>
      </w:pPr>
      <w:r w:rsidRPr="003E13EF">
        <w:rPr>
          <w:i/>
        </w:rPr>
        <w:t xml:space="preserve">Identify and align genuine policy priorities with </w:t>
      </w:r>
      <w:proofErr w:type="spellStart"/>
      <w:r w:rsidRPr="003E13EF">
        <w:rPr>
          <w:i/>
        </w:rPr>
        <w:t>GoV</w:t>
      </w:r>
      <w:proofErr w:type="spellEnd"/>
      <w:r w:rsidRPr="003E13EF">
        <w:rPr>
          <w:i/>
        </w:rPr>
        <w:t>-funded recurrent education spending over the medium-term:</w:t>
      </w:r>
      <w:r w:rsidR="00184920">
        <w:rPr>
          <w:i/>
        </w:rPr>
        <w:t xml:space="preserve">  </w:t>
      </w:r>
      <w:r w:rsidR="00F92CC3">
        <w:t xml:space="preserve">The review has </w:t>
      </w:r>
      <w:r w:rsidR="0085109A">
        <w:t xml:space="preserve">documented </w:t>
      </w:r>
      <w:r w:rsidR="00F92CC3">
        <w:t xml:space="preserve">the wide array of policy ‘priorities’ for the education sector articulated by the </w:t>
      </w:r>
      <w:proofErr w:type="spellStart"/>
      <w:r w:rsidR="00F92CC3">
        <w:t>GoV</w:t>
      </w:r>
      <w:proofErr w:type="spellEnd"/>
      <w:r w:rsidR="00F92CC3">
        <w:t xml:space="preserve"> in recent years</w:t>
      </w:r>
      <w:r w:rsidR="00184920">
        <w:t xml:space="preserve">.  </w:t>
      </w:r>
      <w:r w:rsidR="00F92CC3">
        <w:t xml:space="preserve">There is a pressing need to take stock of the </w:t>
      </w:r>
      <w:proofErr w:type="spellStart"/>
      <w:r w:rsidR="00F92CC3">
        <w:t>GoV’s</w:t>
      </w:r>
      <w:proofErr w:type="spellEnd"/>
      <w:r w:rsidR="00F92CC3">
        <w:t xml:space="preserve"> multiple policy priorities for the education sector, raise awareness at a political level of their expenditure implications, and seek to quantify how the highest priority objectives are to be funded over the next 3-5 years.</w:t>
      </w:r>
    </w:p>
    <w:p w:rsidR="00F92CC3" w:rsidRDefault="00F92CC3" w:rsidP="00F92CC3">
      <w:pPr>
        <w:jc w:val="both"/>
      </w:pPr>
    </w:p>
    <w:tbl>
      <w:tblPr>
        <w:tblStyle w:val="TableGrid"/>
        <w:tblW w:w="0" w:type="auto"/>
        <w:tblLook w:val="04A0" w:firstRow="1" w:lastRow="0" w:firstColumn="1" w:lastColumn="0" w:noHBand="0" w:noVBand="1"/>
        <w:tblCaption w:val="Recommendation 3"/>
        <w:tblDescription w:val="Provides details of review recommendation 3. Text is: &quot;Recommendation 3: Consider the following means of better aligning GoV recurrent expenditures with GoV policy priorities for the education sector.&#10;a) Refine projections of the likely resource envelope for the education sector over the period to 2017, identifying in consolidated form both the GoV’s likely recurrent resources and expected inputs by the principal development partners.&#10;b) Having regard to the projected resource envelope rigorously review, via the Ministerial Budget Committee, existing  policy statements and their objectives to distinguish between those that are to be funded, by whom and to what extent, from those that are of an ‘aspirational’ nature.&#10;c) As part of this process, from amongst the Minimum Quality Standards defined for primary schools select a sub-set that can (realistically) be funded and implement them via New Policy Proposals. &#10;d) Ensure that, insofar as future policy statements of objectives require medium-term funding to achieve them, these are adequately costed with funding sources quantified, and that these costings are submitted to the Ministerial Budget Committee for review and endorsement prior to public statements of the policies.&#10;e) Via the PMO, MFEM and the Ministerial Budget Committee ensure that not only New Policy Proposals but also proposed allocations of ongoing GoV-funded recurrent expenditures are consistent with the GoV’s highest medium-term funding priorities.&quot;&#10;"/>
      </w:tblPr>
      <w:tblGrid>
        <w:gridCol w:w="9570"/>
      </w:tblGrid>
      <w:tr w:rsidR="00F92CC3" w:rsidTr="00E632D5">
        <w:trPr>
          <w:tblHeader/>
        </w:trPr>
        <w:tc>
          <w:tcPr>
            <w:tcW w:w="9570" w:type="dxa"/>
            <w:shd w:val="clear" w:color="auto" w:fill="BFBFBF" w:themeFill="background1" w:themeFillShade="BF"/>
          </w:tcPr>
          <w:p w:rsidR="00F92CC3" w:rsidRDefault="00F92CC3" w:rsidP="00F92CC3">
            <w:pPr>
              <w:jc w:val="both"/>
            </w:pPr>
            <w:r w:rsidRPr="00115A10">
              <w:rPr>
                <w:b/>
              </w:rPr>
              <w:t>Recommendation 3</w:t>
            </w:r>
            <w:r>
              <w:t xml:space="preserve">: Consider the following means of better aligning </w:t>
            </w:r>
            <w:proofErr w:type="spellStart"/>
            <w:r>
              <w:t>GoV</w:t>
            </w:r>
            <w:proofErr w:type="spellEnd"/>
            <w:r>
              <w:t xml:space="preserve"> recurrent expenditures with </w:t>
            </w:r>
            <w:proofErr w:type="spellStart"/>
            <w:r>
              <w:t>GoV</w:t>
            </w:r>
            <w:proofErr w:type="spellEnd"/>
            <w:r>
              <w:t xml:space="preserve"> policy priorities for the education sector.</w:t>
            </w:r>
          </w:p>
          <w:p w:rsidR="00F92CC3" w:rsidRDefault="00F92CC3" w:rsidP="00F92CC3">
            <w:pPr>
              <w:jc w:val="both"/>
            </w:pPr>
          </w:p>
          <w:p w:rsidR="00F92CC3" w:rsidRDefault="00F92CC3" w:rsidP="00CE4350">
            <w:pPr>
              <w:pStyle w:val="ListParagraph"/>
              <w:numPr>
                <w:ilvl w:val="0"/>
                <w:numId w:val="76"/>
              </w:numPr>
              <w:jc w:val="both"/>
            </w:pPr>
            <w:r>
              <w:t xml:space="preserve">Refine projections of the likely resource envelope for the education sector over the period to 2017, identifying in consolidated form both the </w:t>
            </w:r>
            <w:proofErr w:type="spellStart"/>
            <w:r>
              <w:t>GoV’s</w:t>
            </w:r>
            <w:proofErr w:type="spellEnd"/>
            <w:r>
              <w:t xml:space="preserve"> likely recurrent resources and expected inputs by the principal development partners.</w:t>
            </w:r>
          </w:p>
          <w:p w:rsidR="00F92CC3" w:rsidRDefault="00F92CC3" w:rsidP="00CE4350">
            <w:pPr>
              <w:pStyle w:val="ListParagraph"/>
              <w:numPr>
                <w:ilvl w:val="0"/>
                <w:numId w:val="76"/>
              </w:numPr>
              <w:jc w:val="both"/>
            </w:pPr>
            <w:r>
              <w:t>Having regard to the projected resource envelope rigorously review, via the Ministerial Budget Committee, existing  policy statements and their objectives to distinguish between those that are to be funded, by whom and to what extent, from those that are of an ‘aspirational’ nature.</w:t>
            </w:r>
          </w:p>
          <w:p w:rsidR="00F92CC3" w:rsidRDefault="00F92CC3" w:rsidP="00CE4350">
            <w:pPr>
              <w:pStyle w:val="ListParagraph"/>
              <w:numPr>
                <w:ilvl w:val="0"/>
                <w:numId w:val="76"/>
              </w:numPr>
              <w:jc w:val="both"/>
            </w:pPr>
            <w:r>
              <w:t xml:space="preserve">As part of this process, from amongst the Minimum Quality Standards defined for primary schools select a sub-set that can (realistically) be funded and implement them via New Policy Proposals. </w:t>
            </w:r>
          </w:p>
          <w:p w:rsidR="00F92CC3" w:rsidRDefault="00F92CC3" w:rsidP="00CE4350">
            <w:pPr>
              <w:pStyle w:val="ListParagraph"/>
              <w:numPr>
                <w:ilvl w:val="0"/>
                <w:numId w:val="76"/>
              </w:numPr>
              <w:jc w:val="both"/>
            </w:pPr>
            <w:r>
              <w:t xml:space="preserve">Ensure that, insofar as future policy statements of objectives require medium-term funding to achieve them, these are adequately costed with funding sources quantified, and that these </w:t>
            </w:r>
            <w:proofErr w:type="spellStart"/>
            <w:r>
              <w:t>costings</w:t>
            </w:r>
            <w:proofErr w:type="spellEnd"/>
            <w:r>
              <w:t xml:space="preserve"> are submitted to the Ministerial Budget Committee for review and endorsement prior to public statements </w:t>
            </w:r>
            <w:r w:rsidR="00816C51">
              <w:t xml:space="preserve">of </w:t>
            </w:r>
            <w:r>
              <w:t>the policies.</w:t>
            </w:r>
          </w:p>
          <w:p w:rsidR="00F92CC3" w:rsidRDefault="00F92CC3" w:rsidP="00CE4350">
            <w:pPr>
              <w:pStyle w:val="ListParagraph"/>
              <w:numPr>
                <w:ilvl w:val="0"/>
                <w:numId w:val="76"/>
              </w:numPr>
              <w:jc w:val="both"/>
            </w:pPr>
            <w:r>
              <w:t xml:space="preserve">Via the PMO, MFEM and the Ministerial Budget Committee ensure that not only New Policy Proposals but also proposed allocations of ongoing </w:t>
            </w:r>
            <w:proofErr w:type="spellStart"/>
            <w:r>
              <w:t>GoV</w:t>
            </w:r>
            <w:proofErr w:type="spellEnd"/>
            <w:r>
              <w:t xml:space="preserve">-funded recurrent expenditures are consistent with the </w:t>
            </w:r>
            <w:proofErr w:type="spellStart"/>
            <w:r>
              <w:t>GoV’s</w:t>
            </w:r>
            <w:proofErr w:type="spellEnd"/>
            <w:r>
              <w:t xml:space="preserve"> highest medium-term funding priorities.</w:t>
            </w:r>
          </w:p>
          <w:p w:rsidR="00F92CC3" w:rsidRDefault="00F92CC3" w:rsidP="00F92CC3">
            <w:pPr>
              <w:jc w:val="both"/>
            </w:pPr>
          </w:p>
        </w:tc>
      </w:tr>
    </w:tbl>
    <w:p w:rsidR="00F92CC3" w:rsidRDefault="00F92CC3" w:rsidP="00F92CC3"/>
    <w:p w:rsidR="00F92CC3" w:rsidRPr="00545629" w:rsidRDefault="00F92CC3" w:rsidP="00F92CC3">
      <w:pPr>
        <w:jc w:val="both"/>
      </w:pPr>
      <w:r>
        <w:t xml:space="preserve">Underlying each of these suggestions is the need to shift the focus of education sector planning from what is desirable in the long term to what is affordable in the medium term. </w:t>
      </w:r>
    </w:p>
    <w:p w:rsidR="00C67D20" w:rsidRDefault="00C67D20" w:rsidP="00C67D20"/>
    <w:p w:rsidR="00F92CC3" w:rsidRDefault="0038270A" w:rsidP="00F92CC3">
      <w:pPr>
        <w:jc w:val="both"/>
      </w:pPr>
      <w:r w:rsidRPr="003E13EF">
        <w:rPr>
          <w:i/>
        </w:rPr>
        <w:t xml:space="preserve">Reverse the trend of declining real </w:t>
      </w:r>
      <w:proofErr w:type="spellStart"/>
      <w:r w:rsidRPr="003E13EF">
        <w:rPr>
          <w:i/>
        </w:rPr>
        <w:t>GoV</w:t>
      </w:r>
      <w:proofErr w:type="spellEnd"/>
      <w:r w:rsidRPr="003E13EF">
        <w:rPr>
          <w:i/>
        </w:rPr>
        <w:t>-funded expenditure on Vanuatu’s primary education sub-sector:</w:t>
      </w:r>
      <w:r w:rsidR="00184920">
        <w:t xml:space="preserve">  </w:t>
      </w:r>
      <w:r w:rsidR="00F92CC3">
        <w:t>There has been ample research over the years demonstrating that the social (as distinct from private) returns to investment in education are highest at the primary level.</w:t>
      </w:r>
      <w:r w:rsidR="00C67D20">
        <w:t xml:space="preserve">  While </w:t>
      </w:r>
      <w:r w:rsidR="00F92CC3">
        <w:t>acknowledging</w:t>
      </w:r>
      <w:r w:rsidR="00C67D20">
        <w:t xml:space="preserve"> the </w:t>
      </w:r>
      <w:r w:rsidR="00F92CC3">
        <w:t xml:space="preserve">substantial degree of budget ‘lock-in’, the </w:t>
      </w:r>
      <w:proofErr w:type="spellStart"/>
      <w:r w:rsidR="00F92CC3">
        <w:t>GoV</w:t>
      </w:r>
      <w:proofErr w:type="spellEnd"/>
      <w:r w:rsidR="00F92CC3">
        <w:t xml:space="preserve"> should aim to reorientate its recurrent spending back towards the primary sector.</w:t>
      </w:r>
    </w:p>
    <w:p w:rsidR="0085109A" w:rsidRDefault="0085109A" w:rsidP="00F92CC3">
      <w:pPr>
        <w:jc w:val="both"/>
      </w:pPr>
    </w:p>
    <w:tbl>
      <w:tblPr>
        <w:tblStyle w:val="TableGrid"/>
        <w:tblW w:w="0" w:type="auto"/>
        <w:tblLook w:val="04A0" w:firstRow="1" w:lastRow="0" w:firstColumn="1" w:lastColumn="0" w:noHBand="0" w:noVBand="1"/>
        <w:tblCaption w:val="Recommendation 4"/>
        <w:tblDescription w:val="Provides details of recommendation 4. Text is: &quot;Recommendation 4: Seek to reverse the trend of declining real GoV-funded expenditure on primary schooling by, within the aggregate medium-term resource envelope:&#10;a) Steadily reducing GoV net funding of scholarships to no more than VT250 million by 2017 and beyond - the budgeted amount for 2010 - by either cutting the future number of scholarship awards and/or introducing substantial co-payments (possibly via loans) by scholarship recipients.&#10;b) Not increasing in real or nominal terms the rates of per student school grants for either Year 7-8 or Years 9 plus students.&quot;"/>
      </w:tblPr>
      <w:tblGrid>
        <w:gridCol w:w="9570"/>
      </w:tblGrid>
      <w:tr w:rsidR="00F92CC3" w:rsidTr="00E632D5">
        <w:trPr>
          <w:tblHeader/>
        </w:trPr>
        <w:tc>
          <w:tcPr>
            <w:tcW w:w="9570" w:type="dxa"/>
            <w:shd w:val="clear" w:color="auto" w:fill="BFBFBF" w:themeFill="background1" w:themeFillShade="BF"/>
          </w:tcPr>
          <w:p w:rsidR="00F92CC3" w:rsidRDefault="00F92CC3" w:rsidP="00F92CC3">
            <w:pPr>
              <w:jc w:val="both"/>
            </w:pPr>
            <w:r w:rsidRPr="00EC19BB">
              <w:rPr>
                <w:b/>
                <w:shd w:val="clear" w:color="auto" w:fill="BFBFBF" w:themeFill="background1" w:themeFillShade="BF"/>
              </w:rPr>
              <w:t>Recommendation 4</w:t>
            </w:r>
            <w:r>
              <w:t xml:space="preserve">: Seek to reverse the trend of declining real </w:t>
            </w:r>
            <w:proofErr w:type="spellStart"/>
            <w:r>
              <w:t>GoV</w:t>
            </w:r>
            <w:proofErr w:type="spellEnd"/>
            <w:r>
              <w:t>-funded expenditure on primary schooling by, within the aggregate medium-term resource envelope:</w:t>
            </w:r>
          </w:p>
          <w:p w:rsidR="00F92CC3" w:rsidRDefault="00F92CC3" w:rsidP="00F92CC3">
            <w:pPr>
              <w:jc w:val="both"/>
            </w:pPr>
          </w:p>
          <w:p w:rsidR="00F92CC3" w:rsidRDefault="00F92CC3" w:rsidP="00CE4350">
            <w:pPr>
              <w:pStyle w:val="ListParagraph"/>
              <w:numPr>
                <w:ilvl w:val="0"/>
                <w:numId w:val="79"/>
              </w:numPr>
              <w:jc w:val="both"/>
            </w:pPr>
            <w:r>
              <w:t xml:space="preserve">Steadily reducing </w:t>
            </w:r>
            <w:proofErr w:type="spellStart"/>
            <w:r>
              <w:t>GoV</w:t>
            </w:r>
            <w:proofErr w:type="spellEnd"/>
            <w:r>
              <w:t xml:space="preserve"> net funding of scholarships to no more than VT2</w:t>
            </w:r>
            <w:r w:rsidR="00383D6B">
              <w:t>5</w:t>
            </w:r>
            <w:r>
              <w:t>0 million by 2017 and beyond - the budgeted amount for 201</w:t>
            </w:r>
            <w:r w:rsidR="003D5CA4">
              <w:t>0</w:t>
            </w:r>
            <w:r>
              <w:t xml:space="preserve"> - by either cutting the future number of scholarship awards and/or introducing substantial co-payments (possibly via loans) by scholarship recipients.</w:t>
            </w:r>
          </w:p>
          <w:p w:rsidR="00F92CC3" w:rsidRDefault="00F92CC3" w:rsidP="00CE4350">
            <w:pPr>
              <w:pStyle w:val="ListParagraph"/>
              <w:numPr>
                <w:ilvl w:val="0"/>
                <w:numId w:val="79"/>
              </w:numPr>
              <w:jc w:val="both"/>
            </w:pPr>
            <w:r>
              <w:t xml:space="preserve">Not increasing in real or nominal terms the rates of per student school grants for </w:t>
            </w:r>
            <w:proofErr w:type="gramStart"/>
            <w:r>
              <w:t>either</w:t>
            </w:r>
            <w:r w:rsidR="009A7D24">
              <w:t xml:space="preserve"> </w:t>
            </w:r>
            <w:r>
              <w:t>Year</w:t>
            </w:r>
            <w:proofErr w:type="gramEnd"/>
            <w:r>
              <w:t xml:space="preserve"> 7-8 or Years 9 plus students.</w:t>
            </w:r>
          </w:p>
          <w:p w:rsidR="00F92CC3" w:rsidRDefault="00F92CC3" w:rsidP="00F92CC3">
            <w:pPr>
              <w:jc w:val="both"/>
            </w:pPr>
          </w:p>
        </w:tc>
      </w:tr>
    </w:tbl>
    <w:p w:rsidR="009A7D24" w:rsidRDefault="009A7D24" w:rsidP="00F92CC3">
      <w:pPr>
        <w:jc w:val="both"/>
      </w:pPr>
    </w:p>
    <w:p w:rsidR="00F92CC3" w:rsidRDefault="00F92CC3" w:rsidP="00F92CC3">
      <w:pPr>
        <w:jc w:val="both"/>
      </w:pPr>
      <w:r>
        <w:t xml:space="preserve">Compared to the status quo and based on </w:t>
      </w:r>
      <w:proofErr w:type="spellStart"/>
      <w:r>
        <w:t>MoE’s</w:t>
      </w:r>
      <w:proofErr w:type="spellEnd"/>
      <w:r>
        <w:t xml:space="preserve"> supplementary funding request for 2012 item (a) would save a</w:t>
      </w:r>
      <w:r w:rsidR="003D5CA4">
        <w:t xml:space="preserve">round </w:t>
      </w:r>
      <w:r>
        <w:t>VT</w:t>
      </w:r>
      <w:r w:rsidR="00312609">
        <w:t>2</w:t>
      </w:r>
      <w:r w:rsidR="0085109A">
        <w:t>6</w:t>
      </w:r>
      <w:r w:rsidR="00312609">
        <w:t>0</w:t>
      </w:r>
      <w:r>
        <w:t xml:space="preserve"> million a year in and from 2017</w:t>
      </w:r>
      <w:r w:rsidR="0085109A">
        <w:t xml:space="preserve"> at 2012 prices</w:t>
      </w:r>
      <w:r>
        <w:t xml:space="preserve">.  In </w:t>
      </w:r>
      <w:r w:rsidR="0085109A">
        <w:t xml:space="preserve">projected 2017 </w:t>
      </w:r>
      <w:r>
        <w:t>price terms item (b) would save around VT</w:t>
      </w:r>
      <w:r w:rsidR="0085109A">
        <w:t>16</w:t>
      </w:r>
      <w:r>
        <w:t xml:space="preserve"> million a year </w:t>
      </w:r>
      <w:r w:rsidR="0085109A">
        <w:t xml:space="preserve">by </w:t>
      </w:r>
      <w:r>
        <w:t>2017 and avoid additional expenditure on Year 7-8 grants of around VT4</w:t>
      </w:r>
      <w:r w:rsidR="0085109A">
        <w:t>8</w:t>
      </w:r>
      <w:r>
        <w:t xml:space="preserve"> million.</w:t>
      </w:r>
    </w:p>
    <w:p w:rsidR="009A7D24" w:rsidRDefault="009A7D24" w:rsidP="00F92CC3">
      <w:pPr>
        <w:jc w:val="both"/>
      </w:pPr>
    </w:p>
    <w:p w:rsidR="003D5CA4" w:rsidRDefault="0038270A" w:rsidP="00F92CC3">
      <w:pPr>
        <w:jc w:val="both"/>
      </w:pPr>
      <w:r w:rsidRPr="003E13EF">
        <w:rPr>
          <w:i/>
        </w:rPr>
        <w:t xml:space="preserve">Target ‘discretionary’ </w:t>
      </w:r>
      <w:proofErr w:type="spellStart"/>
      <w:r w:rsidRPr="003E13EF">
        <w:rPr>
          <w:i/>
        </w:rPr>
        <w:t>GoV</w:t>
      </w:r>
      <w:proofErr w:type="spellEnd"/>
      <w:r w:rsidRPr="003E13EF">
        <w:rPr>
          <w:i/>
        </w:rPr>
        <w:t>-funded spending on primary education better:</w:t>
      </w:r>
      <w:r w:rsidR="003D5CA4">
        <w:t xml:space="preserve">  </w:t>
      </w:r>
      <w:r w:rsidR="00F92CC3">
        <w:t xml:space="preserve">How teachers are trained, deployed and remunerated are major aspects of targeting.  For example, evidence suggests that the ‘best’ primary school teachers (however assessed) should be steered towards teaching of Year 1 students.  This aside, from a public expenditure perspective </w:t>
      </w:r>
      <w:proofErr w:type="spellStart"/>
      <w:r w:rsidR="00F92CC3">
        <w:t>MoE’s</w:t>
      </w:r>
      <w:proofErr w:type="spellEnd"/>
      <w:r w:rsidR="00F92CC3">
        <w:t xml:space="preserve"> ‘discretionary’ expenditure comprises primarily its expenditure on school grants, non-salary expenditure on Provincial Education Offices and other goods and services.</w:t>
      </w:r>
    </w:p>
    <w:p w:rsidR="003D5CA4" w:rsidRDefault="003D5CA4" w:rsidP="00F92CC3">
      <w:pPr>
        <w:jc w:val="both"/>
      </w:pPr>
    </w:p>
    <w:p w:rsidR="009A7D24" w:rsidRDefault="00F92CC3" w:rsidP="00F92CC3">
      <w:pPr>
        <w:jc w:val="both"/>
      </w:pPr>
      <w:r>
        <w:t xml:space="preserve">Whatever the equity merits </w:t>
      </w:r>
      <w:r w:rsidR="0085109A">
        <w:t xml:space="preserve">of the increased </w:t>
      </w:r>
      <w:r w:rsidR="008D7130">
        <w:t xml:space="preserve">primary school grants introduced in 2010 </w:t>
      </w:r>
      <w:r>
        <w:t xml:space="preserve">they constitutes a major funding commitment by the </w:t>
      </w:r>
      <w:proofErr w:type="spellStart"/>
      <w:r>
        <w:t>GoV</w:t>
      </w:r>
      <w:proofErr w:type="spellEnd"/>
      <w:r>
        <w:t xml:space="preserve"> which </w:t>
      </w:r>
      <w:r w:rsidR="009A7D24">
        <w:t>targets n</w:t>
      </w:r>
      <w:r>
        <w:t xml:space="preserve">either individual school needs nor </w:t>
      </w:r>
      <w:r w:rsidR="009A7D24">
        <w:t xml:space="preserve">individual school improvement performance.  </w:t>
      </w:r>
      <w:r>
        <w:t>The (lower rates of) per-student grants for secondary school students are similarly non-targeted.</w:t>
      </w:r>
      <w:r w:rsidR="009A7D24">
        <w:t xml:space="preserve">  </w:t>
      </w:r>
      <w:r>
        <w:t xml:space="preserve">Funding of the Provincial Education Offices, especially non-salary funding including provisions intended for school maintenance, are with </w:t>
      </w:r>
      <w:r w:rsidR="009A7D24">
        <w:t xml:space="preserve">minor </w:t>
      </w:r>
      <w:r>
        <w:t>exceptions identical across the six Provinces.</w:t>
      </w:r>
    </w:p>
    <w:p w:rsidR="00F92CC3" w:rsidRDefault="00F92CC3" w:rsidP="00F92CC3">
      <w:pPr>
        <w:jc w:val="both"/>
      </w:pPr>
      <w:r>
        <w:t xml:space="preserve"> </w:t>
      </w:r>
    </w:p>
    <w:tbl>
      <w:tblPr>
        <w:tblStyle w:val="TableGrid"/>
        <w:tblW w:w="0" w:type="auto"/>
        <w:tblLook w:val="04A0" w:firstRow="1" w:lastRow="0" w:firstColumn="1" w:lastColumn="0" w:noHBand="0" w:noVBand="1"/>
        <w:tblCaption w:val="Recommendation 5"/>
        <w:tblDescription w:val="Provides details of review recommendation 5. Text is: &quot;Recommendation 5:  Consider the following steps to improve targeting of non-salary primary school funding within aggregate resource availability.&#10;&#10;a) Freeze the current per-student school grant for Years 1-6 (VT8,900 per student) at the current amount for the next five years and redirect the savings in real terms to establishment of a schools improvement fund accessible on a competitive basis by individual primary schools based on criteria for assessment of their relative improvement needs, past performance in addressing them and parental/community commitment to co-financing them.&#10;b) In conjunction with the proposed VESP support for classroom construction and school maintenance, rigorously assess the current allocation of non-salary funding of Provincial Education Offices to better align its school maintenance component with the highest priority school maintenance needs across Provinces.&quot;"/>
      </w:tblPr>
      <w:tblGrid>
        <w:gridCol w:w="9570"/>
      </w:tblGrid>
      <w:tr w:rsidR="00F92CC3" w:rsidTr="00E632D5">
        <w:trPr>
          <w:tblHeader/>
        </w:trPr>
        <w:tc>
          <w:tcPr>
            <w:tcW w:w="9570" w:type="dxa"/>
            <w:shd w:val="clear" w:color="auto" w:fill="BFBFBF" w:themeFill="background1" w:themeFillShade="BF"/>
          </w:tcPr>
          <w:p w:rsidR="00F92CC3" w:rsidRDefault="00F92CC3" w:rsidP="00F92CC3">
            <w:pPr>
              <w:jc w:val="both"/>
            </w:pPr>
            <w:r w:rsidRPr="00386014">
              <w:rPr>
                <w:b/>
              </w:rPr>
              <w:t>Recommendation 5</w:t>
            </w:r>
            <w:r>
              <w:t>:  Consider the following steps to improve targeting of non-salary primary school funding within aggregate resource availability.</w:t>
            </w:r>
          </w:p>
          <w:p w:rsidR="00F92CC3" w:rsidRDefault="00F92CC3" w:rsidP="00F92CC3">
            <w:pPr>
              <w:jc w:val="both"/>
            </w:pPr>
          </w:p>
          <w:p w:rsidR="00F92CC3" w:rsidRDefault="00F92CC3" w:rsidP="00CE4350">
            <w:pPr>
              <w:pStyle w:val="ListParagraph"/>
              <w:numPr>
                <w:ilvl w:val="0"/>
                <w:numId w:val="80"/>
              </w:numPr>
              <w:jc w:val="both"/>
            </w:pPr>
            <w:r>
              <w:t>Freeze the current per-student school grant for Years 1-6 (VT8</w:t>
            </w:r>
            <w:proofErr w:type="gramStart"/>
            <w:r>
              <w:t>,900</w:t>
            </w:r>
            <w:proofErr w:type="gramEnd"/>
            <w:r>
              <w:t xml:space="preserve"> per student) at the current amount for the next five years and redirect the savings in real terms to establishment of a schools improvement fund accessible on a competitive basis by individual primary schools based on criteria for assessment of their relative improvement needs, past performance in addressing them and parental/community commitment to co-financing them.</w:t>
            </w:r>
          </w:p>
          <w:p w:rsidR="00F92CC3" w:rsidRDefault="00F92CC3" w:rsidP="00CE4350">
            <w:pPr>
              <w:pStyle w:val="ListParagraph"/>
              <w:numPr>
                <w:ilvl w:val="0"/>
                <w:numId w:val="80"/>
              </w:numPr>
              <w:jc w:val="both"/>
            </w:pPr>
            <w:r>
              <w:t>In conjunction with the proposed VESP support for classroom construction and school maintenance</w:t>
            </w:r>
            <w:r w:rsidR="000248A2">
              <w:t>, rigorously</w:t>
            </w:r>
            <w:r>
              <w:t xml:space="preserve"> assess the current allocation of non-salary funding of Provincial Education Offices to better align its school maintenance component with the highest priority school maintenance needs across Provinces.</w:t>
            </w:r>
          </w:p>
          <w:p w:rsidR="00F92CC3" w:rsidRDefault="00F92CC3" w:rsidP="00F92CC3">
            <w:pPr>
              <w:jc w:val="both"/>
            </w:pPr>
          </w:p>
        </w:tc>
      </w:tr>
    </w:tbl>
    <w:p w:rsidR="00F92CC3" w:rsidRDefault="00F92CC3" w:rsidP="00F92CC3">
      <w:pPr>
        <w:jc w:val="both"/>
      </w:pPr>
    </w:p>
    <w:p w:rsidR="00F92CC3" w:rsidRDefault="00F92CC3" w:rsidP="00F92CC3">
      <w:pPr>
        <w:jc w:val="both"/>
      </w:pPr>
      <w:r>
        <w:lastRenderedPageBreak/>
        <w:t xml:space="preserve">The review </w:t>
      </w:r>
      <w:r w:rsidR="008D7130">
        <w:t xml:space="preserve">projects </w:t>
      </w:r>
      <w:r>
        <w:t>that item (a) could, in 20</w:t>
      </w:r>
      <w:r w:rsidR="008D7130">
        <w:t xml:space="preserve">17 </w:t>
      </w:r>
      <w:r>
        <w:t xml:space="preserve">price terms, deliver annual savings to the </w:t>
      </w:r>
      <w:proofErr w:type="spellStart"/>
      <w:r>
        <w:t>GoV</w:t>
      </w:r>
      <w:proofErr w:type="spellEnd"/>
      <w:r>
        <w:t xml:space="preserve"> of some VT</w:t>
      </w:r>
      <w:r w:rsidR="008D7130">
        <w:t>6</w:t>
      </w:r>
      <w:r>
        <w:t>0 million in 2017 for funding of the primary schools improvement fund but the precise amount is less important than the principle.</w:t>
      </w:r>
    </w:p>
    <w:p w:rsidR="009A7D24" w:rsidRDefault="009A7D24" w:rsidP="009A7D24"/>
    <w:p w:rsidR="00F92CC3" w:rsidRDefault="0038270A" w:rsidP="003D5CA4">
      <w:pPr>
        <w:jc w:val="both"/>
      </w:pPr>
      <w:r w:rsidRPr="003E13EF">
        <w:rPr>
          <w:i/>
        </w:rPr>
        <w:t>Over the medium-term, actively pursue and resource devolution of funding responsibilities and accountabilities to the school/community level</w:t>
      </w:r>
      <w:r w:rsidR="003D5CA4">
        <w:rPr>
          <w:i/>
        </w:rPr>
        <w:t xml:space="preserve">:  </w:t>
      </w:r>
      <w:r w:rsidR="003D5CA4">
        <w:t>T</w:t>
      </w:r>
      <w:r w:rsidR="00F92CC3">
        <w:t xml:space="preserve">he review is convinced that better efficiency and effectiveness </w:t>
      </w:r>
      <w:r w:rsidR="003D5CA4">
        <w:t xml:space="preserve">of spending on education </w:t>
      </w:r>
      <w:r w:rsidR="00F92CC3">
        <w:t>will need to be driven primarily by better transparency of public spending and accountability for performance outcomes.  The stakeholders best-placed, in principle, to monitor funding and assess performance outcomes are the ultimate clients, notably individual schools and their communities</w:t>
      </w:r>
      <w:r w:rsidR="003D5CA4" w:rsidRPr="003D5CA4">
        <w:t xml:space="preserve"> </w:t>
      </w:r>
      <w:r w:rsidR="003D5CA4">
        <w:t>at primary and secondary levels.</w:t>
      </w:r>
    </w:p>
    <w:p w:rsidR="00F92CC3" w:rsidRDefault="00F92CC3" w:rsidP="00F92CC3">
      <w:pPr>
        <w:jc w:val="both"/>
      </w:pPr>
    </w:p>
    <w:tbl>
      <w:tblPr>
        <w:tblStyle w:val="TableGrid"/>
        <w:tblW w:w="0" w:type="auto"/>
        <w:tblLook w:val="04A0" w:firstRow="1" w:lastRow="0" w:firstColumn="1" w:lastColumn="0" w:noHBand="0" w:noVBand="1"/>
        <w:tblCaption w:val="Recommendation 6"/>
        <w:tblDescription w:val="Provides details on review recommendation 6. Text is: &quot;Recommendation 6:  Over the medium-term, actively pursue devolution of funding responsibilities and accountabilities to the school/community level including by:&#10;&#10;a) Clearly defining and communicating which levels of service delivery (MoE/TSC central, Provincial Education Offices/Boards, individual schools) will be responsible for funding and accounting for what over the medium term.&#10;b) Through the School Based Management Task Force, continuing to roll-out basic training in financial management and record keeping to schools, School Improvement Advisors and Zone Curriculum Advisors.&#10;c) Designing and delivering via VITE a financial management module as part of pre-service teacher training.&#10;d) Exploring longer-term devolution options (e.g. a role for school councils in teacher appointments and/or performance review).&quot;"/>
      </w:tblPr>
      <w:tblGrid>
        <w:gridCol w:w="9570"/>
      </w:tblGrid>
      <w:tr w:rsidR="00F92CC3" w:rsidTr="00E632D5">
        <w:trPr>
          <w:tblHeader/>
        </w:trPr>
        <w:tc>
          <w:tcPr>
            <w:tcW w:w="9570" w:type="dxa"/>
            <w:shd w:val="clear" w:color="auto" w:fill="BFBFBF" w:themeFill="background1" w:themeFillShade="BF"/>
          </w:tcPr>
          <w:p w:rsidR="00F92CC3" w:rsidRDefault="00F92CC3" w:rsidP="00F92CC3">
            <w:pPr>
              <w:jc w:val="both"/>
            </w:pPr>
            <w:r w:rsidRPr="00386014">
              <w:rPr>
                <w:b/>
              </w:rPr>
              <w:t>Recommendation 6</w:t>
            </w:r>
            <w:r>
              <w:t>:  Over the medium-term, actively pursue devolution of funding responsibilities and accountabilities to the school/community level including by:</w:t>
            </w:r>
          </w:p>
          <w:p w:rsidR="00F92CC3" w:rsidRDefault="00F92CC3" w:rsidP="00F92CC3">
            <w:pPr>
              <w:jc w:val="both"/>
            </w:pPr>
          </w:p>
          <w:p w:rsidR="00F92CC3" w:rsidRDefault="00F92CC3" w:rsidP="00CE4350">
            <w:pPr>
              <w:pStyle w:val="ListParagraph"/>
              <w:numPr>
                <w:ilvl w:val="0"/>
                <w:numId w:val="78"/>
              </w:numPr>
              <w:jc w:val="both"/>
            </w:pPr>
            <w:r>
              <w:t xml:space="preserve">Clearly defining </w:t>
            </w:r>
            <w:r w:rsidR="008D7130">
              <w:t xml:space="preserve">and communicating </w:t>
            </w:r>
            <w:r>
              <w:t>which levels of service delivery (</w:t>
            </w:r>
            <w:proofErr w:type="spellStart"/>
            <w:r>
              <w:t>MoE</w:t>
            </w:r>
            <w:proofErr w:type="spellEnd"/>
            <w:r>
              <w:t xml:space="preserve">/TSC central, Provincial Education Offices/Boards, </w:t>
            </w:r>
            <w:proofErr w:type="gramStart"/>
            <w:r>
              <w:t>individual</w:t>
            </w:r>
            <w:proofErr w:type="gramEnd"/>
            <w:r>
              <w:t xml:space="preserve"> schools) will be responsible for funding and accounting for what over the medium term.</w:t>
            </w:r>
          </w:p>
          <w:p w:rsidR="00F92CC3" w:rsidRDefault="00F92CC3" w:rsidP="00CE4350">
            <w:pPr>
              <w:pStyle w:val="ListParagraph"/>
              <w:numPr>
                <w:ilvl w:val="0"/>
                <w:numId w:val="78"/>
              </w:numPr>
              <w:jc w:val="both"/>
            </w:pPr>
            <w:r>
              <w:t>Through the School Based Management Task Force, continuing to roll-out basic training in financial management and record keeping to school</w:t>
            </w:r>
            <w:r w:rsidR="008D7130">
              <w:t>s, School Improvement Advisors and Zone Curriculum Advisors.</w:t>
            </w:r>
          </w:p>
          <w:p w:rsidR="00F92CC3" w:rsidRDefault="00F92CC3" w:rsidP="00CE4350">
            <w:pPr>
              <w:pStyle w:val="ListParagraph"/>
              <w:numPr>
                <w:ilvl w:val="0"/>
                <w:numId w:val="78"/>
              </w:numPr>
              <w:jc w:val="both"/>
            </w:pPr>
            <w:r>
              <w:t>Designing and delivering via VITE a financial management module as part of pre-service teacher training.</w:t>
            </w:r>
          </w:p>
          <w:p w:rsidR="00281891" w:rsidRDefault="00281891" w:rsidP="00CE4350">
            <w:pPr>
              <w:pStyle w:val="ListParagraph"/>
              <w:numPr>
                <w:ilvl w:val="0"/>
                <w:numId w:val="78"/>
              </w:numPr>
              <w:jc w:val="both"/>
            </w:pPr>
            <w:r>
              <w:t>E</w:t>
            </w:r>
            <w:r w:rsidR="008D7130">
              <w:t xml:space="preserve">xploring longer-term devolution options (e.g. a role for school councils in teacher appointments and/or performance review).  </w:t>
            </w:r>
          </w:p>
          <w:p w:rsidR="00F92CC3" w:rsidRDefault="00F92CC3" w:rsidP="00281891">
            <w:pPr>
              <w:ind w:left="360"/>
              <w:jc w:val="both"/>
            </w:pPr>
          </w:p>
        </w:tc>
      </w:tr>
    </w:tbl>
    <w:p w:rsidR="00F92CC3" w:rsidRDefault="00F92CC3" w:rsidP="00F92CC3">
      <w:pPr>
        <w:jc w:val="both"/>
      </w:pPr>
    </w:p>
    <w:p w:rsidR="00455235" w:rsidRDefault="00455235">
      <w:r>
        <w:rPr>
          <w:b/>
          <w:bCs/>
        </w:rPr>
        <w:br w:type="page"/>
      </w:r>
    </w:p>
    <w:p w:rsidR="00C81552" w:rsidRDefault="0095650B" w:rsidP="005727F2">
      <w:pPr>
        <w:pStyle w:val="Heading1"/>
      </w:pPr>
      <w:bookmarkStart w:id="15" w:name="_Toc341210777"/>
      <w:bookmarkStart w:id="16" w:name="_Toc341210897"/>
      <w:bookmarkStart w:id="17" w:name="_Toc341265715"/>
      <w:bookmarkStart w:id="18" w:name="_Toc343257277"/>
      <w:bookmarkStart w:id="19" w:name="_Toc343257391"/>
      <w:bookmarkStart w:id="20" w:name="_Toc348711312"/>
      <w:r>
        <w:lastRenderedPageBreak/>
        <w:t xml:space="preserve">Section </w:t>
      </w:r>
      <w:r w:rsidR="00CE1ECF" w:rsidRPr="00CE1ECF">
        <w:t>1</w:t>
      </w:r>
      <w:r w:rsidR="000A235F">
        <w:t>:</w:t>
      </w:r>
      <w:r w:rsidR="00CE1ECF" w:rsidRPr="00CE1ECF">
        <w:t xml:space="preserve"> Introduction and education sector overview</w:t>
      </w:r>
      <w:bookmarkEnd w:id="15"/>
      <w:bookmarkEnd w:id="16"/>
      <w:bookmarkEnd w:id="17"/>
      <w:bookmarkEnd w:id="18"/>
      <w:bookmarkEnd w:id="19"/>
      <w:bookmarkEnd w:id="20"/>
    </w:p>
    <w:p w:rsidR="00CE1ECF" w:rsidRPr="00160C19" w:rsidRDefault="00CE1ECF" w:rsidP="00160C19">
      <w:pPr>
        <w:pStyle w:val="Heading2"/>
      </w:pPr>
      <w:bookmarkStart w:id="21" w:name="_Toc341210778"/>
      <w:bookmarkStart w:id="22" w:name="_Toc341210898"/>
      <w:bookmarkStart w:id="23" w:name="_Toc341265716"/>
      <w:bookmarkStart w:id="24" w:name="_Toc343257278"/>
      <w:bookmarkStart w:id="25" w:name="_Toc343257392"/>
      <w:bookmarkStart w:id="26" w:name="_Toc348711313"/>
      <w:r w:rsidRPr="00160C19">
        <w:t>1.1 Introduction and review methodology</w:t>
      </w:r>
      <w:bookmarkEnd w:id="21"/>
      <w:bookmarkEnd w:id="22"/>
      <w:bookmarkEnd w:id="23"/>
      <w:bookmarkEnd w:id="24"/>
      <w:bookmarkEnd w:id="25"/>
      <w:bookmarkEnd w:id="26"/>
    </w:p>
    <w:p w:rsidR="00CE1ECF" w:rsidRDefault="00CE1ECF" w:rsidP="00CE1ECF">
      <w:pPr>
        <w:jc w:val="both"/>
      </w:pPr>
    </w:p>
    <w:p w:rsidR="00CE1ECF" w:rsidRDefault="00455E6D" w:rsidP="00CE1ECF">
      <w:pPr>
        <w:jc w:val="both"/>
      </w:pPr>
      <w:r>
        <w:t>This public expenditure review (PER) of Vanuatu’s education sector has been commissioned by the Government of Vanuatu (</w:t>
      </w:r>
      <w:proofErr w:type="spellStart"/>
      <w:r>
        <w:t>GoV</w:t>
      </w:r>
      <w:proofErr w:type="spellEnd"/>
      <w:r>
        <w:t>) as one of a series of reviews over the next five years to complement the work of the Ministry of Finance and Economic Management (MFEM) in analysing the efficient and effective use of public monies.</w:t>
      </w:r>
    </w:p>
    <w:p w:rsidR="00455E6D" w:rsidRDefault="00455E6D" w:rsidP="00CE1ECF">
      <w:pPr>
        <w:jc w:val="both"/>
      </w:pPr>
    </w:p>
    <w:p w:rsidR="00455E6D" w:rsidRDefault="00455E6D" w:rsidP="00CE1ECF">
      <w:pPr>
        <w:jc w:val="both"/>
      </w:pPr>
      <w:r>
        <w:t xml:space="preserve">In keeping with generally-accepted principles for PERs the present review aims to address </w:t>
      </w:r>
      <w:r w:rsidR="003429BD">
        <w:t>the following key questions:</w:t>
      </w:r>
    </w:p>
    <w:p w:rsidR="003429BD" w:rsidRDefault="003429BD" w:rsidP="00CE1ECF">
      <w:pPr>
        <w:jc w:val="both"/>
      </w:pPr>
    </w:p>
    <w:p w:rsidR="003429BD" w:rsidRDefault="003429BD" w:rsidP="003429BD">
      <w:pPr>
        <w:pStyle w:val="ListParagraph"/>
        <w:numPr>
          <w:ilvl w:val="0"/>
          <w:numId w:val="1"/>
        </w:numPr>
        <w:jc w:val="both"/>
      </w:pPr>
      <w:r>
        <w:t xml:space="preserve">How much is spent on education and what is the </w:t>
      </w:r>
      <w:proofErr w:type="spellStart"/>
      <w:r>
        <w:t>GoV’s</w:t>
      </w:r>
      <w:proofErr w:type="spellEnd"/>
      <w:r>
        <w:t xml:space="preserve"> share of that?</w:t>
      </w:r>
    </w:p>
    <w:p w:rsidR="003429BD" w:rsidRDefault="003429BD" w:rsidP="003429BD">
      <w:pPr>
        <w:pStyle w:val="ListParagraph"/>
        <w:numPr>
          <w:ilvl w:val="0"/>
          <w:numId w:val="1"/>
        </w:numPr>
        <w:jc w:val="both"/>
      </w:pPr>
      <w:r>
        <w:t xml:space="preserve">How does the </w:t>
      </w:r>
      <w:proofErr w:type="spellStart"/>
      <w:r>
        <w:t>GoV</w:t>
      </w:r>
      <w:proofErr w:type="spellEnd"/>
      <w:r>
        <w:t xml:space="preserve"> finance education spending?</w:t>
      </w:r>
    </w:p>
    <w:p w:rsidR="003429BD" w:rsidRDefault="003429BD" w:rsidP="003429BD">
      <w:pPr>
        <w:pStyle w:val="ListParagraph"/>
        <w:numPr>
          <w:ilvl w:val="0"/>
          <w:numId w:val="1"/>
        </w:numPr>
        <w:jc w:val="both"/>
      </w:pPr>
      <w:r>
        <w:t>Is public spending on education distributed equitably?</w:t>
      </w:r>
    </w:p>
    <w:p w:rsidR="003429BD" w:rsidRDefault="003429BD" w:rsidP="003429BD">
      <w:pPr>
        <w:pStyle w:val="ListParagraph"/>
        <w:numPr>
          <w:ilvl w:val="0"/>
          <w:numId w:val="1"/>
        </w:numPr>
        <w:jc w:val="both"/>
      </w:pPr>
      <w:r>
        <w:t>Does the public get value for money from public spending on education?</w:t>
      </w:r>
    </w:p>
    <w:p w:rsidR="003429BD" w:rsidRDefault="003429BD" w:rsidP="003429BD">
      <w:pPr>
        <w:pStyle w:val="ListParagraph"/>
        <w:numPr>
          <w:ilvl w:val="0"/>
          <w:numId w:val="1"/>
        </w:numPr>
        <w:jc w:val="both"/>
      </w:pPr>
      <w:r>
        <w:t>Is public spending on education adequate and sustainable?</w:t>
      </w:r>
    </w:p>
    <w:p w:rsidR="003429BD" w:rsidRDefault="003429BD" w:rsidP="003429BD">
      <w:pPr>
        <w:jc w:val="both"/>
      </w:pPr>
    </w:p>
    <w:p w:rsidR="003429BD" w:rsidRDefault="003429BD" w:rsidP="003429BD">
      <w:pPr>
        <w:jc w:val="both"/>
      </w:pPr>
      <w:r>
        <w:t>These questions are primarily addressed in Section 2 with findings and recommendations drawn together in Section 3.  The review has also addressed monitoring and evaluation issues in a preliminary way as input to parallel work currently underway and in prospect (Section 4).</w:t>
      </w:r>
    </w:p>
    <w:p w:rsidR="00CE1ECF" w:rsidRDefault="00CE1ECF" w:rsidP="00CE1ECF">
      <w:pPr>
        <w:jc w:val="both"/>
      </w:pPr>
    </w:p>
    <w:p w:rsidR="00DC0603" w:rsidRDefault="00DC0603" w:rsidP="00CE1ECF">
      <w:pPr>
        <w:jc w:val="both"/>
      </w:pPr>
      <w:r>
        <w:t xml:space="preserve">The review has been undertaken by John </w:t>
      </w:r>
      <w:proofErr w:type="spellStart"/>
      <w:r>
        <w:t>Mellors</w:t>
      </w:r>
      <w:proofErr w:type="spellEnd"/>
      <w:r>
        <w:t xml:space="preserve"> as Team Leader with substantial inputs of data and other information from, in particular, Rex Willie of MFEM and Dawn Reuben of the Ministry of Education (</w:t>
      </w:r>
      <w:proofErr w:type="spellStart"/>
      <w:r>
        <w:t>MoE</w:t>
      </w:r>
      <w:proofErr w:type="spellEnd"/>
      <w:r>
        <w:t>).  These inputs and those of many others who have assisted the review are gratefully acknowledged.</w:t>
      </w:r>
    </w:p>
    <w:p w:rsidR="00DC0603" w:rsidRDefault="00DC0603" w:rsidP="00CE1ECF">
      <w:pPr>
        <w:jc w:val="both"/>
      </w:pPr>
    </w:p>
    <w:p w:rsidR="00B10368" w:rsidRDefault="00DC0603" w:rsidP="00CE1ECF">
      <w:pPr>
        <w:jc w:val="both"/>
      </w:pPr>
      <w:r>
        <w:t xml:space="preserve">The review commenced in September 2012 with a 10-day visit to Vanuatu by the Team Leader to scope the terms of reference for the review with stakeholders, prepare a detailed work plan and set in train initial gathering of data.  The work plan was presented to </w:t>
      </w:r>
      <w:proofErr w:type="spellStart"/>
      <w:r>
        <w:t>GoV</w:t>
      </w:r>
      <w:proofErr w:type="spellEnd"/>
      <w:r>
        <w:t xml:space="preserve"> and </w:t>
      </w:r>
      <w:r w:rsidR="00816C51">
        <w:t>d</w:t>
      </w:r>
      <w:r>
        <w:t xml:space="preserve">evelopment </w:t>
      </w:r>
      <w:r w:rsidR="00816C51">
        <w:t>p</w:t>
      </w:r>
      <w:r>
        <w:t>artner stakeholders for consideration on 18 September</w:t>
      </w:r>
      <w:r w:rsidR="003846C9">
        <w:t>.</w:t>
      </w:r>
      <w:r>
        <w:t xml:space="preserve">  The Team Leader subsequently returned to Vanuatu on </w:t>
      </w:r>
      <w:r w:rsidR="00B10368">
        <w:t xml:space="preserve">3 October for some 25 days during which the bulk of data for the review was assembled and initially analysed.  Preliminary findings were presented to </w:t>
      </w:r>
      <w:proofErr w:type="spellStart"/>
      <w:r w:rsidR="00B10368">
        <w:t>GoV</w:t>
      </w:r>
      <w:proofErr w:type="spellEnd"/>
      <w:r w:rsidR="00B10368">
        <w:t xml:space="preserve"> and </w:t>
      </w:r>
      <w:r w:rsidR="00816C51">
        <w:t>d</w:t>
      </w:r>
      <w:r w:rsidR="00B10368">
        <w:t xml:space="preserve">evelopment </w:t>
      </w:r>
      <w:r w:rsidR="00816C51">
        <w:t>p</w:t>
      </w:r>
      <w:r w:rsidR="00B10368">
        <w:t xml:space="preserve">artner stakeholders on 25 October.  </w:t>
      </w:r>
      <w:r w:rsidR="003846C9">
        <w:t>A draft report was submitted on 21 November and its main findings were presented to a further meeting of stakeholders on 4 December.  This final report incorporates feedback received during this process.</w:t>
      </w:r>
    </w:p>
    <w:p w:rsidR="00B10368" w:rsidRDefault="00B10368" w:rsidP="00CE1ECF">
      <w:pPr>
        <w:jc w:val="both"/>
      </w:pPr>
    </w:p>
    <w:p w:rsidR="00B10368" w:rsidRDefault="00B10368" w:rsidP="00CE1ECF">
      <w:pPr>
        <w:jc w:val="both"/>
      </w:pPr>
      <w:r>
        <w:t xml:space="preserve">The review methodology </w:t>
      </w:r>
      <w:r w:rsidR="008647FB">
        <w:t xml:space="preserve">has taken the form of ‘desk based’ research, data analysis and discussions in Port Vila and Australia.  Consideration was initially given to undertaking field work entailing visits to a selection of schools.  However, </w:t>
      </w:r>
      <w:r w:rsidR="005560D3">
        <w:t xml:space="preserve">the Team Leader has previously visited a selection of schools and Provincial Education Offices in the course of a financial management assessment of </w:t>
      </w:r>
      <w:proofErr w:type="spellStart"/>
      <w:r w:rsidR="005560D3">
        <w:t>MoE</w:t>
      </w:r>
      <w:proofErr w:type="spellEnd"/>
      <w:r w:rsidR="005560D3">
        <w:t xml:space="preserve"> undertaken in 2007.  On balance it was concluded that further field research would not add sufficient value </w:t>
      </w:r>
      <w:r w:rsidR="00AD3622">
        <w:t xml:space="preserve">to the </w:t>
      </w:r>
      <w:r w:rsidR="005560D3">
        <w:t xml:space="preserve">present review.  </w:t>
      </w:r>
      <w:r w:rsidR="00AD3622">
        <w:t xml:space="preserve">It </w:t>
      </w:r>
      <w:r w:rsidR="005560D3">
        <w:t xml:space="preserve">is, however, recommended as part of follow-up to this review (see Sections </w:t>
      </w:r>
      <w:r w:rsidR="00AD3622">
        <w:t>2.2.3 and 3).</w:t>
      </w:r>
      <w:r w:rsidR="008647FB">
        <w:t xml:space="preserve"> </w:t>
      </w:r>
    </w:p>
    <w:p w:rsidR="00635B90" w:rsidRDefault="00635B90" w:rsidP="00160C19">
      <w:pPr>
        <w:pStyle w:val="Heading2"/>
      </w:pPr>
      <w:bookmarkStart w:id="27" w:name="_Toc341210779"/>
      <w:bookmarkStart w:id="28" w:name="_Toc341210899"/>
      <w:bookmarkStart w:id="29" w:name="_Toc341265717"/>
      <w:bookmarkStart w:id="30" w:name="_Toc343257279"/>
      <w:bookmarkStart w:id="31" w:name="_Toc343257393"/>
      <w:r>
        <w:br w:type="page"/>
      </w:r>
    </w:p>
    <w:p w:rsidR="00CE1ECF" w:rsidRDefault="00CE1ECF" w:rsidP="00160C19">
      <w:pPr>
        <w:pStyle w:val="Heading2"/>
      </w:pPr>
      <w:bookmarkStart w:id="32" w:name="_Toc348711314"/>
      <w:r w:rsidRPr="00CE1ECF">
        <w:lastRenderedPageBreak/>
        <w:t xml:space="preserve">1.2 </w:t>
      </w:r>
      <w:r>
        <w:t>Development context</w:t>
      </w:r>
      <w:bookmarkEnd w:id="27"/>
      <w:bookmarkEnd w:id="28"/>
      <w:bookmarkEnd w:id="29"/>
      <w:bookmarkEnd w:id="30"/>
      <w:bookmarkEnd w:id="31"/>
      <w:bookmarkEnd w:id="32"/>
    </w:p>
    <w:p w:rsidR="00CE1ECF" w:rsidRDefault="00CE1ECF" w:rsidP="00CE1ECF">
      <w:pPr>
        <w:jc w:val="both"/>
      </w:pPr>
    </w:p>
    <w:p w:rsidR="00A67C0E" w:rsidRDefault="00AD3622" w:rsidP="00CE1ECF">
      <w:pPr>
        <w:jc w:val="both"/>
      </w:pPr>
      <w:r>
        <w:t>Vanuatu’s development context, including the context in which education services are delivered, has been described by many others</w:t>
      </w:r>
      <w:r w:rsidR="00A67C0E">
        <w:t>.</w:t>
      </w:r>
      <w:r>
        <w:rPr>
          <w:rStyle w:val="FootnoteReference"/>
        </w:rPr>
        <w:footnoteReference w:id="2"/>
      </w:r>
      <w:r w:rsidR="00C56005">
        <w:t xml:space="preserve">  In the interests of curtailing coverage of what is already known to stakeholders the following presents a brief summary only,</w:t>
      </w:r>
      <w:r w:rsidR="00A67C0E">
        <w:t xml:space="preserve"> </w:t>
      </w:r>
      <w:r w:rsidR="00E21DE0">
        <w:t>reproduced in shortened form f</w:t>
      </w:r>
      <w:r w:rsidR="00A67C0E">
        <w:t>rom</w:t>
      </w:r>
      <w:r w:rsidR="00E21DE0">
        <w:t xml:space="preserve"> </w:t>
      </w:r>
      <w:r w:rsidR="00A67C0E">
        <w:t>the Draft Design for the Vanuatu Education Sector Program</w:t>
      </w:r>
      <w:r w:rsidR="00E21DE0">
        <w:t>.</w:t>
      </w:r>
    </w:p>
    <w:p w:rsidR="00E21DE0" w:rsidRDefault="00E21DE0" w:rsidP="00CE1ECF">
      <w:pPr>
        <w:jc w:val="both"/>
      </w:pPr>
    </w:p>
    <w:tbl>
      <w:tblPr>
        <w:tblStyle w:val="TableGrid"/>
        <w:tblW w:w="8505" w:type="dxa"/>
        <w:jc w:val="center"/>
        <w:tblLook w:val="04A0" w:firstRow="1" w:lastRow="0" w:firstColumn="1" w:lastColumn="0" w:noHBand="0" w:noVBand="1"/>
        <w:tblCaption w:val="Box on Vanuatu's development context"/>
        <w:tblDescription w:val="Provides summary of broad development indicators in Vanuatu (poverty, inequality, adult literacy, economic growth, natural disasters, education MDG). Also includes some analysis as to the major challenges to achieving the MDGs. The information in this box is sourced from the Program Design Document for the Vanuatu Education Sector Program (2012). "/>
      </w:tblPr>
      <w:tblGrid>
        <w:gridCol w:w="8505"/>
      </w:tblGrid>
      <w:tr w:rsidR="00E21DE0" w:rsidTr="003132B9">
        <w:trPr>
          <w:tblHeader/>
          <w:jc w:val="center"/>
        </w:trPr>
        <w:tc>
          <w:tcPr>
            <w:tcW w:w="9570" w:type="dxa"/>
          </w:tcPr>
          <w:p w:rsidR="00E21DE0" w:rsidRPr="001D163E" w:rsidRDefault="00E21DE0" w:rsidP="00963006">
            <w:pPr>
              <w:pStyle w:val="ListParagraph"/>
              <w:widowControl w:val="0"/>
              <w:autoSpaceDE w:val="0"/>
              <w:autoSpaceDN w:val="0"/>
              <w:adjustRightInd w:val="0"/>
              <w:spacing w:before="120"/>
              <w:ind w:left="35"/>
              <w:contextualSpacing w:val="0"/>
              <w:rPr>
                <w:rFonts w:eastAsia="Calibri" w:cs="Times New Roman"/>
                <w:b/>
              </w:rPr>
            </w:pPr>
            <w:r w:rsidRPr="0001682F">
              <w:rPr>
                <w:rFonts w:eastAsia="Calibri" w:cs="Times New Roman"/>
                <w:b/>
              </w:rPr>
              <w:t xml:space="preserve">Vanuatu </w:t>
            </w:r>
            <w:r>
              <w:rPr>
                <w:rFonts w:eastAsia="Calibri" w:cs="Times New Roman"/>
                <w:b/>
              </w:rPr>
              <w:t xml:space="preserve">has high levels of poverty and vulnerability.  </w:t>
            </w:r>
            <w:r>
              <w:rPr>
                <w:rFonts w:eastAsia="Calibri" w:cs="Times New Roman"/>
              </w:rPr>
              <w:t>This is despite a moderate gross national income per capita (US$1737 in 2009) and medium Human Development Index ranking (125</w:t>
            </w:r>
            <w:r w:rsidRPr="00C803D1">
              <w:rPr>
                <w:rFonts w:eastAsia="Calibri" w:cs="Times New Roman"/>
                <w:vertAlign w:val="superscript"/>
              </w:rPr>
              <w:t>th</w:t>
            </w:r>
            <w:r>
              <w:rPr>
                <w:rFonts w:eastAsia="Calibri" w:cs="Times New Roman"/>
              </w:rPr>
              <w:t xml:space="preserve"> out of 187 countries).  </w:t>
            </w:r>
          </w:p>
          <w:p w:rsidR="00E21DE0" w:rsidRPr="00963006" w:rsidRDefault="00E21DE0" w:rsidP="00501831">
            <w:pPr>
              <w:pStyle w:val="ListParagraph"/>
              <w:widowControl w:val="0"/>
              <w:numPr>
                <w:ilvl w:val="0"/>
                <w:numId w:val="2"/>
              </w:numPr>
              <w:autoSpaceDE w:val="0"/>
              <w:autoSpaceDN w:val="0"/>
              <w:adjustRightInd w:val="0"/>
              <w:spacing w:before="120"/>
              <w:ind w:right="-330"/>
              <w:contextualSpacing w:val="0"/>
              <w:rPr>
                <w:rFonts w:eastAsia="Calibri" w:cs="Times New Roman"/>
                <w:szCs w:val="24"/>
                <w:lang w:val="en-US" w:eastAsia="en-AU"/>
              </w:rPr>
            </w:pPr>
            <w:r w:rsidRPr="00963006">
              <w:rPr>
                <w:rFonts w:eastAsia="Calibri" w:cs="Times New Roman"/>
                <w:szCs w:val="24"/>
                <w:lang w:val="en-US" w:eastAsia="en-AU"/>
              </w:rPr>
              <w:t xml:space="preserve">Vanuatu has dramatic rural-urban income inequalities - over 80% of the population depends on agriculture for their livelihood, yet the rural sector contributes only 8% of Gross Domestic Product;  </w:t>
            </w:r>
          </w:p>
          <w:p w:rsidR="00E21DE0" w:rsidRPr="00963006" w:rsidRDefault="00E21DE0" w:rsidP="00501831">
            <w:pPr>
              <w:pStyle w:val="ListParagraph"/>
              <w:widowControl w:val="0"/>
              <w:numPr>
                <w:ilvl w:val="0"/>
                <w:numId w:val="2"/>
              </w:numPr>
              <w:autoSpaceDE w:val="0"/>
              <w:autoSpaceDN w:val="0"/>
              <w:adjustRightInd w:val="0"/>
              <w:spacing w:before="120"/>
              <w:contextualSpacing w:val="0"/>
              <w:rPr>
                <w:rFonts w:eastAsia="Calibri" w:cs="Times New Roman"/>
                <w:szCs w:val="24"/>
                <w:lang w:val="en-US" w:eastAsia="en-AU"/>
              </w:rPr>
            </w:pPr>
            <w:r w:rsidRPr="00963006">
              <w:rPr>
                <w:rStyle w:val="BodyTextChar"/>
                <w:rFonts w:ascii="Times New Roman" w:hAnsi="Times New Roman"/>
                <w:sz w:val="24"/>
                <w:szCs w:val="24"/>
              </w:rPr>
              <w:t>15.9% of people live in poverty (on less than $1.25 a day), and a further 22% are estimated to be vulnerable to experiencing poverty (ie. from food or fuel price increases) as they are close to the poverty threshold</w:t>
            </w:r>
            <w:r w:rsidRPr="00963006">
              <w:rPr>
                <w:rFonts w:eastAsia="Calibri" w:cs="Times New Roman"/>
                <w:szCs w:val="24"/>
                <w:lang w:val="en-US" w:eastAsia="en-AU"/>
              </w:rPr>
              <w:t>;</w:t>
            </w:r>
          </w:p>
          <w:p w:rsidR="00E21DE0" w:rsidRPr="00963006" w:rsidRDefault="00E21DE0" w:rsidP="00501831">
            <w:pPr>
              <w:pStyle w:val="ListParagraph"/>
              <w:widowControl w:val="0"/>
              <w:numPr>
                <w:ilvl w:val="0"/>
                <w:numId w:val="2"/>
              </w:numPr>
              <w:autoSpaceDE w:val="0"/>
              <w:autoSpaceDN w:val="0"/>
              <w:adjustRightInd w:val="0"/>
              <w:spacing w:before="120"/>
              <w:contextualSpacing w:val="0"/>
              <w:rPr>
                <w:rFonts w:eastAsia="Calibri" w:cs="Times New Roman"/>
                <w:szCs w:val="24"/>
                <w:lang w:val="en-US" w:eastAsia="en-AU"/>
              </w:rPr>
            </w:pPr>
            <w:r w:rsidRPr="00963006">
              <w:rPr>
                <w:rFonts w:eastAsia="Calibri" w:cs="Times New Roman"/>
                <w:szCs w:val="24"/>
                <w:lang w:val="en-US" w:eastAsia="en-AU"/>
              </w:rPr>
              <w:t>The adult literacy rate is only 33%;</w:t>
            </w:r>
          </w:p>
          <w:p w:rsidR="00E21DE0" w:rsidRPr="00963006" w:rsidRDefault="00E21DE0" w:rsidP="00501831">
            <w:pPr>
              <w:pStyle w:val="ListParagraph"/>
              <w:widowControl w:val="0"/>
              <w:numPr>
                <w:ilvl w:val="0"/>
                <w:numId w:val="2"/>
              </w:numPr>
              <w:autoSpaceDE w:val="0"/>
              <w:autoSpaceDN w:val="0"/>
              <w:adjustRightInd w:val="0"/>
              <w:spacing w:before="120"/>
              <w:contextualSpacing w:val="0"/>
              <w:rPr>
                <w:rFonts w:eastAsia="Calibri" w:cs="Times New Roman"/>
                <w:szCs w:val="24"/>
                <w:lang w:val="en-US" w:eastAsia="en-AU"/>
              </w:rPr>
            </w:pPr>
            <w:r w:rsidRPr="00963006">
              <w:rPr>
                <w:rFonts w:eastAsia="Calibri" w:cs="Times New Roman"/>
                <w:szCs w:val="24"/>
                <w:lang w:val="en-US" w:eastAsia="en-AU"/>
              </w:rPr>
              <w:t>Child (under 5) mortality rate is high at 42 per 1000;</w:t>
            </w:r>
          </w:p>
          <w:p w:rsidR="00E21DE0" w:rsidRPr="00963006" w:rsidRDefault="00E21DE0" w:rsidP="00501831">
            <w:pPr>
              <w:pStyle w:val="ListParagraph"/>
              <w:widowControl w:val="0"/>
              <w:numPr>
                <w:ilvl w:val="0"/>
                <w:numId w:val="2"/>
              </w:numPr>
              <w:autoSpaceDE w:val="0"/>
              <w:autoSpaceDN w:val="0"/>
              <w:adjustRightInd w:val="0"/>
              <w:spacing w:before="120"/>
              <w:contextualSpacing w:val="0"/>
              <w:rPr>
                <w:rFonts w:eastAsia="Calibri" w:cs="Times New Roman"/>
                <w:szCs w:val="24"/>
                <w:lang w:val="en-US" w:eastAsia="en-AU"/>
              </w:rPr>
            </w:pPr>
            <w:r w:rsidRPr="00963006">
              <w:rPr>
                <w:rFonts w:eastAsia="Calibri" w:cs="Times New Roman"/>
                <w:szCs w:val="24"/>
                <w:lang w:val="en-US" w:eastAsia="en-AU"/>
              </w:rPr>
              <w:t xml:space="preserve">The country is extremely vulnerable to violent natural shocks including tropical cyclones, volcanic eruptions, earthquakes, flood and droughts. </w:t>
            </w:r>
          </w:p>
          <w:p w:rsidR="00E21DE0" w:rsidRPr="00963006" w:rsidRDefault="00E21DE0" w:rsidP="00501831">
            <w:pPr>
              <w:pStyle w:val="ListParagraph"/>
              <w:numPr>
                <w:ilvl w:val="0"/>
                <w:numId w:val="2"/>
              </w:numPr>
              <w:rPr>
                <w:rFonts w:eastAsia="Calibri" w:cs="Times New Roman"/>
                <w:szCs w:val="24"/>
              </w:rPr>
            </w:pPr>
            <w:r w:rsidRPr="00963006">
              <w:rPr>
                <w:rFonts w:eastAsia="Calibri" w:cs="Times New Roman"/>
                <w:szCs w:val="24"/>
              </w:rPr>
              <w:t>While the 2012 review is still under consideration, Vanuatu’s economic growth rate has dropped from 5% to 3% due to the Global Financial Crisis, and it remains vulnerable to further economic impacts and natural disasters.</w:t>
            </w:r>
          </w:p>
          <w:p w:rsidR="00E21DE0" w:rsidRDefault="00E21DE0" w:rsidP="00963006">
            <w:pPr>
              <w:pStyle w:val="ListParagraph"/>
              <w:widowControl w:val="0"/>
              <w:autoSpaceDE w:val="0"/>
              <w:autoSpaceDN w:val="0"/>
              <w:adjustRightInd w:val="0"/>
              <w:spacing w:before="120"/>
              <w:ind w:left="0"/>
              <w:contextualSpacing w:val="0"/>
              <w:rPr>
                <w:rFonts w:eastAsia="Calibri" w:cs="Times New Roman"/>
                <w:b/>
              </w:rPr>
            </w:pPr>
            <w:r>
              <w:rPr>
                <w:rFonts w:eastAsia="Calibri" w:cs="Times New Roman"/>
                <w:b/>
              </w:rPr>
              <w:t>The education Millennium Development Goal (MDG) is amongst several MDG</w:t>
            </w:r>
            <w:r w:rsidR="00816C51">
              <w:rPr>
                <w:rFonts w:eastAsia="Calibri" w:cs="Times New Roman"/>
                <w:b/>
              </w:rPr>
              <w:t>s</w:t>
            </w:r>
            <w:r>
              <w:rPr>
                <w:rFonts w:eastAsia="Calibri" w:cs="Times New Roman"/>
                <w:b/>
              </w:rPr>
              <w:t xml:space="preserve"> unlikely to be met by Vanuatu by 2015.  </w:t>
            </w:r>
            <w:r w:rsidRPr="002D55C4">
              <w:rPr>
                <w:rFonts w:eastAsia="Calibri" w:cs="Times New Roman"/>
              </w:rPr>
              <w:t xml:space="preserve">Other MDG targets unlikely to be met according to Vanuatu’s 2010 MDG Report are productive employment, hunger, </w:t>
            </w:r>
            <w:proofErr w:type="gramStart"/>
            <w:r w:rsidRPr="002D55C4">
              <w:rPr>
                <w:rFonts w:eastAsia="Calibri" w:cs="Times New Roman"/>
              </w:rPr>
              <w:t>food</w:t>
            </w:r>
            <w:proofErr w:type="gramEnd"/>
            <w:r w:rsidRPr="002D55C4">
              <w:rPr>
                <w:rFonts w:eastAsia="Calibri" w:cs="Times New Roman"/>
              </w:rPr>
              <w:t xml:space="preserve"> security, gender equity in education and parliament, and environmental sustainability.  </w:t>
            </w:r>
          </w:p>
          <w:p w:rsidR="00E21DE0" w:rsidRDefault="00E21DE0" w:rsidP="00963006">
            <w:pPr>
              <w:pStyle w:val="ListParagraph"/>
              <w:widowControl w:val="0"/>
              <w:autoSpaceDE w:val="0"/>
              <w:autoSpaceDN w:val="0"/>
              <w:adjustRightInd w:val="0"/>
              <w:spacing w:before="120"/>
              <w:ind w:left="0"/>
              <w:contextualSpacing w:val="0"/>
              <w:rPr>
                <w:rFonts w:eastAsia="Calibri" w:cs="Times New Roman"/>
              </w:rPr>
            </w:pPr>
            <w:r w:rsidRPr="00E25AD9">
              <w:rPr>
                <w:rFonts w:eastAsia="Calibri" w:cs="Times New Roman"/>
              </w:rPr>
              <w:t>The</w:t>
            </w:r>
            <w:r>
              <w:rPr>
                <w:rFonts w:eastAsia="Calibri" w:cs="Times New Roman"/>
              </w:rPr>
              <w:t xml:space="preserve"> Vanuatu MDG Report identifies </w:t>
            </w:r>
            <w:r w:rsidRPr="002D55C4">
              <w:rPr>
                <w:rFonts w:eastAsia="Calibri" w:cs="Times New Roman"/>
                <w:b/>
              </w:rPr>
              <w:t>major challenges to achieving the MDGs</w:t>
            </w:r>
            <w:r>
              <w:rPr>
                <w:rFonts w:eastAsia="Calibri" w:cs="Times New Roman"/>
              </w:rPr>
              <w:t xml:space="preserve">, including: </w:t>
            </w:r>
          </w:p>
          <w:p w:rsidR="00E21DE0" w:rsidRDefault="00E21DE0" w:rsidP="00501831">
            <w:pPr>
              <w:pStyle w:val="ListParagraph"/>
              <w:widowControl w:val="0"/>
              <w:numPr>
                <w:ilvl w:val="0"/>
                <w:numId w:val="3"/>
              </w:numPr>
              <w:autoSpaceDE w:val="0"/>
              <w:autoSpaceDN w:val="0"/>
              <w:adjustRightInd w:val="0"/>
              <w:spacing w:before="120"/>
              <w:rPr>
                <w:rFonts w:eastAsia="Calibri" w:cs="Times New Roman"/>
              </w:rPr>
            </w:pPr>
            <w:r w:rsidRPr="001D163E">
              <w:rPr>
                <w:rFonts w:eastAsia="Calibri" w:cs="Times New Roman"/>
              </w:rPr>
              <w:t xml:space="preserve">Limited </w:t>
            </w:r>
            <w:r w:rsidRPr="00963006">
              <w:rPr>
                <w:rFonts w:eastAsia="Calibri" w:cs="Times New Roman"/>
                <w:lang w:val="en-US" w:eastAsia="en-AU"/>
              </w:rPr>
              <w:t>Government</w:t>
            </w:r>
            <w:r w:rsidRPr="001D163E">
              <w:rPr>
                <w:rFonts w:eastAsia="Calibri" w:cs="Times New Roman"/>
              </w:rPr>
              <w:t xml:space="preserve"> finances</w:t>
            </w:r>
            <w:r>
              <w:rPr>
                <w:rFonts w:eastAsia="Calibri" w:cs="Times New Roman"/>
              </w:rPr>
              <w:t xml:space="preserve"> - 80% of the budget goes to wages and salaries leaving little for development initiatives;</w:t>
            </w:r>
          </w:p>
          <w:p w:rsidR="00E21DE0" w:rsidRDefault="00E21DE0" w:rsidP="00501831">
            <w:pPr>
              <w:pStyle w:val="ListParagraph"/>
              <w:widowControl w:val="0"/>
              <w:numPr>
                <w:ilvl w:val="0"/>
                <w:numId w:val="3"/>
              </w:numPr>
              <w:autoSpaceDE w:val="0"/>
              <w:autoSpaceDN w:val="0"/>
              <w:adjustRightInd w:val="0"/>
              <w:spacing w:before="120"/>
              <w:rPr>
                <w:rFonts w:eastAsia="Calibri" w:cs="Times New Roman"/>
              </w:rPr>
            </w:pPr>
            <w:r w:rsidRPr="001D163E">
              <w:rPr>
                <w:rFonts w:eastAsia="Calibri" w:cs="Times New Roman"/>
              </w:rPr>
              <w:t>Government human resource constraints</w:t>
            </w:r>
            <w:r>
              <w:rPr>
                <w:rFonts w:eastAsia="Calibri" w:cs="Times New Roman"/>
              </w:rPr>
              <w:t xml:space="preserve">; </w:t>
            </w:r>
          </w:p>
          <w:p w:rsidR="00E21DE0" w:rsidRDefault="00E21DE0" w:rsidP="00501831">
            <w:pPr>
              <w:pStyle w:val="ListParagraph"/>
              <w:widowControl w:val="0"/>
              <w:numPr>
                <w:ilvl w:val="0"/>
                <w:numId w:val="3"/>
              </w:numPr>
              <w:autoSpaceDE w:val="0"/>
              <w:autoSpaceDN w:val="0"/>
              <w:adjustRightInd w:val="0"/>
              <w:spacing w:before="120"/>
              <w:rPr>
                <w:rFonts w:eastAsia="Calibri" w:cs="Times New Roman"/>
              </w:rPr>
            </w:pPr>
            <w:r w:rsidRPr="001D163E">
              <w:rPr>
                <w:rFonts w:eastAsia="Calibri" w:cs="Times New Roman"/>
              </w:rPr>
              <w:t>High cost of service delivery</w:t>
            </w:r>
            <w:r>
              <w:rPr>
                <w:rFonts w:eastAsia="Calibri" w:cs="Times New Roman"/>
              </w:rPr>
              <w:t xml:space="preserve"> due to remoteness of islands;</w:t>
            </w:r>
          </w:p>
          <w:p w:rsidR="00E21DE0" w:rsidRDefault="00E21DE0" w:rsidP="00501831">
            <w:pPr>
              <w:pStyle w:val="ListParagraph"/>
              <w:widowControl w:val="0"/>
              <w:numPr>
                <w:ilvl w:val="0"/>
                <w:numId w:val="3"/>
              </w:numPr>
              <w:autoSpaceDE w:val="0"/>
              <w:autoSpaceDN w:val="0"/>
              <w:adjustRightInd w:val="0"/>
              <w:spacing w:before="120"/>
              <w:rPr>
                <w:rFonts w:eastAsia="Calibri" w:cs="Times New Roman"/>
              </w:rPr>
            </w:pPr>
            <w:r>
              <w:rPr>
                <w:rFonts w:eastAsia="Calibri" w:cs="Times New Roman"/>
              </w:rPr>
              <w:t>Language diversity (there are 105 vernaculars, 2 official languages and 1 national language);</w:t>
            </w:r>
          </w:p>
          <w:p w:rsidR="00E21DE0" w:rsidRDefault="00E21DE0" w:rsidP="00501831">
            <w:pPr>
              <w:pStyle w:val="ListParagraph"/>
              <w:widowControl w:val="0"/>
              <w:numPr>
                <w:ilvl w:val="0"/>
                <w:numId w:val="3"/>
              </w:numPr>
              <w:autoSpaceDE w:val="0"/>
              <w:autoSpaceDN w:val="0"/>
              <w:adjustRightInd w:val="0"/>
              <w:spacing w:before="120"/>
              <w:rPr>
                <w:rFonts w:eastAsia="Calibri" w:cs="Times New Roman"/>
              </w:rPr>
            </w:pPr>
            <w:r>
              <w:rPr>
                <w:rFonts w:eastAsia="Calibri" w:cs="Times New Roman"/>
              </w:rPr>
              <w:t>P</w:t>
            </w:r>
            <w:r w:rsidRPr="002E12AF">
              <w:rPr>
                <w:rFonts w:eastAsia="Calibri" w:cs="Times New Roman"/>
              </w:rPr>
              <w:t xml:space="preserve">olitical instability </w:t>
            </w:r>
            <w:r>
              <w:rPr>
                <w:rFonts w:eastAsia="Calibri" w:cs="Times New Roman"/>
              </w:rPr>
              <w:t>characterised by l</w:t>
            </w:r>
            <w:r w:rsidRPr="002E12AF">
              <w:rPr>
                <w:rFonts w:eastAsia="Calibri" w:cs="Times New Roman"/>
              </w:rPr>
              <w:t>ocal allegiances and divisions</w:t>
            </w:r>
            <w:r>
              <w:rPr>
                <w:rFonts w:eastAsia="Calibri" w:cs="Times New Roman"/>
              </w:rPr>
              <w:t xml:space="preserve">; </w:t>
            </w:r>
          </w:p>
          <w:p w:rsidR="00E21DE0" w:rsidRPr="00021E78" w:rsidRDefault="00E21DE0" w:rsidP="00501831">
            <w:pPr>
              <w:pStyle w:val="ListParagraph"/>
              <w:widowControl w:val="0"/>
              <w:numPr>
                <w:ilvl w:val="0"/>
                <w:numId w:val="3"/>
              </w:numPr>
              <w:autoSpaceDE w:val="0"/>
              <w:autoSpaceDN w:val="0"/>
              <w:adjustRightInd w:val="0"/>
              <w:spacing w:before="120"/>
            </w:pPr>
            <w:r w:rsidRPr="001D163E">
              <w:rPr>
                <w:rFonts w:eastAsia="Calibri" w:cs="Times New Roman"/>
              </w:rPr>
              <w:t>High rates of population growth and urbanisation</w:t>
            </w:r>
            <w:r>
              <w:rPr>
                <w:rFonts w:eastAsia="Calibri" w:cs="Times New Roman"/>
              </w:rPr>
              <w:t>, which pose a major challenge for service delivery and infrastructure.</w:t>
            </w:r>
          </w:p>
          <w:p w:rsidR="00021E78" w:rsidRDefault="00021E78" w:rsidP="00021E78">
            <w:pPr>
              <w:widowControl w:val="0"/>
              <w:autoSpaceDE w:val="0"/>
              <w:autoSpaceDN w:val="0"/>
              <w:adjustRightInd w:val="0"/>
              <w:spacing w:before="120"/>
            </w:pPr>
          </w:p>
        </w:tc>
      </w:tr>
      <w:tr w:rsidR="00E21DE0" w:rsidTr="00E21DE0">
        <w:trPr>
          <w:jc w:val="center"/>
        </w:trPr>
        <w:tc>
          <w:tcPr>
            <w:tcW w:w="9570" w:type="dxa"/>
          </w:tcPr>
          <w:p w:rsidR="00E21DE0" w:rsidRDefault="00963006" w:rsidP="00CE1ECF">
            <w:pPr>
              <w:jc w:val="both"/>
            </w:pPr>
            <w:r>
              <w:t>Source: ‘Program Design Document: Vanuatu Education Sector Program (Draft)’, (3 September 2012), page 9.</w:t>
            </w:r>
          </w:p>
        </w:tc>
      </w:tr>
    </w:tbl>
    <w:p w:rsidR="00A67C0E" w:rsidRDefault="00A67C0E" w:rsidP="00CE1ECF">
      <w:pPr>
        <w:jc w:val="both"/>
      </w:pPr>
    </w:p>
    <w:p w:rsidR="00CE1ECF" w:rsidRDefault="00CE1ECF" w:rsidP="00160C19">
      <w:pPr>
        <w:pStyle w:val="Heading2"/>
      </w:pPr>
      <w:bookmarkStart w:id="33" w:name="_Toc341210780"/>
      <w:bookmarkStart w:id="34" w:name="_Toc341210900"/>
      <w:bookmarkStart w:id="35" w:name="_Toc341265718"/>
      <w:bookmarkStart w:id="36" w:name="_Toc343257280"/>
      <w:bookmarkStart w:id="37" w:name="_Toc343257394"/>
      <w:bookmarkStart w:id="38" w:name="_Toc348711315"/>
      <w:r>
        <w:lastRenderedPageBreak/>
        <w:t xml:space="preserve">1.3 </w:t>
      </w:r>
      <w:r w:rsidRPr="00CE1ECF">
        <w:t>Institutional structure</w:t>
      </w:r>
      <w:r w:rsidR="00C56005">
        <w:t xml:space="preserve"> of the education sector</w:t>
      </w:r>
      <w:bookmarkEnd w:id="33"/>
      <w:bookmarkEnd w:id="34"/>
      <w:bookmarkEnd w:id="35"/>
      <w:bookmarkEnd w:id="36"/>
      <w:bookmarkEnd w:id="37"/>
      <w:bookmarkEnd w:id="38"/>
    </w:p>
    <w:p w:rsidR="00CE1ECF" w:rsidRDefault="00CE1ECF" w:rsidP="00CE1ECF">
      <w:pPr>
        <w:jc w:val="both"/>
      </w:pPr>
    </w:p>
    <w:p w:rsidR="009375F6" w:rsidRDefault="009375F6" w:rsidP="009375F6">
      <w:pPr>
        <w:jc w:val="both"/>
        <w:rPr>
          <w:rFonts w:eastAsia="Calibri" w:cs="Times New Roman"/>
          <w:lang w:val="en-US"/>
        </w:rPr>
      </w:pPr>
      <w:r>
        <w:rPr>
          <w:rFonts w:eastAsia="Calibri" w:cs="Times New Roman"/>
          <w:lang w:val="en-US"/>
        </w:rPr>
        <w:t xml:space="preserve">Vanuatu’s Education sector </w:t>
      </w:r>
      <w:r>
        <w:rPr>
          <w:lang w:val="en-US"/>
        </w:rPr>
        <w:t xml:space="preserve">in 2011 </w:t>
      </w:r>
      <w:r>
        <w:rPr>
          <w:rFonts w:eastAsia="Calibri" w:cs="Times New Roman"/>
          <w:lang w:val="en-US"/>
        </w:rPr>
        <w:t>comprise</w:t>
      </w:r>
      <w:r>
        <w:rPr>
          <w:lang w:val="en-US"/>
        </w:rPr>
        <w:t>d</w:t>
      </w:r>
      <w:r>
        <w:rPr>
          <w:rFonts w:eastAsia="Calibri" w:cs="Times New Roman"/>
          <w:lang w:val="en-US"/>
        </w:rPr>
        <w:t>:</w:t>
      </w:r>
    </w:p>
    <w:p w:rsidR="009375F6" w:rsidRDefault="009375F6" w:rsidP="009375F6">
      <w:pPr>
        <w:jc w:val="both"/>
        <w:rPr>
          <w:rFonts w:eastAsia="Calibri" w:cs="Times New Roman"/>
          <w:lang w:val="en-US"/>
        </w:rPr>
      </w:pPr>
    </w:p>
    <w:p w:rsidR="009375F6" w:rsidRPr="009375F6" w:rsidRDefault="009375F6" w:rsidP="00501831">
      <w:pPr>
        <w:numPr>
          <w:ilvl w:val="0"/>
          <w:numId w:val="14"/>
        </w:numPr>
        <w:jc w:val="both"/>
        <w:rPr>
          <w:b/>
          <w:sz w:val="28"/>
          <w:szCs w:val="28"/>
          <w:lang w:val="en-US"/>
        </w:rPr>
      </w:pPr>
      <w:r>
        <w:rPr>
          <w:rFonts w:eastAsia="Calibri" w:cs="Times New Roman"/>
          <w:lang w:val="en-US"/>
        </w:rPr>
        <w:t xml:space="preserve">Some </w:t>
      </w:r>
      <w:r>
        <w:rPr>
          <w:lang w:val="en-US"/>
        </w:rPr>
        <w:t xml:space="preserve">543 early childhood </w:t>
      </w:r>
      <w:proofErr w:type="spellStart"/>
      <w:r>
        <w:rPr>
          <w:lang w:val="en-US"/>
        </w:rPr>
        <w:t>centres</w:t>
      </w:r>
      <w:proofErr w:type="spellEnd"/>
      <w:r>
        <w:rPr>
          <w:lang w:val="en-US"/>
        </w:rPr>
        <w:t xml:space="preserve">, </w:t>
      </w:r>
      <w:r>
        <w:rPr>
          <w:rFonts w:eastAsia="Calibri" w:cs="Times New Roman"/>
          <w:lang w:val="en-US"/>
        </w:rPr>
        <w:t>4</w:t>
      </w:r>
      <w:r>
        <w:rPr>
          <w:lang w:val="en-US"/>
        </w:rPr>
        <w:t>32</w:t>
      </w:r>
      <w:r>
        <w:rPr>
          <w:rFonts w:eastAsia="Calibri" w:cs="Times New Roman"/>
          <w:lang w:val="en-US"/>
        </w:rPr>
        <w:t xml:space="preserve"> primary schools</w:t>
      </w:r>
      <w:r>
        <w:rPr>
          <w:lang w:val="en-US"/>
        </w:rPr>
        <w:t xml:space="preserve"> and 82 secondary school delivering education services to some 72,000 </w:t>
      </w:r>
      <w:r w:rsidR="00777692">
        <w:rPr>
          <w:lang w:val="en-US"/>
        </w:rPr>
        <w:t xml:space="preserve">children/students (see Table </w:t>
      </w:r>
      <w:r w:rsidR="000F65C3">
        <w:rPr>
          <w:lang w:val="en-US"/>
        </w:rPr>
        <w:t>1</w:t>
      </w:r>
      <w:r w:rsidR="00777692">
        <w:rPr>
          <w:lang w:val="en-US"/>
        </w:rPr>
        <w:t>).</w:t>
      </w:r>
    </w:p>
    <w:p w:rsidR="009375F6" w:rsidRDefault="009375F6" w:rsidP="00501831">
      <w:pPr>
        <w:numPr>
          <w:ilvl w:val="0"/>
          <w:numId w:val="14"/>
        </w:numPr>
        <w:jc w:val="both"/>
        <w:rPr>
          <w:rFonts w:eastAsia="Calibri" w:cs="Times New Roman"/>
          <w:b/>
          <w:sz w:val="28"/>
          <w:szCs w:val="28"/>
          <w:lang w:val="en-US"/>
        </w:rPr>
      </w:pPr>
      <w:r>
        <w:rPr>
          <w:rFonts w:eastAsia="Calibri" w:cs="Times New Roman"/>
          <w:lang w:val="en-US"/>
        </w:rPr>
        <w:t>The sub-sectors of early childhood education</w:t>
      </w:r>
      <w:r w:rsidR="00777692">
        <w:rPr>
          <w:lang w:val="en-US"/>
        </w:rPr>
        <w:t xml:space="preserve"> (ECE)</w:t>
      </w:r>
      <w:r>
        <w:rPr>
          <w:rFonts w:eastAsia="Calibri" w:cs="Times New Roman"/>
          <w:lang w:val="en-US"/>
        </w:rPr>
        <w:t>, primary education, secondary education, technical vocational education and training (TVET), distance education, and tertiary education.</w:t>
      </w:r>
    </w:p>
    <w:p w:rsidR="00D05B97" w:rsidRPr="003E13EF" w:rsidRDefault="009375F6" w:rsidP="00501831">
      <w:pPr>
        <w:numPr>
          <w:ilvl w:val="0"/>
          <w:numId w:val="14"/>
        </w:numPr>
        <w:jc w:val="both"/>
        <w:rPr>
          <w:rFonts w:eastAsia="Calibri" w:cs="Times New Roman"/>
          <w:b/>
          <w:sz w:val="28"/>
          <w:szCs w:val="28"/>
          <w:lang w:val="en-US"/>
        </w:rPr>
      </w:pPr>
      <w:r>
        <w:rPr>
          <w:rFonts w:eastAsia="Calibri" w:cs="Times New Roman"/>
          <w:lang w:val="en-US"/>
        </w:rPr>
        <w:t>National services such as teacher training, curriculum</w:t>
      </w:r>
      <w:r>
        <w:rPr>
          <w:lang w:val="en-US"/>
        </w:rPr>
        <w:t xml:space="preserve"> development</w:t>
      </w:r>
      <w:r>
        <w:rPr>
          <w:rFonts w:eastAsia="Calibri" w:cs="Times New Roman"/>
          <w:lang w:val="en-US"/>
        </w:rPr>
        <w:t xml:space="preserve">, </w:t>
      </w:r>
      <w:r>
        <w:rPr>
          <w:lang w:val="en-US"/>
        </w:rPr>
        <w:t xml:space="preserve">administration of </w:t>
      </w:r>
      <w:r>
        <w:rPr>
          <w:rFonts w:eastAsia="Calibri" w:cs="Times New Roman"/>
          <w:lang w:val="en-US"/>
        </w:rPr>
        <w:t xml:space="preserve">examinations and the national scholarships </w:t>
      </w:r>
      <w:r w:rsidR="00D05B97">
        <w:rPr>
          <w:rFonts w:eastAsia="Calibri" w:cs="Times New Roman"/>
          <w:lang w:val="en-US"/>
        </w:rPr>
        <w:t>unit.</w:t>
      </w:r>
    </w:p>
    <w:p w:rsidR="00AB1841" w:rsidRDefault="0038270A">
      <w:pPr>
        <w:numPr>
          <w:ilvl w:val="0"/>
          <w:numId w:val="14"/>
        </w:numPr>
        <w:jc w:val="both"/>
        <w:rPr>
          <w:rFonts w:eastAsia="Calibri" w:cs="Times New Roman"/>
          <w:b/>
          <w:sz w:val="28"/>
          <w:szCs w:val="28"/>
          <w:lang w:val="en-US"/>
        </w:rPr>
      </w:pPr>
      <w:r w:rsidRPr="003E13EF">
        <w:rPr>
          <w:rFonts w:eastAsia="Calibri" w:cs="Times New Roman"/>
          <w:lang w:val="en-US"/>
        </w:rPr>
        <w:t xml:space="preserve">Government Ministries with administrative and funding </w:t>
      </w:r>
      <w:r w:rsidR="002A370D">
        <w:rPr>
          <w:lang w:val="en-US"/>
        </w:rPr>
        <w:t>responsibili</w:t>
      </w:r>
      <w:r w:rsidRPr="003E13EF">
        <w:rPr>
          <w:rFonts w:eastAsia="Calibri" w:cs="Times New Roman"/>
          <w:lang w:val="en-US"/>
        </w:rPr>
        <w:t>ti</w:t>
      </w:r>
      <w:r w:rsidR="002A370D">
        <w:rPr>
          <w:lang w:val="en-US"/>
        </w:rPr>
        <w:t>es for the sector,</w:t>
      </w:r>
      <w:r w:rsidRPr="003E13EF">
        <w:rPr>
          <w:rFonts w:eastAsia="Calibri" w:cs="Times New Roman"/>
          <w:lang w:val="en-US"/>
        </w:rPr>
        <w:t xml:space="preserve"> primarily the Ministry of Education including the Teac</w:t>
      </w:r>
      <w:r w:rsidR="002A370D">
        <w:rPr>
          <w:lang w:val="en-US"/>
        </w:rPr>
        <w:t>hing Service Commission and six Provincial Education Offices</w:t>
      </w:r>
      <w:r w:rsidR="00C14056">
        <w:rPr>
          <w:lang w:val="en-US"/>
        </w:rPr>
        <w:t>.</w:t>
      </w:r>
    </w:p>
    <w:p w:rsidR="009375F6" w:rsidRPr="00D05B97" w:rsidRDefault="002A370D" w:rsidP="00501831">
      <w:pPr>
        <w:numPr>
          <w:ilvl w:val="0"/>
          <w:numId w:val="14"/>
        </w:numPr>
        <w:jc w:val="both"/>
        <w:rPr>
          <w:rFonts w:eastAsia="Calibri" w:cs="Times New Roman"/>
          <w:b/>
          <w:sz w:val="28"/>
          <w:szCs w:val="28"/>
          <w:lang w:val="en-US"/>
        </w:rPr>
      </w:pPr>
      <w:r>
        <w:rPr>
          <w:rFonts w:eastAsia="Calibri" w:cs="Times New Roman"/>
          <w:lang w:val="en-US"/>
        </w:rPr>
        <w:t xml:space="preserve">Education Authorities, notably the churches which are registered to manage some </w:t>
      </w:r>
      <w:r>
        <w:rPr>
          <w:lang w:val="en-US"/>
        </w:rPr>
        <w:t xml:space="preserve">Government Assisted </w:t>
      </w:r>
      <w:r>
        <w:rPr>
          <w:rFonts w:eastAsia="Calibri" w:cs="Times New Roman"/>
          <w:lang w:val="en-US"/>
        </w:rPr>
        <w:t>schools.</w:t>
      </w:r>
    </w:p>
    <w:p w:rsidR="00CE1ECF" w:rsidRDefault="002A370D" w:rsidP="00501831">
      <w:pPr>
        <w:numPr>
          <w:ilvl w:val="0"/>
          <w:numId w:val="14"/>
        </w:numPr>
        <w:jc w:val="both"/>
      </w:pPr>
      <w:r>
        <w:rPr>
          <w:rFonts w:eastAsia="Calibri" w:cs="Times New Roman"/>
          <w:lang w:val="en-US"/>
        </w:rPr>
        <w:t>National advisory groups such a</w:t>
      </w:r>
      <w:r w:rsidR="00D05B97">
        <w:rPr>
          <w:rFonts w:eastAsia="Calibri" w:cs="Times New Roman"/>
          <w:lang w:val="en-US"/>
        </w:rPr>
        <w:t>s</w:t>
      </w:r>
      <w:r w:rsidR="00777692" w:rsidRPr="00777692">
        <w:rPr>
          <w:rFonts w:eastAsia="Calibri" w:cs="Times New Roman"/>
          <w:lang w:val="en-US"/>
        </w:rPr>
        <w:t xml:space="preserve"> the National Education Commission</w:t>
      </w:r>
      <w:r w:rsidR="00777692" w:rsidRPr="00777692">
        <w:rPr>
          <w:lang w:val="en-US"/>
        </w:rPr>
        <w:t xml:space="preserve">, </w:t>
      </w:r>
      <w:r w:rsidR="00777692" w:rsidRPr="00777692">
        <w:rPr>
          <w:rFonts w:eastAsia="Calibri" w:cs="Times New Roman"/>
          <w:lang w:val="en-US"/>
        </w:rPr>
        <w:t>the National Education Advisory Council</w:t>
      </w:r>
      <w:r w:rsidR="00777692" w:rsidRPr="00777692">
        <w:rPr>
          <w:lang w:val="en-US"/>
        </w:rPr>
        <w:t xml:space="preserve"> and the Vanuatu National Training Council</w:t>
      </w:r>
      <w:r w:rsidR="00777692" w:rsidRPr="00777692">
        <w:rPr>
          <w:rFonts w:eastAsia="Calibri" w:cs="Times New Roman"/>
          <w:lang w:val="en-US"/>
        </w:rPr>
        <w:t>.</w:t>
      </w:r>
      <w:r w:rsidR="009375F6" w:rsidRPr="00777692">
        <w:rPr>
          <w:rFonts w:eastAsia="Calibri" w:cs="Times New Roman"/>
          <w:lang w:val="en-US"/>
        </w:rPr>
        <w:t xml:space="preserve"> </w:t>
      </w:r>
    </w:p>
    <w:p w:rsidR="00E41AE7" w:rsidRDefault="00E41AE7" w:rsidP="00CE1ECF">
      <w:pPr>
        <w:jc w:val="both"/>
      </w:pPr>
    </w:p>
    <w:tbl>
      <w:tblPr>
        <w:tblStyle w:val="TableGrid"/>
        <w:tblW w:w="8505" w:type="dxa"/>
        <w:jc w:val="center"/>
        <w:tblLook w:val="04A0" w:firstRow="1" w:lastRow="0" w:firstColumn="1" w:lastColumn="0" w:noHBand="0" w:noVBand="1"/>
        <w:tblCaption w:val="Overview of ECE, Primary and Secondary sectors, 2011"/>
        <w:tblDescription w:val="Includes figures for the numbers of schools, enrolments and teachers in ECE, primary and secondary levels."/>
      </w:tblPr>
      <w:tblGrid>
        <w:gridCol w:w="3371"/>
        <w:gridCol w:w="1675"/>
        <w:gridCol w:w="1702"/>
        <w:gridCol w:w="1757"/>
      </w:tblGrid>
      <w:tr w:rsidR="00E41AE7" w:rsidTr="00D339A4">
        <w:trPr>
          <w:tblHeader/>
          <w:jc w:val="center"/>
        </w:trPr>
        <w:tc>
          <w:tcPr>
            <w:tcW w:w="9570" w:type="dxa"/>
            <w:gridSpan w:val="4"/>
            <w:shd w:val="clear" w:color="auto" w:fill="BFBFBF" w:themeFill="background1" w:themeFillShade="BF"/>
          </w:tcPr>
          <w:p w:rsidR="00E41AE7" w:rsidRDefault="00E41AE7" w:rsidP="000F65C3">
            <w:pPr>
              <w:jc w:val="both"/>
            </w:pPr>
            <w:r>
              <w:t xml:space="preserve">Table </w:t>
            </w:r>
            <w:r w:rsidR="000F65C3">
              <w:t>1</w:t>
            </w:r>
            <w:r>
              <w:t>: Overview of ECE, Primary and Secondary sectors, 2011</w:t>
            </w:r>
          </w:p>
        </w:tc>
      </w:tr>
      <w:tr w:rsidR="00E41AE7" w:rsidTr="009B54F6">
        <w:trPr>
          <w:jc w:val="center"/>
        </w:trPr>
        <w:tc>
          <w:tcPr>
            <w:tcW w:w="3828" w:type="dxa"/>
          </w:tcPr>
          <w:p w:rsidR="00E41AE7" w:rsidRDefault="00E41AE7" w:rsidP="00CE1ECF">
            <w:pPr>
              <w:jc w:val="both"/>
            </w:pPr>
          </w:p>
        </w:tc>
        <w:tc>
          <w:tcPr>
            <w:tcW w:w="1914" w:type="dxa"/>
          </w:tcPr>
          <w:p w:rsidR="00E41AE7" w:rsidRDefault="00E41AE7" w:rsidP="00E41AE7">
            <w:pPr>
              <w:jc w:val="center"/>
            </w:pPr>
            <w:r>
              <w:t>ECE</w:t>
            </w:r>
          </w:p>
        </w:tc>
        <w:tc>
          <w:tcPr>
            <w:tcW w:w="1914" w:type="dxa"/>
          </w:tcPr>
          <w:p w:rsidR="00E41AE7" w:rsidRDefault="00E41AE7" w:rsidP="00E41AE7">
            <w:pPr>
              <w:jc w:val="center"/>
            </w:pPr>
            <w:r>
              <w:t>Primary</w:t>
            </w:r>
          </w:p>
        </w:tc>
        <w:tc>
          <w:tcPr>
            <w:tcW w:w="1914" w:type="dxa"/>
          </w:tcPr>
          <w:p w:rsidR="00E41AE7" w:rsidRDefault="00E41AE7" w:rsidP="00E41AE7">
            <w:pPr>
              <w:jc w:val="center"/>
            </w:pPr>
            <w:r>
              <w:t>Secondary</w:t>
            </w:r>
          </w:p>
        </w:tc>
      </w:tr>
      <w:tr w:rsidR="00E41AE7" w:rsidTr="009B54F6">
        <w:trPr>
          <w:jc w:val="center"/>
        </w:trPr>
        <w:tc>
          <w:tcPr>
            <w:tcW w:w="3828" w:type="dxa"/>
          </w:tcPr>
          <w:p w:rsidR="00E41AE7" w:rsidRDefault="00E41AE7" w:rsidP="00CE1ECF">
            <w:pPr>
              <w:jc w:val="both"/>
            </w:pPr>
            <w:r>
              <w:t>Number of schools:</w:t>
            </w:r>
          </w:p>
          <w:p w:rsidR="00E41AE7" w:rsidRDefault="00E41AE7" w:rsidP="00501831">
            <w:pPr>
              <w:pStyle w:val="ListParagraph"/>
              <w:numPr>
                <w:ilvl w:val="0"/>
                <w:numId w:val="11"/>
              </w:numPr>
              <w:jc w:val="both"/>
            </w:pPr>
            <w:proofErr w:type="spellStart"/>
            <w:r>
              <w:t>GoV</w:t>
            </w:r>
            <w:proofErr w:type="spellEnd"/>
          </w:p>
          <w:p w:rsidR="00E41AE7" w:rsidRDefault="00E41AE7" w:rsidP="00501831">
            <w:pPr>
              <w:pStyle w:val="ListParagraph"/>
              <w:numPr>
                <w:ilvl w:val="0"/>
                <w:numId w:val="11"/>
              </w:numPr>
              <w:jc w:val="both"/>
            </w:pPr>
            <w:proofErr w:type="spellStart"/>
            <w:r>
              <w:t>GoV</w:t>
            </w:r>
            <w:proofErr w:type="spellEnd"/>
            <w:r>
              <w:t xml:space="preserve"> Assisted</w:t>
            </w:r>
          </w:p>
          <w:p w:rsidR="00E41AE7" w:rsidRDefault="00E41AE7" w:rsidP="00501831">
            <w:pPr>
              <w:pStyle w:val="ListParagraph"/>
              <w:numPr>
                <w:ilvl w:val="0"/>
                <w:numId w:val="11"/>
              </w:numPr>
              <w:jc w:val="both"/>
            </w:pPr>
            <w:r>
              <w:t>Other</w:t>
            </w:r>
          </w:p>
        </w:tc>
        <w:tc>
          <w:tcPr>
            <w:tcW w:w="1914" w:type="dxa"/>
          </w:tcPr>
          <w:p w:rsidR="00E41AE7" w:rsidRDefault="00E41AE7" w:rsidP="00B97352">
            <w:pPr>
              <w:jc w:val="right"/>
            </w:pPr>
          </w:p>
          <w:p w:rsidR="00B97352" w:rsidRDefault="00B97352" w:rsidP="00B97352">
            <w:pPr>
              <w:jc w:val="right"/>
            </w:pPr>
            <w:r>
              <w:t>0</w:t>
            </w:r>
          </w:p>
          <w:p w:rsidR="00B97352" w:rsidRDefault="00B97352" w:rsidP="00B97352">
            <w:pPr>
              <w:jc w:val="right"/>
            </w:pPr>
            <w:r>
              <w:t>21</w:t>
            </w:r>
          </w:p>
          <w:p w:rsidR="00B97352" w:rsidRDefault="00B97352" w:rsidP="00B97352">
            <w:pPr>
              <w:jc w:val="right"/>
            </w:pPr>
            <w:r>
              <w:t>522</w:t>
            </w:r>
          </w:p>
        </w:tc>
        <w:tc>
          <w:tcPr>
            <w:tcW w:w="1914" w:type="dxa"/>
          </w:tcPr>
          <w:p w:rsidR="00E41AE7" w:rsidRDefault="00E41AE7" w:rsidP="00B97352">
            <w:pPr>
              <w:jc w:val="right"/>
            </w:pPr>
          </w:p>
          <w:p w:rsidR="00B97352" w:rsidRDefault="00B97352" w:rsidP="00B97352">
            <w:pPr>
              <w:jc w:val="right"/>
            </w:pPr>
            <w:r>
              <w:t>294</w:t>
            </w:r>
          </w:p>
          <w:p w:rsidR="00B97352" w:rsidRDefault="00B97352" w:rsidP="00B97352">
            <w:pPr>
              <w:jc w:val="right"/>
            </w:pPr>
            <w:r>
              <w:t>117</w:t>
            </w:r>
          </w:p>
          <w:p w:rsidR="00B97352" w:rsidRDefault="00B97352" w:rsidP="00B97352">
            <w:pPr>
              <w:jc w:val="right"/>
            </w:pPr>
            <w:r>
              <w:t>21</w:t>
            </w:r>
          </w:p>
        </w:tc>
        <w:tc>
          <w:tcPr>
            <w:tcW w:w="1914" w:type="dxa"/>
          </w:tcPr>
          <w:p w:rsidR="00E41AE7" w:rsidRDefault="00E41AE7" w:rsidP="00B97352">
            <w:pPr>
              <w:jc w:val="right"/>
            </w:pPr>
          </w:p>
          <w:p w:rsidR="00B97352" w:rsidRDefault="00B97352" w:rsidP="00B97352">
            <w:pPr>
              <w:jc w:val="right"/>
            </w:pPr>
            <w:r>
              <w:t>45</w:t>
            </w:r>
          </w:p>
          <w:p w:rsidR="00B97352" w:rsidRDefault="00B97352" w:rsidP="00B97352">
            <w:pPr>
              <w:jc w:val="right"/>
            </w:pPr>
            <w:r>
              <w:t>29</w:t>
            </w:r>
          </w:p>
          <w:p w:rsidR="00B97352" w:rsidRDefault="00B97352" w:rsidP="00B97352">
            <w:pPr>
              <w:jc w:val="right"/>
            </w:pPr>
            <w:r>
              <w:t>8</w:t>
            </w:r>
          </w:p>
        </w:tc>
      </w:tr>
      <w:tr w:rsidR="00E41AE7" w:rsidTr="009B54F6">
        <w:trPr>
          <w:jc w:val="center"/>
        </w:trPr>
        <w:tc>
          <w:tcPr>
            <w:tcW w:w="3828" w:type="dxa"/>
          </w:tcPr>
          <w:p w:rsidR="00E41AE7" w:rsidRDefault="00E41AE7" w:rsidP="00CE1ECF">
            <w:pPr>
              <w:jc w:val="both"/>
            </w:pPr>
            <w:r>
              <w:t>Number of enrolments:</w:t>
            </w:r>
          </w:p>
          <w:p w:rsidR="00E41AE7" w:rsidRDefault="00E41AE7" w:rsidP="00501831">
            <w:pPr>
              <w:pStyle w:val="ListParagraph"/>
              <w:numPr>
                <w:ilvl w:val="0"/>
                <w:numId w:val="12"/>
              </w:numPr>
              <w:jc w:val="both"/>
            </w:pPr>
            <w:proofErr w:type="spellStart"/>
            <w:r>
              <w:t>GoV</w:t>
            </w:r>
            <w:proofErr w:type="spellEnd"/>
          </w:p>
          <w:p w:rsidR="00E41AE7" w:rsidRDefault="00E41AE7" w:rsidP="00501831">
            <w:pPr>
              <w:pStyle w:val="ListParagraph"/>
              <w:numPr>
                <w:ilvl w:val="0"/>
                <w:numId w:val="12"/>
              </w:numPr>
              <w:jc w:val="both"/>
            </w:pPr>
            <w:proofErr w:type="spellStart"/>
            <w:r>
              <w:t>GoV</w:t>
            </w:r>
            <w:proofErr w:type="spellEnd"/>
            <w:r>
              <w:t xml:space="preserve"> Assisted</w:t>
            </w:r>
          </w:p>
          <w:p w:rsidR="00E41AE7" w:rsidRDefault="00E41AE7" w:rsidP="00501831">
            <w:pPr>
              <w:pStyle w:val="ListParagraph"/>
              <w:numPr>
                <w:ilvl w:val="0"/>
                <w:numId w:val="12"/>
              </w:numPr>
              <w:jc w:val="both"/>
            </w:pPr>
            <w:r>
              <w:t>Other</w:t>
            </w:r>
          </w:p>
        </w:tc>
        <w:tc>
          <w:tcPr>
            <w:tcW w:w="1914" w:type="dxa"/>
          </w:tcPr>
          <w:p w:rsidR="00E41AE7" w:rsidRDefault="00E41AE7" w:rsidP="00B97352">
            <w:pPr>
              <w:jc w:val="right"/>
            </w:pPr>
          </w:p>
          <w:p w:rsidR="00B97352" w:rsidRDefault="00B97352" w:rsidP="00B97352">
            <w:pPr>
              <w:jc w:val="right"/>
            </w:pPr>
            <w:r>
              <w:t>0</w:t>
            </w:r>
          </w:p>
          <w:p w:rsidR="00B97352" w:rsidRDefault="00B97352" w:rsidP="00B97352">
            <w:pPr>
              <w:jc w:val="right"/>
            </w:pPr>
            <w:r>
              <w:t>548</w:t>
            </w:r>
          </w:p>
          <w:p w:rsidR="00B97352" w:rsidRDefault="00B97352" w:rsidP="00B97352">
            <w:pPr>
              <w:jc w:val="right"/>
            </w:pPr>
            <w:r>
              <w:t>11,053</w:t>
            </w:r>
          </w:p>
        </w:tc>
        <w:tc>
          <w:tcPr>
            <w:tcW w:w="1914" w:type="dxa"/>
          </w:tcPr>
          <w:p w:rsidR="00E41AE7" w:rsidRDefault="00E41AE7" w:rsidP="00B97352">
            <w:pPr>
              <w:jc w:val="right"/>
            </w:pPr>
          </w:p>
          <w:p w:rsidR="00B97352" w:rsidRDefault="00B97352" w:rsidP="00B97352">
            <w:pPr>
              <w:jc w:val="right"/>
            </w:pPr>
            <w:r>
              <w:t>30,062</w:t>
            </w:r>
          </w:p>
          <w:p w:rsidR="00B97352" w:rsidRDefault="00B97352" w:rsidP="00B97352">
            <w:pPr>
              <w:jc w:val="right"/>
            </w:pPr>
            <w:r>
              <w:t>10,266</w:t>
            </w:r>
          </w:p>
          <w:p w:rsidR="00B97352" w:rsidRDefault="00B97352" w:rsidP="00B97352">
            <w:pPr>
              <w:jc w:val="right"/>
            </w:pPr>
            <w:r>
              <w:t>2,024</w:t>
            </w:r>
          </w:p>
        </w:tc>
        <w:tc>
          <w:tcPr>
            <w:tcW w:w="1914" w:type="dxa"/>
          </w:tcPr>
          <w:p w:rsidR="00E41AE7" w:rsidRDefault="00E41AE7" w:rsidP="00B97352">
            <w:pPr>
              <w:jc w:val="right"/>
            </w:pPr>
          </w:p>
          <w:p w:rsidR="00B97352" w:rsidRDefault="00B97352" w:rsidP="00B97352">
            <w:pPr>
              <w:jc w:val="right"/>
            </w:pPr>
            <w:r>
              <w:t>12,256</w:t>
            </w:r>
          </w:p>
          <w:p w:rsidR="00B97352" w:rsidRDefault="00B97352" w:rsidP="00B97352">
            <w:pPr>
              <w:jc w:val="right"/>
            </w:pPr>
            <w:r>
              <w:t>4,763</w:t>
            </w:r>
          </w:p>
          <w:p w:rsidR="00B97352" w:rsidRDefault="00B97352" w:rsidP="00B97352">
            <w:pPr>
              <w:jc w:val="right"/>
            </w:pPr>
            <w:r>
              <w:t>1,045</w:t>
            </w:r>
          </w:p>
        </w:tc>
      </w:tr>
      <w:tr w:rsidR="00E41AE7" w:rsidTr="009B54F6">
        <w:trPr>
          <w:jc w:val="center"/>
        </w:trPr>
        <w:tc>
          <w:tcPr>
            <w:tcW w:w="3828" w:type="dxa"/>
          </w:tcPr>
          <w:p w:rsidR="00E41AE7" w:rsidRDefault="00E41AE7" w:rsidP="00CE1ECF">
            <w:pPr>
              <w:jc w:val="both"/>
            </w:pPr>
            <w:r>
              <w:t>Number of teachers:</w:t>
            </w:r>
          </w:p>
          <w:p w:rsidR="00E41AE7" w:rsidRDefault="00E41AE7" w:rsidP="00501831">
            <w:pPr>
              <w:pStyle w:val="ListParagraph"/>
              <w:numPr>
                <w:ilvl w:val="0"/>
                <w:numId w:val="13"/>
              </w:numPr>
              <w:jc w:val="both"/>
            </w:pPr>
            <w:proofErr w:type="spellStart"/>
            <w:r>
              <w:t>GoV</w:t>
            </w:r>
            <w:proofErr w:type="spellEnd"/>
          </w:p>
          <w:p w:rsidR="00E41AE7" w:rsidRDefault="00E41AE7" w:rsidP="00501831">
            <w:pPr>
              <w:pStyle w:val="ListParagraph"/>
              <w:numPr>
                <w:ilvl w:val="0"/>
                <w:numId w:val="13"/>
              </w:numPr>
              <w:jc w:val="both"/>
            </w:pPr>
            <w:proofErr w:type="spellStart"/>
            <w:r>
              <w:t>GoV</w:t>
            </w:r>
            <w:proofErr w:type="spellEnd"/>
            <w:r>
              <w:t xml:space="preserve"> Assisted</w:t>
            </w:r>
          </w:p>
          <w:p w:rsidR="00E41AE7" w:rsidRDefault="00E41AE7" w:rsidP="00501831">
            <w:pPr>
              <w:pStyle w:val="ListParagraph"/>
              <w:numPr>
                <w:ilvl w:val="0"/>
                <w:numId w:val="13"/>
              </w:numPr>
              <w:jc w:val="both"/>
            </w:pPr>
            <w:r>
              <w:t>Other</w:t>
            </w:r>
          </w:p>
        </w:tc>
        <w:tc>
          <w:tcPr>
            <w:tcW w:w="1914" w:type="dxa"/>
          </w:tcPr>
          <w:p w:rsidR="00E41AE7" w:rsidRDefault="00E41AE7" w:rsidP="00B97352">
            <w:pPr>
              <w:jc w:val="right"/>
            </w:pPr>
          </w:p>
          <w:p w:rsidR="00F53E7B" w:rsidRDefault="00F53E7B" w:rsidP="00B97352">
            <w:pPr>
              <w:jc w:val="right"/>
            </w:pPr>
            <w:r>
              <w:t>0</w:t>
            </w:r>
          </w:p>
          <w:p w:rsidR="00F53E7B" w:rsidRDefault="00F53E7B" w:rsidP="00B97352">
            <w:pPr>
              <w:jc w:val="right"/>
            </w:pPr>
            <w:r>
              <w:t>28</w:t>
            </w:r>
          </w:p>
          <w:p w:rsidR="00F53E7B" w:rsidRDefault="00F53E7B" w:rsidP="00B97352">
            <w:pPr>
              <w:jc w:val="right"/>
            </w:pPr>
            <w:r>
              <w:t>784</w:t>
            </w:r>
          </w:p>
        </w:tc>
        <w:tc>
          <w:tcPr>
            <w:tcW w:w="1914" w:type="dxa"/>
          </w:tcPr>
          <w:p w:rsidR="00E41AE7" w:rsidRDefault="00E41AE7" w:rsidP="00B97352">
            <w:pPr>
              <w:jc w:val="right"/>
            </w:pPr>
          </w:p>
          <w:p w:rsidR="00F53E7B" w:rsidRDefault="00F53E7B" w:rsidP="00B97352">
            <w:pPr>
              <w:jc w:val="right"/>
            </w:pPr>
            <w:r>
              <w:t>1,173</w:t>
            </w:r>
          </w:p>
          <w:p w:rsidR="00F53E7B" w:rsidRDefault="00F53E7B" w:rsidP="00B97352">
            <w:pPr>
              <w:jc w:val="right"/>
            </w:pPr>
            <w:r>
              <w:t>428</w:t>
            </w:r>
          </w:p>
          <w:p w:rsidR="00F53E7B" w:rsidRDefault="00F53E7B" w:rsidP="00B97352">
            <w:pPr>
              <w:jc w:val="right"/>
            </w:pPr>
            <w:r>
              <w:t>85</w:t>
            </w:r>
          </w:p>
        </w:tc>
        <w:tc>
          <w:tcPr>
            <w:tcW w:w="1914" w:type="dxa"/>
          </w:tcPr>
          <w:p w:rsidR="00E41AE7" w:rsidRDefault="00E41AE7" w:rsidP="00B97352">
            <w:pPr>
              <w:jc w:val="right"/>
            </w:pPr>
          </w:p>
          <w:p w:rsidR="00F53E7B" w:rsidRDefault="00F53E7B" w:rsidP="00B97352">
            <w:pPr>
              <w:jc w:val="right"/>
            </w:pPr>
            <w:r>
              <w:t>727</w:t>
            </w:r>
          </w:p>
          <w:p w:rsidR="00F53E7B" w:rsidRDefault="00F53E7B" w:rsidP="00B97352">
            <w:pPr>
              <w:jc w:val="right"/>
            </w:pPr>
            <w:r>
              <w:t>341</w:t>
            </w:r>
          </w:p>
          <w:p w:rsidR="00F53E7B" w:rsidRDefault="00F53E7B" w:rsidP="00B97352">
            <w:pPr>
              <w:jc w:val="right"/>
            </w:pPr>
            <w:r>
              <w:t>84</w:t>
            </w:r>
          </w:p>
        </w:tc>
      </w:tr>
      <w:tr w:rsidR="00E41AE7" w:rsidTr="009B54F6">
        <w:trPr>
          <w:jc w:val="center"/>
        </w:trPr>
        <w:tc>
          <w:tcPr>
            <w:tcW w:w="9570" w:type="dxa"/>
            <w:gridSpan w:val="4"/>
          </w:tcPr>
          <w:p w:rsidR="00E41AE7" w:rsidRDefault="00F53E7B" w:rsidP="00CE1ECF">
            <w:pPr>
              <w:jc w:val="both"/>
            </w:pPr>
            <w:r>
              <w:t>Notes:</w:t>
            </w:r>
          </w:p>
          <w:p w:rsidR="00F53E7B" w:rsidRDefault="00F53E7B" w:rsidP="00CE1ECF">
            <w:pPr>
              <w:jc w:val="both"/>
            </w:pPr>
            <w:r>
              <w:t>Early Childhood Education (ECE) is defined as education programs for children before they enter Year 1 at age 6 years.</w:t>
            </w:r>
          </w:p>
          <w:p w:rsidR="00F53E7B" w:rsidRDefault="00F53E7B" w:rsidP="00CE1ECF">
            <w:pPr>
              <w:jc w:val="both"/>
            </w:pPr>
            <w:r>
              <w:t>Primary Education is defined as consisting of Years 1-6, the official enrolment age for Year 1 being age 6 years.</w:t>
            </w:r>
          </w:p>
          <w:p w:rsidR="00F53E7B" w:rsidRDefault="00F53E7B" w:rsidP="00F53E7B">
            <w:pPr>
              <w:jc w:val="both"/>
            </w:pPr>
            <w:r>
              <w:t>Secondary Education is defined for this Table as consisting of Years 7 to 13 (Anglophone) and 14 (Francophone), covering official enrolment ages of 12 to 18/19.</w:t>
            </w:r>
            <w:r w:rsidR="00EA40EB">
              <w:t xml:space="preserve">  The Secondary sub-sector is further divided into Junior Secondary (Years 7 to 10) and Senior Secondary (Years 11 to 13/14).</w:t>
            </w:r>
          </w:p>
          <w:p w:rsidR="00EA40EB" w:rsidRDefault="00EA40EB" w:rsidP="00EA40EB">
            <w:pPr>
              <w:jc w:val="both"/>
            </w:pPr>
            <w:r>
              <w:t>In this Table Primary schools include some schools which offer Year 7 and 8 but are classified as Primary schools.  Secondary schools include some technical training centres which offer courses from Year 11 level.</w:t>
            </w:r>
          </w:p>
          <w:p w:rsidR="00F53E7B" w:rsidRDefault="00EA40EB" w:rsidP="00EA40EB">
            <w:pPr>
              <w:jc w:val="both"/>
            </w:pPr>
            <w:r>
              <w:t xml:space="preserve">Source:  Annual Statistical Report 2010-2011, Ministry of Education (June 2012) </w:t>
            </w:r>
            <w:r w:rsidR="00F53E7B">
              <w:t xml:space="preserve"> </w:t>
            </w:r>
          </w:p>
        </w:tc>
      </w:tr>
    </w:tbl>
    <w:p w:rsidR="00447E83" w:rsidRDefault="00447E83" w:rsidP="00CE1ECF">
      <w:pPr>
        <w:jc w:val="both"/>
      </w:pPr>
    </w:p>
    <w:p w:rsidR="00F9123E" w:rsidRDefault="00EA40EB" w:rsidP="00CE1ECF">
      <w:pPr>
        <w:jc w:val="both"/>
      </w:pPr>
      <w:r>
        <w:t xml:space="preserve">Total numbers for </w:t>
      </w:r>
      <w:r w:rsidR="00414866">
        <w:t>p</w:t>
      </w:r>
      <w:r>
        <w:t xml:space="preserve">ost-secondary education and training are not known with any precision (but see Table </w:t>
      </w:r>
      <w:r w:rsidR="000F65C3">
        <w:t>2</w:t>
      </w:r>
      <w:r>
        <w:t>).</w:t>
      </w:r>
    </w:p>
    <w:p w:rsidR="00D05B97" w:rsidRDefault="00D05B97" w:rsidP="00CE1ECF">
      <w:pPr>
        <w:jc w:val="both"/>
      </w:pPr>
    </w:p>
    <w:p w:rsidR="00084C94" w:rsidRDefault="00084C94" w:rsidP="00CE1ECF">
      <w:pPr>
        <w:jc w:val="both"/>
      </w:pPr>
    </w:p>
    <w:tbl>
      <w:tblPr>
        <w:tblStyle w:val="TableGrid"/>
        <w:tblW w:w="8505" w:type="dxa"/>
        <w:jc w:val="center"/>
        <w:tblLook w:val="04A0" w:firstRow="1" w:lastRow="0" w:firstColumn="1" w:lastColumn="0" w:noHBand="0" w:noVBand="1"/>
        <w:tblCaption w:val="Number of students enrolled in selected post-secondary institutions, 2011"/>
        <w:tblDescription w:val="Includes figures for the numbers of students enrolled in selected post secondary institutions (broken down into female and males). Institutions are Vanuatu Maritime College, Vanuatu Institute of Teacher Education, Vanuatu Institute of Technology, Vanuatu Nursing college, Vanuatu police training centre, Australia Pacific Training College Vanuatu, TVET centres."/>
      </w:tblPr>
      <w:tblGrid>
        <w:gridCol w:w="4711"/>
        <w:gridCol w:w="1254"/>
        <w:gridCol w:w="1285"/>
        <w:gridCol w:w="1255"/>
      </w:tblGrid>
      <w:tr w:rsidR="00F9123E" w:rsidTr="00D339A4">
        <w:trPr>
          <w:tblHeader/>
          <w:jc w:val="center"/>
        </w:trPr>
        <w:tc>
          <w:tcPr>
            <w:tcW w:w="9570" w:type="dxa"/>
            <w:gridSpan w:val="4"/>
            <w:shd w:val="clear" w:color="auto" w:fill="BFBFBF" w:themeFill="background1" w:themeFillShade="BF"/>
          </w:tcPr>
          <w:p w:rsidR="00F9123E" w:rsidRDefault="00F9123E" w:rsidP="000F65C3">
            <w:pPr>
              <w:jc w:val="both"/>
            </w:pPr>
            <w:r>
              <w:t xml:space="preserve">Table </w:t>
            </w:r>
            <w:r w:rsidR="000F65C3">
              <w:t>2</w:t>
            </w:r>
            <w:r>
              <w:t>: Number of students enrolled in selected post-secondary institutions, 2011</w:t>
            </w:r>
          </w:p>
        </w:tc>
      </w:tr>
      <w:tr w:rsidR="00F9123E" w:rsidTr="009B54F6">
        <w:trPr>
          <w:jc w:val="center"/>
        </w:trPr>
        <w:tc>
          <w:tcPr>
            <w:tcW w:w="5468" w:type="dxa"/>
          </w:tcPr>
          <w:p w:rsidR="00F9123E" w:rsidRDefault="00F9123E" w:rsidP="00CE1ECF">
            <w:pPr>
              <w:jc w:val="both"/>
            </w:pPr>
          </w:p>
        </w:tc>
        <w:tc>
          <w:tcPr>
            <w:tcW w:w="4102" w:type="dxa"/>
            <w:gridSpan w:val="3"/>
          </w:tcPr>
          <w:p w:rsidR="00F9123E" w:rsidRDefault="00F9123E" w:rsidP="00F9123E">
            <w:pPr>
              <w:jc w:val="center"/>
            </w:pPr>
            <w:r>
              <w:t>Enrolment</w:t>
            </w:r>
          </w:p>
        </w:tc>
      </w:tr>
      <w:tr w:rsidR="00F9123E" w:rsidTr="009B54F6">
        <w:trPr>
          <w:jc w:val="center"/>
        </w:trPr>
        <w:tc>
          <w:tcPr>
            <w:tcW w:w="5468" w:type="dxa"/>
          </w:tcPr>
          <w:p w:rsidR="00F9123E" w:rsidRDefault="00F9123E" w:rsidP="00CE1ECF">
            <w:pPr>
              <w:jc w:val="both"/>
            </w:pPr>
          </w:p>
        </w:tc>
        <w:tc>
          <w:tcPr>
            <w:tcW w:w="1367" w:type="dxa"/>
          </w:tcPr>
          <w:p w:rsidR="00F9123E" w:rsidRDefault="00F9123E" w:rsidP="00F9123E">
            <w:pPr>
              <w:jc w:val="center"/>
            </w:pPr>
            <w:r>
              <w:t>Male</w:t>
            </w:r>
          </w:p>
        </w:tc>
        <w:tc>
          <w:tcPr>
            <w:tcW w:w="1367" w:type="dxa"/>
          </w:tcPr>
          <w:p w:rsidR="00F9123E" w:rsidRDefault="00F9123E" w:rsidP="00F9123E">
            <w:pPr>
              <w:jc w:val="center"/>
            </w:pPr>
            <w:r>
              <w:t>Female</w:t>
            </w:r>
          </w:p>
        </w:tc>
        <w:tc>
          <w:tcPr>
            <w:tcW w:w="1368" w:type="dxa"/>
          </w:tcPr>
          <w:p w:rsidR="00F9123E" w:rsidRDefault="00F9123E" w:rsidP="00F9123E">
            <w:pPr>
              <w:jc w:val="center"/>
            </w:pPr>
            <w:r>
              <w:t>Total</w:t>
            </w:r>
          </w:p>
        </w:tc>
      </w:tr>
      <w:tr w:rsidR="00F9123E" w:rsidTr="009B54F6">
        <w:trPr>
          <w:jc w:val="center"/>
        </w:trPr>
        <w:tc>
          <w:tcPr>
            <w:tcW w:w="5468" w:type="dxa"/>
          </w:tcPr>
          <w:p w:rsidR="00F9123E" w:rsidRDefault="00F9123E" w:rsidP="00CE1ECF">
            <w:pPr>
              <w:jc w:val="both"/>
            </w:pPr>
            <w:r>
              <w:t>Vanuatu Maritime College</w:t>
            </w:r>
          </w:p>
        </w:tc>
        <w:tc>
          <w:tcPr>
            <w:tcW w:w="1367" w:type="dxa"/>
          </w:tcPr>
          <w:p w:rsidR="00F9123E" w:rsidRDefault="00F9123E" w:rsidP="00F9123E">
            <w:pPr>
              <w:jc w:val="center"/>
            </w:pPr>
            <w:r>
              <w:t>694</w:t>
            </w:r>
          </w:p>
        </w:tc>
        <w:tc>
          <w:tcPr>
            <w:tcW w:w="1367" w:type="dxa"/>
          </w:tcPr>
          <w:p w:rsidR="00F9123E" w:rsidRDefault="00F9123E" w:rsidP="00F9123E">
            <w:pPr>
              <w:jc w:val="center"/>
            </w:pPr>
            <w:r>
              <w:t>177</w:t>
            </w:r>
          </w:p>
        </w:tc>
        <w:tc>
          <w:tcPr>
            <w:tcW w:w="1368" w:type="dxa"/>
          </w:tcPr>
          <w:p w:rsidR="00F9123E" w:rsidRDefault="00F9123E" w:rsidP="00F9123E">
            <w:pPr>
              <w:jc w:val="center"/>
            </w:pPr>
            <w:r>
              <w:t>871</w:t>
            </w:r>
          </w:p>
        </w:tc>
      </w:tr>
      <w:tr w:rsidR="00F9123E" w:rsidTr="009B54F6">
        <w:trPr>
          <w:jc w:val="center"/>
        </w:trPr>
        <w:tc>
          <w:tcPr>
            <w:tcW w:w="5468" w:type="dxa"/>
          </w:tcPr>
          <w:p w:rsidR="00F9123E" w:rsidRDefault="00F9123E" w:rsidP="00CE1ECF">
            <w:pPr>
              <w:jc w:val="both"/>
            </w:pPr>
            <w:r>
              <w:t>Vanuatu Institute of Teacher Education</w:t>
            </w:r>
          </w:p>
        </w:tc>
        <w:tc>
          <w:tcPr>
            <w:tcW w:w="1367" w:type="dxa"/>
          </w:tcPr>
          <w:p w:rsidR="00F9123E" w:rsidRDefault="00F9123E" w:rsidP="00F9123E">
            <w:pPr>
              <w:jc w:val="center"/>
            </w:pPr>
            <w:r>
              <w:t>89</w:t>
            </w:r>
          </w:p>
        </w:tc>
        <w:tc>
          <w:tcPr>
            <w:tcW w:w="1367" w:type="dxa"/>
          </w:tcPr>
          <w:p w:rsidR="00F9123E" w:rsidRDefault="00F9123E" w:rsidP="00F9123E">
            <w:pPr>
              <w:jc w:val="center"/>
            </w:pPr>
            <w:r>
              <w:t>106</w:t>
            </w:r>
          </w:p>
        </w:tc>
        <w:tc>
          <w:tcPr>
            <w:tcW w:w="1368" w:type="dxa"/>
          </w:tcPr>
          <w:p w:rsidR="00F9123E" w:rsidRDefault="00F9123E" w:rsidP="00F9123E">
            <w:pPr>
              <w:jc w:val="center"/>
            </w:pPr>
            <w:r>
              <w:t>195</w:t>
            </w:r>
          </w:p>
        </w:tc>
      </w:tr>
      <w:tr w:rsidR="00F9123E" w:rsidTr="009B54F6">
        <w:trPr>
          <w:jc w:val="center"/>
        </w:trPr>
        <w:tc>
          <w:tcPr>
            <w:tcW w:w="5468" w:type="dxa"/>
          </w:tcPr>
          <w:p w:rsidR="00F9123E" w:rsidRDefault="00F9123E" w:rsidP="00CE1ECF">
            <w:pPr>
              <w:jc w:val="both"/>
            </w:pPr>
            <w:r>
              <w:t>Vanuatu Institute of Technology</w:t>
            </w:r>
          </w:p>
        </w:tc>
        <w:tc>
          <w:tcPr>
            <w:tcW w:w="1367" w:type="dxa"/>
          </w:tcPr>
          <w:p w:rsidR="00F9123E" w:rsidRDefault="00F9123E" w:rsidP="00F9123E">
            <w:pPr>
              <w:jc w:val="center"/>
            </w:pPr>
            <w:r>
              <w:t>479</w:t>
            </w:r>
          </w:p>
        </w:tc>
        <w:tc>
          <w:tcPr>
            <w:tcW w:w="1367" w:type="dxa"/>
          </w:tcPr>
          <w:p w:rsidR="00F9123E" w:rsidRDefault="00F9123E" w:rsidP="00F9123E">
            <w:pPr>
              <w:jc w:val="center"/>
            </w:pPr>
            <w:r>
              <w:t>335</w:t>
            </w:r>
          </w:p>
        </w:tc>
        <w:tc>
          <w:tcPr>
            <w:tcW w:w="1368" w:type="dxa"/>
          </w:tcPr>
          <w:p w:rsidR="00F9123E" w:rsidRDefault="00F9123E" w:rsidP="00F9123E">
            <w:pPr>
              <w:jc w:val="center"/>
            </w:pPr>
            <w:r>
              <w:t>814</w:t>
            </w:r>
          </w:p>
        </w:tc>
      </w:tr>
      <w:tr w:rsidR="00F9123E" w:rsidTr="009B54F6">
        <w:trPr>
          <w:jc w:val="center"/>
        </w:trPr>
        <w:tc>
          <w:tcPr>
            <w:tcW w:w="5468" w:type="dxa"/>
          </w:tcPr>
          <w:p w:rsidR="00F9123E" w:rsidRDefault="00F9123E" w:rsidP="00CE1ECF">
            <w:pPr>
              <w:jc w:val="both"/>
            </w:pPr>
            <w:r>
              <w:t>Vanuatu Nursing College</w:t>
            </w:r>
          </w:p>
        </w:tc>
        <w:tc>
          <w:tcPr>
            <w:tcW w:w="1367" w:type="dxa"/>
          </w:tcPr>
          <w:p w:rsidR="00F9123E" w:rsidRDefault="00F9123E" w:rsidP="00F9123E">
            <w:pPr>
              <w:jc w:val="center"/>
            </w:pPr>
            <w:r>
              <w:t>40</w:t>
            </w:r>
          </w:p>
        </w:tc>
        <w:tc>
          <w:tcPr>
            <w:tcW w:w="1367" w:type="dxa"/>
          </w:tcPr>
          <w:p w:rsidR="00F9123E" w:rsidRDefault="00F9123E" w:rsidP="00F9123E">
            <w:pPr>
              <w:jc w:val="center"/>
            </w:pPr>
            <w:r>
              <w:t>42</w:t>
            </w:r>
          </w:p>
        </w:tc>
        <w:tc>
          <w:tcPr>
            <w:tcW w:w="1368" w:type="dxa"/>
          </w:tcPr>
          <w:p w:rsidR="00F9123E" w:rsidRDefault="00F9123E" w:rsidP="00F9123E">
            <w:pPr>
              <w:jc w:val="center"/>
            </w:pPr>
            <w:r>
              <w:t>82</w:t>
            </w:r>
          </w:p>
        </w:tc>
      </w:tr>
      <w:tr w:rsidR="00F9123E" w:rsidTr="009B54F6">
        <w:trPr>
          <w:jc w:val="center"/>
        </w:trPr>
        <w:tc>
          <w:tcPr>
            <w:tcW w:w="5468" w:type="dxa"/>
          </w:tcPr>
          <w:p w:rsidR="00F9123E" w:rsidRDefault="00F9123E" w:rsidP="00CE1ECF">
            <w:pPr>
              <w:jc w:val="both"/>
            </w:pPr>
            <w:r>
              <w:t>Vanuatu Police Training College</w:t>
            </w:r>
          </w:p>
        </w:tc>
        <w:tc>
          <w:tcPr>
            <w:tcW w:w="1367" w:type="dxa"/>
          </w:tcPr>
          <w:p w:rsidR="00F9123E" w:rsidRDefault="00F9123E" w:rsidP="00F9123E">
            <w:pPr>
              <w:jc w:val="center"/>
            </w:pPr>
            <w:r>
              <w:t>43</w:t>
            </w:r>
          </w:p>
        </w:tc>
        <w:tc>
          <w:tcPr>
            <w:tcW w:w="1367" w:type="dxa"/>
          </w:tcPr>
          <w:p w:rsidR="00F9123E" w:rsidRDefault="00F9123E" w:rsidP="00F9123E">
            <w:pPr>
              <w:jc w:val="center"/>
            </w:pPr>
            <w:r>
              <w:t>16</w:t>
            </w:r>
          </w:p>
        </w:tc>
        <w:tc>
          <w:tcPr>
            <w:tcW w:w="1368" w:type="dxa"/>
          </w:tcPr>
          <w:p w:rsidR="00F9123E" w:rsidRDefault="00F9123E" w:rsidP="00F9123E">
            <w:pPr>
              <w:jc w:val="center"/>
            </w:pPr>
            <w:r>
              <w:t>59</w:t>
            </w:r>
          </w:p>
        </w:tc>
      </w:tr>
      <w:tr w:rsidR="00F9123E" w:rsidTr="009B54F6">
        <w:trPr>
          <w:jc w:val="center"/>
        </w:trPr>
        <w:tc>
          <w:tcPr>
            <w:tcW w:w="5468" w:type="dxa"/>
          </w:tcPr>
          <w:p w:rsidR="00F9123E" w:rsidRDefault="00F9123E" w:rsidP="00CE1ECF">
            <w:pPr>
              <w:jc w:val="both"/>
            </w:pPr>
            <w:r>
              <w:t>Australia Pacific Training College (Vanuatu)</w:t>
            </w:r>
          </w:p>
        </w:tc>
        <w:tc>
          <w:tcPr>
            <w:tcW w:w="1367" w:type="dxa"/>
          </w:tcPr>
          <w:p w:rsidR="00F9123E" w:rsidRDefault="00F9123E" w:rsidP="00F9123E">
            <w:pPr>
              <w:jc w:val="center"/>
            </w:pPr>
            <w:r>
              <w:t>205</w:t>
            </w:r>
          </w:p>
        </w:tc>
        <w:tc>
          <w:tcPr>
            <w:tcW w:w="1367" w:type="dxa"/>
          </w:tcPr>
          <w:p w:rsidR="00F9123E" w:rsidRDefault="00F9123E" w:rsidP="00F9123E">
            <w:pPr>
              <w:jc w:val="center"/>
            </w:pPr>
            <w:r>
              <w:t>110</w:t>
            </w:r>
          </w:p>
        </w:tc>
        <w:tc>
          <w:tcPr>
            <w:tcW w:w="1368" w:type="dxa"/>
          </w:tcPr>
          <w:p w:rsidR="00F9123E" w:rsidRDefault="00F9123E" w:rsidP="00F9123E">
            <w:pPr>
              <w:jc w:val="center"/>
            </w:pPr>
            <w:r>
              <w:t>315</w:t>
            </w:r>
          </w:p>
        </w:tc>
      </w:tr>
      <w:tr w:rsidR="00F9123E" w:rsidTr="009B54F6">
        <w:trPr>
          <w:jc w:val="center"/>
        </w:trPr>
        <w:tc>
          <w:tcPr>
            <w:tcW w:w="5468" w:type="dxa"/>
          </w:tcPr>
          <w:p w:rsidR="00F9123E" w:rsidRDefault="00F9123E" w:rsidP="00CE1ECF">
            <w:pPr>
              <w:jc w:val="both"/>
            </w:pPr>
            <w:r>
              <w:t>TVET Centres</w:t>
            </w:r>
          </w:p>
        </w:tc>
        <w:tc>
          <w:tcPr>
            <w:tcW w:w="1367" w:type="dxa"/>
          </w:tcPr>
          <w:p w:rsidR="00F9123E" w:rsidRDefault="00F9123E" w:rsidP="00F9123E">
            <w:pPr>
              <w:jc w:val="center"/>
            </w:pPr>
            <w:r>
              <w:t>1,412</w:t>
            </w:r>
          </w:p>
        </w:tc>
        <w:tc>
          <w:tcPr>
            <w:tcW w:w="1367" w:type="dxa"/>
          </w:tcPr>
          <w:p w:rsidR="00F9123E" w:rsidRDefault="00F9123E" w:rsidP="00F9123E">
            <w:pPr>
              <w:jc w:val="center"/>
            </w:pPr>
            <w:r>
              <w:t>1,069</w:t>
            </w:r>
          </w:p>
        </w:tc>
        <w:tc>
          <w:tcPr>
            <w:tcW w:w="1368" w:type="dxa"/>
          </w:tcPr>
          <w:p w:rsidR="00F9123E" w:rsidRDefault="00F9123E" w:rsidP="00F9123E">
            <w:pPr>
              <w:jc w:val="center"/>
            </w:pPr>
            <w:r>
              <w:t>2,481</w:t>
            </w:r>
          </w:p>
        </w:tc>
      </w:tr>
      <w:tr w:rsidR="00F9123E" w:rsidTr="009B54F6">
        <w:trPr>
          <w:jc w:val="center"/>
        </w:trPr>
        <w:tc>
          <w:tcPr>
            <w:tcW w:w="9570" w:type="dxa"/>
            <w:gridSpan w:val="4"/>
          </w:tcPr>
          <w:p w:rsidR="00F9123E" w:rsidRDefault="00F9123E" w:rsidP="00F9123E">
            <w:r>
              <w:t xml:space="preserve">Source: Annual Statistical Report 2010-2011, </w:t>
            </w:r>
            <w:proofErr w:type="spellStart"/>
            <w:r>
              <w:t>MoE</w:t>
            </w:r>
            <w:proofErr w:type="spellEnd"/>
            <w:r>
              <w:t xml:space="preserve"> (June 2012), page 33</w:t>
            </w:r>
          </w:p>
        </w:tc>
      </w:tr>
    </w:tbl>
    <w:p w:rsidR="00F9123E" w:rsidRDefault="00F9123E" w:rsidP="00CE1ECF">
      <w:pPr>
        <w:jc w:val="both"/>
        <w:rPr>
          <w:rFonts w:eastAsia="Calibri" w:cs="Times New Roman"/>
          <w:lang w:val="en-US"/>
        </w:rPr>
      </w:pPr>
    </w:p>
    <w:p w:rsidR="00414866" w:rsidRDefault="00777692" w:rsidP="00CE1ECF">
      <w:pPr>
        <w:jc w:val="both"/>
        <w:rPr>
          <w:lang w:val="en-US"/>
        </w:rPr>
      </w:pPr>
      <w:r>
        <w:rPr>
          <w:rFonts w:eastAsia="Calibri" w:cs="Times New Roman"/>
          <w:lang w:val="en-US"/>
        </w:rPr>
        <w:t>The legal framework for governance and financing of the Education sector is established principally by the Education Act No.21 of 2001</w:t>
      </w:r>
      <w:r>
        <w:rPr>
          <w:lang w:val="en-US"/>
        </w:rPr>
        <w:t xml:space="preserve"> and Regulations issued pursuant to that Act</w:t>
      </w:r>
      <w:r>
        <w:rPr>
          <w:rFonts w:eastAsia="Calibri" w:cs="Times New Roman"/>
          <w:lang w:val="en-US"/>
        </w:rPr>
        <w:t>.  The legal framework for financial management of the sector is provided by a combination of the P</w:t>
      </w:r>
      <w:r w:rsidR="00414866">
        <w:rPr>
          <w:lang w:val="en-US"/>
        </w:rPr>
        <w:t xml:space="preserve">ublic Finance and Economic Management </w:t>
      </w:r>
      <w:r>
        <w:rPr>
          <w:rFonts w:eastAsia="Calibri" w:cs="Times New Roman"/>
          <w:lang w:val="en-US"/>
        </w:rPr>
        <w:t>Act 1998</w:t>
      </w:r>
      <w:r w:rsidR="00414866">
        <w:rPr>
          <w:lang w:val="en-US"/>
        </w:rPr>
        <w:t xml:space="preserve"> (as amended)</w:t>
      </w:r>
      <w:r>
        <w:rPr>
          <w:rFonts w:eastAsia="Calibri" w:cs="Times New Roman"/>
          <w:lang w:val="en-US"/>
        </w:rPr>
        <w:t>, the Finance Regulations under that Act, and the Education Act</w:t>
      </w:r>
      <w:r w:rsidR="00414866">
        <w:rPr>
          <w:lang w:val="en-US"/>
        </w:rPr>
        <w:t xml:space="preserve"> and its Regulations</w:t>
      </w:r>
      <w:r>
        <w:rPr>
          <w:rFonts w:eastAsia="Calibri" w:cs="Times New Roman"/>
          <w:lang w:val="en-US"/>
        </w:rPr>
        <w:t>.</w:t>
      </w:r>
      <w:r w:rsidR="00414866">
        <w:rPr>
          <w:lang w:val="en-US"/>
        </w:rPr>
        <w:t xml:space="preserve">  Other relevant legislation includes the Teaching Service Act of 1983 and several Acts establishing post-secondary institutions such as the </w:t>
      </w:r>
      <w:r w:rsidR="00D17DB8">
        <w:rPr>
          <w:lang w:val="en-US"/>
        </w:rPr>
        <w:t xml:space="preserve">Vanuatu Institute of Teacher Education, the Vanuatu Institute of Technology and the </w:t>
      </w:r>
      <w:r w:rsidR="00414866">
        <w:rPr>
          <w:lang w:val="en-US"/>
        </w:rPr>
        <w:t>Vanuatu Agricultural College</w:t>
      </w:r>
      <w:r w:rsidR="00816C51">
        <w:rPr>
          <w:lang w:val="en-US"/>
        </w:rPr>
        <w:t>.</w:t>
      </w:r>
      <w:r w:rsidR="006425FC">
        <w:rPr>
          <w:lang w:val="en-US"/>
        </w:rPr>
        <w:t xml:space="preserve">  </w:t>
      </w:r>
      <w:r w:rsidR="00414866">
        <w:rPr>
          <w:lang w:val="en-US"/>
        </w:rPr>
        <w:t xml:space="preserve">Table </w:t>
      </w:r>
      <w:r w:rsidR="000F65C3">
        <w:rPr>
          <w:lang w:val="en-US"/>
        </w:rPr>
        <w:t>3</w:t>
      </w:r>
      <w:r w:rsidR="00414866">
        <w:rPr>
          <w:lang w:val="en-US"/>
        </w:rPr>
        <w:t xml:space="preserve"> </w:t>
      </w:r>
      <w:proofErr w:type="spellStart"/>
      <w:r w:rsidR="00414866">
        <w:rPr>
          <w:lang w:val="en-US"/>
        </w:rPr>
        <w:t>summarises</w:t>
      </w:r>
      <w:proofErr w:type="spellEnd"/>
      <w:r w:rsidR="00414866">
        <w:rPr>
          <w:lang w:val="en-US"/>
        </w:rPr>
        <w:t xml:space="preserve"> the principal institutions</w:t>
      </w:r>
      <w:r w:rsidR="009C69CD">
        <w:rPr>
          <w:lang w:val="en-US"/>
        </w:rPr>
        <w:t>/groups</w:t>
      </w:r>
      <w:r w:rsidR="00414866">
        <w:rPr>
          <w:lang w:val="en-US"/>
        </w:rPr>
        <w:t xml:space="preserve"> with responsibilities impinging on the education sector</w:t>
      </w:r>
      <w:r w:rsidR="00881341">
        <w:rPr>
          <w:lang w:val="en-US"/>
        </w:rPr>
        <w:t>.</w:t>
      </w:r>
    </w:p>
    <w:p w:rsidR="00414866" w:rsidRDefault="00414866" w:rsidP="00CE1ECF">
      <w:pPr>
        <w:jc w:val="both"/>
        <w:rPr>
          <w:lang w:val="en-US"/>
        </w:rPr>
      </w:pPr>
    </w:p>
    <w:tbl>
      <w:tblPr>
        <w:tblStyle w:val="TableGrid"/>
        <w:tblW w:w="9570" w:type="dxa"/>
        <w:jc w:val="center"/>
        <w:tblLook w:val="04A0" w:firstRow="1" w:lastRow="0" w:firstColumn="1" w:lastColumn="0" w:noHBand="0" w:noVBand="1"/>
        <w:tblCaption w:val="Principal institutions and functions"/>
        <w:tblDescription w:val="Describes the main functions (education sector-related) of the GoV Ministry of Education."/>
      </w:tblPr>
      <w:tblGrid>
        <w:gridCol w:w="1809"/>
        <w:gridCol w:w="7761"/>
      </w:tblGrid>
      <w:tr w:rsidR="009C69CD" w:rsidTr="00D339A4">
        <w:trPr>
          <w:tblHeader/>
          <w:jc w:val="center"/>
        </w:trPr>
        <w:tc>
          <w:tcPr>
            <w:tcW w:w="9570" w:type="dxa"/>
            <w:gridSpan w:val="2"/>
            <w:shd w:val="clear" w:color="auto" w:fill="BFBFBF" w:themeFill="background1" w:themeFillShade="BF"/>
          </w:tcPr>
          <w:p w:rsidR="009C69CD" w:rsidRDefault="009C69CD" w:rsidP="000F65C3">
            <w:pPr>
              <w:jc w:val="both"/>
              <w:rPr>
                <w:lang w:val="en-US"/>
              </w:rPr>
            </w:pPr>
            <w:r>
              <w:rPr>
                <w:lang w:val="en-US"/>
              </w:rPr>
              <w:t xml:space="preserve">Table </w:t>
            </w:r>
            <w:r w:rsidR="000F65C3">
              <w:rPr>
                <w:lang w:val="en-US"/>
              </w:rPr>
              <w:t>3</w:t>
            </w:r>
            <w:r>
              <w:rPr>
                <w:lang w:val="en-US"/>
              </w:rPr>
              <w:t xml:space="preserve">: </w:t>
            </w:r>
            <w:r w:rsidR="00E22CA8">
              <w:rPr>
                <w:lang w:val="en-US"/>
              </w:rPr>
              <w:t xml:space="preserve">Principal </w:t>
            </w:r>
            <w:r w:rsidR="005E23E3">
              <w:rPr>
                <w:lang w:val="en-US"/>
              </w:rPr>
              <w:t>i</w:t>
            </w:r>
            <w:r>
              <w:rPr>
                <w:lang w:val="en-US"/>
              </w:rPr>
              <w:t>nstitutions and functions</w:t>
            </w:r>
          </w:p>
        </w:tc>
      </w:tr>
      <w:tr w:rsidR="00B66C43" w:rsidTr="003132B9">
        <w:trPr>
          <w:jc w:val="center"/>
        </w:trPr>
        <w:tc>
          <w:tcPr>
            <w:tcW w:w="1809" w:type="dxa"/>
          </w:tcPr>
          <w:p w:rsidR="00B66C43" w:rsidRDefault="00B66C43" w:rsidP="009C69CD">
            <w:pPr>
              <w:jc w:val="center"/>
              <w:rPr>
                <w:lang w:val="en-US"/>
              </w:rPr>
            </w:pPr>
            <w:r>
              <w:rPr>
                <w:lang w:val="en-US"/>
              </w:rPr>
              <w:t>Institution</w:t>
            </w:r>
          </w:p>
        </w:tc>
        <w:tc>
          <w:tcPr>
            <w:tcW w:w="7761" w:type="dxa"/>
          </w:tcPr>
          <w:p w:rsidR="00B66C43" w:rsidRDefault="00B66C43" w:rsidP="009C69CD">
            <w:pPr>
              <w:jc w:val="center"/>
              <w:rPr>
                <w:lang w:val="en-US"/>
              </w:rPr>
            </w:pPr>
            <w:r>
              <w:rPr>
                <w:lang w:val="en-US"/>
              </w:rPr>
              <w:t>Main functions</w:t>
            </w:r>
            <w:r w:rsidR="00020682">
              <w:rPr>
                <w:lang w:val="en-US"/>
              </w:rPr>
              <w:t xml:space="preserve"> (education sector-related)</w:t>
            </w:r>
          </w:p>
        </w:tc>
      </w:tr>
      <w:tr w:rsidR="003132B9" w:rsidTr="003132B9">
        <w:trPr>
          <w:trHeight w:val="6530"/>
          <w:jc w:val="center"/>
        </w:trPr>
        <w:tc>
          <w:tcPr>
            <w:tcW w:w="1809" w:type="dxa"/>
          </w:tcPr>
          <w:p w:rsidR="003132B9" w:rsidRDefault="003132B9" w:rsidP="005E6A3C">
            <w:pPr>
              <w:rPr>
                <w:lang w:val="en-US"/>
              </w:rPr>
            </w:pPr>
            <w:proofErr w:type="spellStart"/>
            <w:r>
              <w:rPr>
                <w:lang w:val="en-US"/>
              </w:rPr>
              <w:t>GoV</w:t>
            </w:r>
            <w:proofErr w:type="spellEnd"/>
            <w:r>
              <w:rPr>
                <w:lang w:val="en-US"/>
              </w:rPr>
              <w:t xml:space="preserve"> Ministry of Education</w:t>
            </w:r>
          </w:p>
        </w:tc>
        <w:tc>
          <w:tcPr>
            <w:tcW w:w="7761" w:type="dxa"/>
          </w:tcPr>
          <w:p w:rsidR="003132B9" w:rsidRDefault="003132B9" w:rsidP="009C69CD">
            <w:r>
              <w:rPr>
                <w:lang w:val="en-US"/>
              </w:rPr>
              <w:t>“</w:t>
            </w:r>
            <w:r w:rsidRPr="002A5B40">
              <w:t>The function of the Ministry is to deliver the education aspects of the Millennium Development Goals and the international agreements such as Education for All and respect for the rights of children. This includes the Government’s commitment to achieving Universal Primary Education (UPE), improving literacy, and to developing skills for the productive sectors (rural and urban).</w:t>
            </w:r>
            <w:r>
              <w:t>”</w:t>
            </w:r>
            <w:r>
              <w:rPr>
                <w:rStyle w:val="FootnoteReference"/>
              </w:rPr>
              <w:footnoteReference w:id="3"/>
            </w:r>
            <w:r>
              <w:t xml:space="preserve">  This function entails national responsibilities for:</w:t>
            </w:r>
          </w:p>
          <w:p w:rsidR="003132B9" w:rsidRDefault="003132B9" w:rsidP="00501831">
            <w:pPr>
              <w:pStyle w:val="ListParagraph"/>
              <w:numPr>
                <w:ilvl w:val="0"/>
                <w:numId w:val="15"/>
              </w:numPr>
              <w:ind w:left="318" w:hanging="284"/>
              <w:rPr>
                <w:lang w:val="en-US"/>
              </w:rPr>
            </w:pPr>
            <w:r w:rsidRPr="002A5B40">
              <w:rPr>
                <w:rFonts w:eastAsia="Calibri" w:cs="Times New Roman"/>
                <w:lang w:val="en-US"/>
              </w:rPr>
              <w:t>Teaching and learning services</w:t>
            </w:r>
            <w:r>
              <w:rPr>
                <w:lang w:val="en-US"/>
              </w:rPr>
              <w:t xml:space="preserve"> in </w:t>
            </w:r>
            <w:proofErr w:type="spellStart"/>
            <w:r>
              <w:rPr>
                <w:lang w:val="en-US"/>
              </w:rPr>
              <w:t>GoV</w:t>
            </w:r>
            <w:proofErr w:type="spellEnd"/>
            <w:r>
              <w:rPr>
                <w:lang w:val="en-US"/>
              </w:rPr>
              <w:t>-funded primary and secondary schools, the VIT and VITE</w:t>
            </w:r>
            <w:r w:rsidRPr="002A5B40">
              <w:rPr>
                <w:rFonts w:eastAsia="Calibri" w:cs="Times New Roman"/>
                <w:lang w:val="en-US"/>
              </w:rPr>
              <w:t>.</w:t>
            </w:r>
          </w:p>
          <w:p w:rsidR="003132B9" w:rsidRPr="00FF3CB1" w:rsidRDefault="003132B9" w:rsidP="00501831">
            <w:pPr>
              <w:pStyle w:val="ListParagraph"/>
              <w:numPr>
                <w:ilvl w:val="0"/>
                <w:numId w:val="15"/>
              </w:numPr>
              <w:ind w:left="318" w:hanging="284"/>
              <w:rPr>
                <w:rFonts w:eastAsia="Calibri" w:cs="Times New Roman"/>
                <w:lang w:val="en-US"/>
              </w:rPr>
            </w:pPr>
            <w:r w:rsidRPr="00FF3CB1">
              <w:rPr>
                <w:rFonts w:eastAsia="Calibri" w:cs="Times New Roman"/>
                <w:lang w:val="en-US"/>
              </w:rPr>
              <w:t xml:space="preserve">Registration </w:t>
            </w:r>
            <w:r w:rsidRPr="00FF3CB1">
              <w:rPr>
                <w:lang w:val="en-US"/>
              </w:rPr>
              <w:t xml:space="preserve">and funding </w:t>
            </w:r>
            <w:r w:rsidRPr="00FF3CB1">
              <w:rPr>
                <w:rFonts w:eastAsia="Calibri" w:cs="Times New Roman"/>
                <w:lang w:val="en-US"/>
              </w:rPr>
              <w:t xml:space="preserve">of education authorities and </w:t>
            </w:r>
            <w:r w:rsidRPr="00FF3CB1">
              <w:rPr>
                <w:lang w:val="en-US"/>
              </w:rPr>
              <w:t xml:space="preserve">Government Assisted </w:t>
            </w:r>
            <w:r w:rsidRPr="00FF3CB1">
              <w:rPr>
                <w:rFonts w:eastAsia="Calibri" w:cs="Times New Roman"/>
                <w:lang w:val="en-US"/>
              </w:rPr>
              <w:t>schools.</w:t>
            </w:r>
          </w:p>
          <w:p w:rsidR="003132B9" w:rsidRPr="002A5B40" w:rsidRDefault="003132B9" w:rsidP="00501831">
            <w:pPr>
              <w:pStyle w:val="ListParagraph"/>
              <w:numPr>
                <w:ilvl w:val="0"/>
                <w:numId w:val="15"/>
              </w:numPr>
              <w:ind w:left="318" w:hanging="284"/>
              <w:rPr>
                <w:rFonts w:eastAsia="Calibri" w:cs="Times New Roman"/>
                <w:lang w:val="en-US"/>
              </w:rPr>
            </w:pPr>
            <w:r w:rsidRPr="002A5B40">
              <w:rPr>
                <w:rFonts w:eastAsia="Calibri" w:cs="Times New Roman"/>
                <w:lang w:val="en-US"/>
              </w:rPr>
              <w:t>Development, maintenance, printing and distribution of national curriculum and associated learning materials.</w:t>
            </w:r>
          </w:p>
          <w:p w:rsidR="003132B9" w:rsidRPr="002A5B40" w:rsidRDefault="003132B9" w:rsidP="00501831">
            <w:pPr>
              <w:pStyle w:val="ListParagraph"/>
              <w:numPr>
                <w:ilvl w:val="0"/>
                <w:numId w:val="15"/>
              </w:numPr>
              <w:ind w:left="318" w:hanging="284"/>
              <w:rPr>
                <w:rFonts w:eastAsia="Calibri" w:cs="Times New Roman"/>
                <w:lang w:val="en-US"/>
              </w:rPr>
            </w:pPr>
            <w:r w:rsidRPr="002A5B40">
              <w:rPr>
                <w:rFonts w:eastAsia="Calibri" w:cs="Times New Roman"/>
                <w:lang w:val="en-US"/>
              </w:rPr>
              <w:t>School-based assessment, national examinations</w:t>
            </w:r>
            <w:r>
              <w:rPr>
                <w:lang w:val="en-US"/>
              </w:rPr>
              <w:t xml:space="preserve"> and </w:t>
            </w:r>
            <w:r w:rsidRPr="002A5B40">
              <w:rPr>
                <w:rFonts w:eastAsia="Calibri" w:cs="Times New Roman"/>
                <w:lang w:val="en-US"/>
              </w:rPr>
              <w:t>student selection processes</w:t>
            </w:r>
            <w:r>
              <w:rPr>
                <w:lang w:val="en-US"/>
              </w:rPr>
              <w:t>.</w:t>
            </w:r>
          </w:p>
          <w:p w:rsidR="003132B9" w:rsidRPr="002A5B40" w:rsidRDefault="003132B9" w:rsidP="00501831">
            <w:pPr>
              <w:pStyle w:val="ListParagraph"/>
              <w:numPr>
                <w:ilvl w:val="0"/>
                <w:numId w:val="15"/>
              </w:numPr>
              <w:ind w:left="318" w:hanging="284"/>
              <w:rPr>
                <w:rFonts w:eastAsia="Calibri" w:cs="Times New Roman"/>
                <w:lang w:val="en-US"/>
              </w:rPr>
            </w:pPr>
            <w:r>
              <w:rPr>
                <w:lang w:val="en-US"/>
              </w:rPr>
              <w:t>Through the Teaching Service Commission and VITE, t</w:t>
            </w:r>
            <w:r w:rsidRPr="002A5B40">
              <w:rPr>
                <w:rFonts w:eastAsia="Calibri" w:cs="Times New Roman"/>
                <w:lang w:val="en-US"/>
              </w:rPr>
              <w:t>eacher recruitment, deployment, pre-service/in-service training and supervision.</w:t>
            </w:r>
          </w:p>
          <w:p w:rsidR="003132B9" w:rsidRPr="002A5B40" w:rsidRDefault="003132B9" w:rsidP="00501831">
            <w:pPr>
              <w:pStyle w:val="ListParagraph"/>
              <w:numPr>
                <w:ilvl w:val="0"/>
                <w:numId w:val="15"/>
              </w:numPr>
              <w:ind w:left="318" w:hanging="284"/>
              <w:rPr>
                <w:rFonts w:eastAsia="Calibri" w:cs="Times New Roman"/>
                <w:lang w:val="en-US"/>
              </w:rPr>
            </w:pPr>
            <w:r w:rsidRPr="002A5B40">
              <w:rPr>
                <w:rFonts w:eastAsia="Calibri" w:cs="Times New Roman"/>
                <w:lang w:val="en-US"/>
              </w:rPr>
              <w:t>Financial and auditing services.</w:t>
            </w:r>
          </w:p>
          <w:p w:rsidR="003132B9" w:rsidRPr="002A5B40" w:rsidRDefault="003132B9" w:rsidP="00501831">
            <w:pPr>
              <w:pStyle w:val="ListParagraph"/>
              <w:numPr>
                <w:ilvl w:val="0"/>
                <w:numId w:val="15"/>
              </w:numPr>
              <w:ind w:left="318" w:hanging="284"/>
              <w:rPr>
                <w:rFonts w:eastAsia="Calibri" w:cs="Times New Roman"/>
                <w:lang w:val="en-US"/>
              </w:rPr>
            </w:pPr>
            <w:r w:rsidRPr="002A5B40">
              <w:rPr>
                <w:rFonts w:eastAsia="Calibri" w:cs="Times New Roman"/>
                <w:lang w:val="en-US"/>
              </w:rPr>
              <w:t>School construction, maintenance and repair, and furnishings.</w:t>
            </w:r>
          </w:p>
          <w:p w:rsidR="003132B9" w:rsidRPr="002A5B40" w:rsidRDefault="003132B9" w:rsidP="00501831">
            <w:pPr>
              <w:pStyle w:val="ListParagraph"/>
              <w:numPr>
                <w:ilvl w:val="0"/>
                <w:numId w:val="15"/>
              </w:numPr>
              <w:ind w:left="318" w:hanging="284"/>
              <w:rPr>
                <w:rFonts w:eastAsia="Calibri" w:cs="Times New Roman"/>
                <w:lang w:val="en-US"/>
              </w:rPr>
            </w:pPr>
            <w:r w:rsidRPr="002A5B40">
              <w:rPr>
                <w:rFonts w:eastAsia="Calibri" w:cs="Times New Roman"/>
                <w:lang w:val="en-US"/>
              </w:rPr>
              <w:t>Procurement and distribution of school stationery and equipment.</w:t>
            </w:r>
          </w:p>
          <w:p w:rsidR="003132B9" w:rsidRDefault="003132B9" w:rsidP="00501831">
            <w:pPr>
              <w:pStyle w:val="ListParagraph"/>
              <w:numPr>
                <w:ilvl w:val="0"/>
                <w:numId w:val="15"/>
              </w:numPr>
              <w:ind w:left="318" w:hanging="284"/>
              <w:rPr>
                <w:lang w:val="en-US"/>
              </w:rPr>
            </w:pPr>
            <w:r w:rsidRPr="002A5B40">
              <w:rPr>
                <w:rFonts w:eastAsia="Calibri" w:cs="Times New Roman"/>
                <w:lang w:val="en-US"/>
              </w:rPr>
              <w:t>The national scholarship program.</w:t>
            </w:r>
          </w:p>
          <w:p w:rsidR="003132B9" w:rsidRPr="00154BEB" w:rsidRDefault="003132B9" w:rsidP="00501831">
            <w:pPr>
              <w:pStyle w:val="ListParagraph"/>
              <w:numPr>
                <w:ilvl w:val="0"/>
                <w:numId w:val="17"/>
              </w:numPr>
              <w:ind w:left="318" w:hanging="284"/>
              <w:rPr>
                <w:lang w:val="en-US"/>
              </w:rPr>
            </w:pPr>
            <w:r w:rsidRPr="00FF3CB1">
              <w:rPr>
                <w:lang w:val="en-US"/>
              </w:rPr>
              <w:t>Operation and development of the Vanuatu Education Management Information System (VEMIS) and its annual schools survey.</w:t>
            </w:r>
          </w:p>
        </w:tc>
      </w:tr>
      <w:tr w:rsidR="00B66C43" w:rsidTr="003132B9">
        <w:tblPrEx>
          <w:jc w:val="left"/>
        </w:tblPrEx>
        <w:tc>
          <w:tcPr>
            <w:tcW w:w="1809" w:type="dxa"/>
          </w:tcPr>
          <w:p w:rsidR="00B66C43" w:rsidRDefault="00B66C43" w:rsidP="005E6A3C">
            <w:pPr>
              <w:rPr>
                <w:lang w:val="en-US"/>
              </w:rPr>
            </w:pPr>
            <w:proofErr w:type="spellStart"/>
            <w:r>
              <w:rPr>
                <w:lang w:val="en-US"/>
              </w:rPr>
              <w:t>GoV</w:t>
            </w:r>
            <w:proofErr w:type="spellEnd"/>
            <w:r w:rsidR="005E6A3C">
              <w:rPr>
                <w:lang w:val="en-US"/>
              </w:rPr>
              <w:t xml:space="preserve"> </w:t>
            </w:r>
            <w:r>
              <w:rPr>
                <w:lang w:val="en-US"/>
              </w:rPr>
              <w:t xml:space="preserve">Ministry </w:t>
            </w:r>
            <w:r>
              <w:rPr>
                <w:lang w:val="en-US"/>
              </w:rPr>
              <w:lastRenderedPageBreak/>
              <w:t>of Youth Development</w:t>
            </w:r>
            <w:r w:rsidR="00211A76">
              <w:rPr>
                <w:lang w:val="en-US"/>
              </w:rPr>
              <w:t xml:space="preserve"> Sports and </w:t>
            </w:r>
            <w:r>
              <w:rPr>
                <w:lang w:val="en-US"/>
              </w:rPr>
              <w:t>Training</w:t>
            </w:r>
          </w:p>
        </w:tc>
        <w:tc>
          <w:tcPr>
            <w:tcW w:w="7761" w:type="dxa"/>
          </w:tcPr>
          <w:p w:rsidR="007270E6" w:rsidRDefault="007270E6" w:rsidP="00501831">
            <w:pPr>
              <w:pStyle w:val="ListParagraph"/>
              <w:numPr>
                <w:ilvl w:val="0"/>
                <w:numId w:val="17"/>
              </w:numPr>
              <w:ind w:left="318" w:hanging="284"/>
              <w:rPr>
                <w:lang w:val="en-US"/>
              </w:rPr>
            </w:pPr>
            <w:r>
              <w:rPr>
                <w:lang w:val="en-US"/>
              </w:rPr>
              <w:lastRenderedPageBreak/>
              <w:t>Policy advice in relation to TVET</w:t>
            </w:r>
          </w:p>
          <w:p w:rsidR="00B66C43" w:rsidRDefault="007270E6" w:rsidP="00501831">
            <w:pPr>
              <w:pStyle w:val="ListParagraph"/>
              <w:numPr>
                <w:ilvl w:val="0"/>
                <w:numId w:val="17"/>
              </w:numPr>
              <w:ind w:left="318" w:hanging="284"/>
              <w:rPr>
                <w:lang w:val="en-US"/>
              </w:rPr>
            </w:pPr>
            <w:r>
              <w:rPr>
                <w:lang w:val="en-US"/>
              </w:rPr>
              <w:lastRenderedPageBreak/>
              <w:t>Participation in and funding support for the work of the Vanuatu National Training Council, an autonomous body within the Ministry responsible for:</w:t>
            </w:r>
          </w:p>
          <w:p w:rsidR="007270E6" w:rsidRDefault="007270E6" w:rsidP="00501831">
            <w:pPr>
              <w:pStyle w:val="ListParagraph"/>
              <w:numPr>
                <w:ilvl w:val="1"/>
                <w:numId w:val="17"/>
              </w:numPr>
              <w:ind w:left="601" w:hanging="283"/>
              <w:rPr>
                <w:lang w:val="en-US"/>
              </w:rPr>
            </w:pPr>
            <w:r>
              <w:rPr>
                <w:lang w:val="en-US"/>
              </w:rPr>
              <w:t>development and maintenance of the TVET Qualifications Framework;</w:t>
            </w:r>
          </w:p>
          <w:p w:rsidR="007270E6" w:rsidRDefault="007270E6" w:rsidP="00501831">
            <w:pPr>
              <w:pStyle w:val="ListParagraph"/>
              <w:numPr>
                <w:ilvl w:val="1"/>
                <w:numId w:val="17"/>
              </w:numPr>
              <w:ind w:left="601" w:hanging="283"/>
              <w:rPr>
                <w:lang w:val="en-US"/>
              </w:rPr>
            </w:pPr>
            <w:r>
              <w:rPr>
                <w:lang w:val="en-US"/>
              </w:rPr>
              <w:t>accreditation of TVET service providers;</w:t>
            </w:r>
          </w:p>
          <w:p w:rsidR="007270E6" w:rsidRPr="00FF3CB1" w:rsidRDefault="007270E6" w:rsidP="00501831">
            <w:pPr>
              <w:pStyle w:val="ListParagraph"/>
              <w:numPr>
                <w:ilvl w:val="1"/>
                <w:numId w:val="17"/>
              </w:numPr>
              <w:ind w:left="601" w:hanging="283"/>
              <w:rPr>
                <w:lang w:val="en-US"/>
              </w:rPr>
            </w:pPr>
            <w:proofErr w:type="gramStart"/>
            <w:r>
              <w:rPr>
                <w:lang w:val="en-US"/>
              </w:rPr>
              <w:t>engagement</w:t>
            </w:r>
            <w:proofErr w:type="gramEnd"/>
            <w:r>
              <w:rPr>
                <w:lang w:val="en-US"/>
              </w:rPr>
              <w:t xml:space="preserve"> of business, training providers, trade unions and other stakeholders in reform of the TVET system.</w:t>
            </w:r>
          </w:p>
        </w:tc>
      </w:tr>
      <w:tr w:rsidR="00B66C43" w:rsidTr="003132B9">
        <w:tblPrEx>
          <w:jc w:val="left"/>
        </w:tblPrEx>
        <w:tc>
          <w:tcPr>
            <w:tcW w:w="1809" w:type="dxa"/>
          </w:tcPr>
          <w:p w:rsidR="00B66C43" w:rsidRDefault="00B66C43" w:rsidP="005E6A3C">
            <w:pPr>
              <w:rPr>
                <w:lang w:val="en-US"/>
              </w:rPr>
            </w:pPr>
            <w:proofErr w:type="spellStart"/>
            <w:r>
              <w:rPr>
                <w:lang w:val="en-US"/>
              </w:rPr>
              <w:lastRenderedPageBreak/>
              <w:t>GoV</w:t>
            </w:r>
            <w:proofErr w:type="spellEnd"/>
            <w:r w:rsidR="005E6A3C">
              <w:rPr>
                <w:lang w:val="en-US"/>
              </w:rPr>
              <w:t xml:space="preserve"> </w:t>
            </w:r>
            <w:r>
              <w:rPr>
                <w:lang w:val="en-US"/>
              </w:rPr>
              <w:t>Ministry of Health</w:t>
            </w:r>
          </w:p>
        </w:tc>
        <w:tc>
          <w:tcPr>
            <w:tcW w:w="7761" w:type="dxa"/>
          </w:tcPr>
          <w:p w:rsidR="00B66C43" w:rsidRDefault="00DD4B2B" w:rsidP="00501831">
            <w:pPr>
              <w:pStyle w:val="ListParagraph"/>
              <w:numPr>
                <w:ilvl w:val="0"/>
                <w:numId w:val="17"/>
              </w:numPr>
              <w:ind w:left="318" w:hanging="284"/>
              <w:rPr>
                <w:lang w:val="en-US"/>
              </w:rPr>
            </w:pPr>
            <w:r>
              <w:rPr>
                <w:lang w:val="en-US"/>
              </w:rPr>
              <w:t xml:space="preserve">Funding of the Vanuatu College of Nurse Education </w:t>
            </w:r>
          </w:p>
        </w:tc>
      </w:tr>
      <w:tr w:rsidR="00934E25" w:rsidTr="003132B9">
        <w:tblPrEx>
          <w:jc w:val="left"/>
        </w:tblPrEx>
        <w:tc>
          <w:tcPr>
            <w:tcW w:w="1809" w:type="dxa"/>
          </w:tcPr>
          <w:p w:rsidR="00934E25" w:rsidRDefault="00934E25" w:rsidP="00360B15">
            <w:pPr>
              <w:rPr>
                <w:lang w:val="en-US"/>
              </w:rPr>
            </w:pPr>
            <w:proofErr w:type="spellStart"/>
            <w:r>
              <w:rPr>
                <w:lang w:val="en-US"/>
              </w:rPr>
              <w:t>GoV</w:t>
            </w:r>
            <w:proofErr w:type="spellEnd"/>
            <w:r>
              <w:rPr>
                <w:lang w:val="en-US"/>
              </w:rPr>
              <w:t xml:space="preserve"> Ministry of Internal Affairs</w:t>
            </w:r>
          </w:p>
        </w:tc>
        <w:tc>
          <w:tcPr>
            <w:tcW w:w="7761" w:type="dxa"/>
          </w:tcPr>
          <w:p w:rsidR="00934E25" w:rsidRDefault="00934E25" w:rsidP="00501831">
            <w:pPr>
              <w:pStyle w:val="ListParagraph"/>
              <w:numPr>
                <w:ilvl w:val="0"/>
                <w:numId w:val="17"/>
              </w:numPr>
              <w:ind w:left="318" w:hanging="284"/>
              <w:rPr>
                <w:lang w:val="en-US"/>
              </w:rPr>
            </w:pPr>
            <w:r>
              <w:rPr>
                <w:lang w:val="en-US"/>
              </w:rPr>
              <w:t>Funding of the Vanuatu Police College</w:t>
            </w:r>
          </w:p>
        </w:tc>
      </w:tr>
      <w:tr w:rsidR="00A0498E" w:rsidTr="003132B9">
        <w:tblPrEx>
          <w:jc w:val="left"/>
        </w:tblPrEx>
        <w:tc>
          <w:tcPr>
            <w:tcW w:w="1809" w:type="dxa"/>
          </w:tcPr>
          <w:p w:rsidR="00A0498E" w:rsidRDefault="00A0498E" w:rsidP="005E6A3C">
            <w:pPr>
              <w:rPr>
                <w:lang w:val="en-US"/>
              </w:rPr>
            </w:pPr>
            <w:proofErr w:type="spellStart"/>
            <w:r>
              <w:rPr>
                <w:lang w:val="en-US"/>
              </w:rPr>
              <w:t>GoV</w:t>
            </w:r>
            <w:proofErr w:type="spellEnd"/>
            <w:r>
              <w:rPr>
                <w:lang w:val="en-US"/>
              </w:rPr>
              <w:t xml:space="preserve"> Ministry of Finance &amp; Economic Management</w:t>
            </w:r>
          </w:p>
        </w:tc>
        <w:tc>
          <w:tcPr>
            <w:tcW w:w="7761" w:type="dxa"/>
          </w:tcPr>
          <w:p w:rsidR="00A0498E" w:rsidRDefault="00A0498E" w:rsidP="00501831">
            <w:pPr>
              <w:pStyle w:val="ListParagraph"/>
              <w:numPr>
                <w:ilvl w:val="0"/>
                <w:numId w:val="16"/>
              </w:numPr>
              <w:ind w:left="318" w:hanging="284"/>
              <w:rPr>
                <w:lang w:val="en-US"/>
              </w:rPr>
            </w:pPr>
            <w:r>
              <w:rPr>
                <w:lang w:val="en-US"/>
              </w:rPr>
              <w:t xml:space="preserve">Management of the </w:t>
            </w:r>
            <w:proofErr w:type="spellStart"/>
            <w:r>
              <w:rPr>
                <w:lang w:val="en-US"/>
              </w:rPr>
              <w:t>GoV’s</w:t>
            </w:r>
            <w:proofErr w:type="spellEnd"/>
            <w:r>
              <w:rPr>
                <w:lang w:val="en-US"/>
              </w:rPr>
              <w:t xml:space="preserve"> annual budget process including advice </w:t>
            </w:r>
            <w:r w:rsidR="001C1D81">
              <w:rPr>
                <w:lang w:val="en-US"/>
              </w:rPr>
              <w:t xml:space="preserve">to </w:t>
            </w:r>
            <w:r>
              <w:rPr>
                <w:lang w:val="en-US"/>
              </w:rPr>
              <w:t>the Ministerial Budget Committee on agency budget submissions, new policy proposals and the setting of agency expenditure ceilings.</w:t>
            </w:r>
          </w:p>
          <w:p w:rsidR="00A0498E" w:rsidRDefault="00A0498E" w:rsidP="00501831">
            <w:pPr>
              <w:pStyle w:val="ListParagraph"/>
              <w:numPr>
                <w:ilvl w:val="0"/>
                <w:numId w:val="16"/>
              </w:numPr>
              <w:ind w:left="318" w:hanging="284"/>
              <w:rPr>
                <w:lang w:val="en-US"/>
              </w:rPr>
            </w:pPr>
            <w:r>
              <w:rPr>
                <w:lang w:val="en-US"/>
              </w:rPr>
              <w:t>Monitoring and control of agencies’ within-year aggregate expenditures including advice on agency requests for supplementary budgets.</w:t>
            </w:r>
          </w:p>
          <w:p w:rsidR="00A0498E" w:rsidRDefault="00A0498E" w:rsidP="00501831">
            <w:pPr>
              <w:pStyle w:val="ListParagraph"/>
              <w:numPr>
                <w:ilvl w:val="0"/>
                <w:numId w:val="16"/>
              </w:numPr>
              <w:ind w:left="318" w:hanging="284"/>
              <w:rPr>
                <w:lang w:val="en-US"/>
              </w:rPr>
            </w:pPr>
            <w:r>
              <w:rPr>
                <w:lang w:val="en-US"/>
              </w:rPr>
              <w:t xml:space="preserve">Operation and development of the </w:t>
            </w:r>
            <w:proofErr w:type="spellStart"/>
            <w:r>
              <w:rPr>
                <w:lang w:val="en-US"/>
              </w:rPr>
              <w:t>GoV’s</w:t>
            </w:r>
            <w:proofErr w:type="spellEnd"/>
            <w:r>
              <w:rPr>
                <w:lang w:val="en-US"/>
              </w:rPr>
              <w:t xml:space="preserve"> financial management information system ‘</w:t>
            </w:r>
            <w:proofErr w:type="spellStart"/>
            <w:r>
              <w:rPr>
                <w:lang w:val="en-US"/>
              </w:rPr>
              <w:t>Smartstream</w:t>
            </w:r>
            <w:proofErr w:type="spellEnd"/>
            <w:r>
              <w:rPr>
                <w:lang w:val="en-US"/>
              </w:rPr>
              <w:t>’.</w:t>
            </w:r>
          </w:p>
          <w:p w:rsidR="00A0498E" w:rsidRPr="00FF3CB1" w:rsidRDefault="00A0498E" w:rsidP="00501831">
            <w:pPr>
              <w:pStyle w:val="ListParagraph"/>
              <w:numPr>
                <w:ilvl w:val="0"/>
                <w:numId w:val="16"/>
              </w:numPr>
              <w:ind w:left="318" w:hanging="284"/>
              <w:rPr>
                <w:lang w:val="en-US"/>
              </w:rPr>
            </w:pPr>
            <w:r>
              <w:rPr>
                <w:lang w:val="en-US"/>
              </w:rPr>
              <w:t xml:space="preserve">Administration of annual </w:t>
            </w:r>
            <w:proofErr w:type="spellStart"/>
            <w:r>
              <w:rPr>
                <w:lang w:val="en-US"/>
              </w:rPr>
              <w:t>GoV</w:t>
            </w:r>
            <w:proofErr w:type="spellEnd"/>
            <w:r>
              <w:rPr>
                <w:lang w:val="en-US"/>
              </w:rPr>
              <w:t xml:space="preserve"> grants to off-budget agencies including the Vanuatu Agricultural Research Training Centre, University of the South Pacific, Vanuatu Maritime College and Vanuatu Agricultural College.</w:t>
            </w:r>
          </w:p>
        </w:tc>
      </w:tr>
      <w:tr w:rsidR="00A0498E" w:rsidTr="003132B9">
        <w:tblPrEx>
          <w:jc w:val="left"/>
        </w:tblPrEx>
        <w:tc>
          <w:tcPr>
            <w:tcW w:w="1809" w:type="dxa"/>
          </w:tcPr>
          <w:p w:rsidR="00A0498E" w:rsidRDefault="00A0498E" w:rsidP="005E6A3C">
            <w:pPr>
              <w:rPr>
                <w:lang w:val="en-US"/>
              </w:rPr>
            </w:pPr>
            <w:proofErr w:type="spellStart"/>
            <w:r>
              <w:rPr>
                <w:lang w:val="en-US"/>
              </w:rPr>
              <w:t>GoV</w:t>
            </w:r>
            <w:proofErr w:type="spellEnd"/>
            <w:r>
              <w:rPr>
                <w:lang w:val="en-US"/>
              </w:rPr>
              <w:t xml:space="preserve"> Prime Minister’s Office</w:t>
            </w:r>
          </w:p>
        </w:tc>
        <w:tc>
          <w:tcPr>
            <w:tcW w:w="7761" w:type="dxa"/>
          </w:tcPr>
          <w:p w:rsidR="00A0498E" w:rsidRDefault="00A0498E" w:rsidP="00501831">
            <w:pPr>
              <w:pStyle w:val="ListParagraph"/>
              <w:numPr>
                <w:ilvl w:val="0"/>
                <w:numId w:val="16"/>
              </w:numPr>
              <w:ind w:left="318" w:hanging="284"/>
              <w:rPr>
                <w:lang w:val="en-US"/>
              </w:rPr>
            </w:pPr>
            <w:r>
              <w:rPr>
                <w:lang w:val="en-US"/>
              </w:rPr>
              <w:t>High-level policy, planning and administrative support for the Prime Minister and Council of Ministers.</w:t>
            </w:r>
          </w:p>
          <w:p w:rsidR="00A0498E" w:rsidRDefault="00A0498E" w:rsidP="00501831">
            <w:pPr>
              <w:pStyle w:val="ListParagraph"/>
              <w:numPr>
                <w:ilvl w:val="0"/>
                <w:numId w:val="16"/>
              </w:numPr>
              <w:ind w:left="318" w:hanging="284"/>
              <w:rPr>
                <w:lang w:val="en-US"/>
              </w:rPr>
            </w:pPr>
            <w:r>
              <w:rPr>
                <w:lang w:val="en-US"/>
              </w:rPr>
              <w:t xml:space="preserve">Monitoring and evaluation of </w:t>
            </w:r>
            <w:proofErr w:type="spellStart"/>
            <w:r>
              <w:rPr>
                <w:lang w:val="en-US"/>
              </w:rPr>
              <w:t>GoV</w:t>
            </w:r>
            <w:proofErr w:type="spellEnd"/>
            <w:r>
              <w:rPr>
                <w:lang w:val="en-US"/>
              </w:rPr>
              <w:t xml:space="preserve"> policies and programs.</w:t>
            </w:r>
          </w:p>
          <w:p w:rsidR="00A0498E" w:rsidRDefault="00A0498E" w:rsidP="00084C94">
            <w:pPr>
              <w:pStyle w:val="ListParagraph"/>
              <w:numPr>
                <w:ilvl w:val="0"/>
                <w:numId w:val="16"/>
              </w:numPr>
              <w:ind w:left="318" w:hanging="284"/>
              <w:rPr>
                <w:lang w:val="en-US"/>
              </w:rPr>
            </w:pPr>
            <w:r>
              <w:rPr>
                <w:lang w:val="en-US"/>
              </w:rPr>
              <w:t xml:space="preserve">Alignment of </w:t>
            </w:r>
            <w:r w:rsidR="00084C94">
              <w:rPr>
                <w:lang w:val="en-US"/>
              </w:rPr>
              <w:t>d</w:t>
            </w:r>
            <w:r>
              <w:rPr>
                <w:lang w:val="en-US"/>
              </w:rPr>
              <w:t xml:space="preserve">evelopment </w:t>
            </w:r>
            <w:r w:rsidR="00084C94">
              <w:rPr>
                <w:lang w:val="en-US"/>
              </w:rPr>
              <w:t>p</w:t>
            </w:r>
            <w:r>
              <w:rPr>
                <w:lang w:val="en-US"/>
              </w:rPr>
              <w:t xml:space="preserve">artner resources with </w:t>
            </w:r>
            <w:proofErr w:type="spellStart"/>
            <w:r>
              <w:rPr>
                <w:lang w:val="en-US"/>
              </w:rPr>
              <w:t>GoV</w:t>
            </w:r>
            <w:proofErr w:type="spellEnd"/>
            <w:r>
              <w:rPr>
                <w:lang w:val="en-US"/>
              </w:rPr>
              <w:t xml:space="preserve"> policy priorities.</w:t>
            </w:r>
          </w:p>
        </w:tc>
      </w:tr>
      <w:tr w:rsidR="00A0498E" w:rsidTr="003132B9">
        <w:tblPrEx>
          <w:jc w:val="left"/>
        </w:tblPrEx>
        <w:tc>
          <w:tcPr>
            <w:tcW w:w="1809" w:type="dxa"/>
          </w:tcPr>
          <w:p w:rsidR="00A0498E" w:rsidRDefault="00A0498E" w:rsidP="005E6A3C">
            <w:pPr>
              <w:rPr>
                <w:lang w:val="en-US"/>
              </w:rPr>
            </w:pPr>
            <w:proofErr w:type="spellStart"/>
            <w:r>
              <w:rPr>
                <w:lang w:val="en-US"/>
              </w:rPr>
              <w:t>GoV</w:t>
            </w:r>
            <w:proofErr w:type="spellEnd"/>
            <w:r>
              <w:rPr>
                <w:lang w:val="en-US"/>
              </w:rPr>
              <w:t xml:space="preserve"> Other Ministries</w:t>
            </w:r>
          </w:p>
        </w:tc>
        <w:tc>
          <w:tcPr>
            <w:tcW w:w="7761" w:type="dxa"/>
          </w:tcPr>
          <w:p w:rsidR="00A0498E" w:rsidRPr="00881341" w:rsidRDefault="00A0498E" w:rsidP="00DD4B2B">
            <w:pPr>
              <w:rPr>
                <w:lang w:val="en-US"/>
              </w:rPr>
            </w:pPr>
            <w:r>
              <w:rPr>
                <w:lang w:val="en-US"/>
              </w:rPr>
              <w:t xml:space="preserve">Other Ministries </w:t>
            </w:r>
            <w:proofErr w:type="spellStart"/>
            <w:r>
              <w:rPr>
                <w:lang w:val="en-US"/>
              </w:rPr>
              <w:t>oversighting</w:t>
            </w:r>
            <w:proofErr w:type="spellEnd"/>
            <w:r>
              <w:rPr>
                <w:lang w:val="en-US"/>
              </w:rPr>
              <w:t xml:space="preserve"> and/or funding the delivery of various TVET services include the Ministry of Agriculture and the Ministry of Cooperatives and Ni Vanuatu Business Development.  Pending further review of funding of the TVET sector the nature and scale of their involvement in TVET service provision has yet to be established.</w:t>
            </w:r>
          </w:p>
        </w:tc>
      </w:tr>
      <w:tr w:rsidR="00A0498E" w:rsidTr="003132B9">
        <w:tblPrEx>
          <w:jc w:val="left"/>
        </w:tblPrEx>
        <w:tc>
          <w:tcPr>
            <w:tcW w:w="1809" w:type="dxa"/>
          </w:tcPr>
          <w:p w:rsidR="00A0498E" w:rsidRDefault="00A0498E" w:rsidP="005E6A3C">
            <w:pPr>
              <w:rPr>
                <w:lang w:val="en-US"/>
              </w:rPr>
            </w:pPr>
            <w:proofErr w:type="spellStart"/>
            <w:r>
              <w:rPr>
                <w:lang w:val="en-US"/>
              </w:rPr>
              <w:t>GoV</w:t>
            </w:r>
            <w:proofErr w:type="spellEnd"/>
            <w:r>
              <w:rPr>
                <w:lang w:val="en-US"/>
              </w:rPr>
              <w:t xml:space="preserve"> off-budget agencies</w:t>
            </w:r>
          </w:p>
        </w:tc>
        <w:tc>
          <w:tcPr>
            <w:tcW w:w="7761" w:type="dxa"/>
          </w:tcPr>
          <w:p w:rsidR="00A0498E" w:rsidRDefault="00A0498E" w:rsidP="00934E25">
            <w:pPr>
              <w:ind w:left="34"/>
              <w:rPr>
                <w:lang w:val="en-US"/>
              </w:rPr>
            </w:pPr>
            <w:r w:rsidRPr="00A0498E">
              <w:rPr>
                <w:lang w:val="en-US"/>
              </w:rPr>
              <w:t xml:space="preserve">Delivery of specialist post-secondary training and/or support thereof, part -funded by </w:t>
            </w:r>
            <w:proofErr w:type="spellStart"/>
            <w:r w:rsidRPr="00A0498E">
              <w:rPr>
                <w:lang w:val="en-US"/>
              </w:rPr>
              <w:t>GoV</w:t>
            </w:r>
            <w:proofErr w:type="spellEnd"/>
            <w:r w:rsidRPr="00A0498E">
              <w:rPr>
                <w:lang w:val="en-US"/>
              </w:rPr>
              <w:t xml:space="preserve"> grants:</w:t>
            </w:r>
          </w:p>
          <w:p w:rsidR="00A0498E" w:rsidRDefault="00A0498E" w:rsidP="00501831">
            <w:pPr>
              <w:pStyle w:val="ListParagraph"/>
              <w:numPr>
                <w:ilvl w:val="0"/>
                <w:numId w:val="18"/>
              </w:numPr>
              <w:ind w:left="318" w:hanging="284"/>
              <w:rPr>
                <w:lang w:val="en-US"/>
              </w:rPr>
            </w:pPr>
            <w:r>
              <w:rPr>
                <w:lang w:val="en-US"/>
              </w:rPr>
              <w:t>Vanuatu Agricultural College.</w:t>
            </w:r>
          </w:p>
          <w:p w:rsidR="00A0498E" w:rsidRDefault="00A0498E" w:rsidP="00501831">
            <w:pPr>
              <w:pStyle w:val="ListParagraph"/>
              <w:numPr>
                <w:ilvl w:val="0"/>
                <w:numId w:val="18"/>
              </w:numPr>
              <w:ind w:left="318" w:hanging="284"/>
              <w:rPr>
                <w:lang w:val="en-US"/>
              </w:rPr>
            </w:pPr>
            <w:r>
              <w:rPr>
                <w:lang w:val="en-US"/>
              </w:rPr>
              <w:t>Vanuatu Maritime College.</w:t>
            </w:r>
          </w:p>
          <w:p w:rsidR="00A0498E" w:rsidRPr="00934E25" w:rsidRDefault="00A0498E" w:rsidP="00501831">
            <w:pPr>
              <w:pStyle w:val="ListParagraph"/>
              <w:numPr>
                <w:ilvl w:val="0"/>
                <w:numId w:val="18"/>
              </w:numPr>
              <w:ind w:left="318" w:hanging="284"/>
              <w:rPr>
                <w:lang w:val="en-US"/>
              </w:rPr>
            </w:pPr>
            <w:r>
              <w:rPr>
                <w:lang w:val="en-US"/>
              </w:rPr>
              <w:t>Vanuatu Agricultural Research and Training Centre.</w:t>
            </w:r>
          </w:p>
        </w:tc>
      </w:tr>
      <w:tr w:rsidR="00A0498E" w:rsidTr="003132B9">
        <w:tblPrEx>
          <w:jc w:val="left"/>
        </w:tblPrEx>
        <w:tc>
          <w:tcPr>
            <w:tcW w:w="1809" w:type="dxa"/>
          </w:tcPr>
          <w:p w:rsidR="00A0498E" w:rsidRDefault="00A0498E" w:rsidP="009C69CD">
            <w:pPr>
              <w:rPr>
                <w:lang w:val="en-US"/>
              </w:rPr>
            </w:pPr>
            <w:r>
              <w:rPr>
                <w:lang w:val="en-US"/>
              </w:rPr>
              <w:t>Development Partners</w:t>
            </w:r>
          </w:p>
        </w:tc>
        <w:tc>
          <w:tcPr>
            <w:tcW w:w="7761" w:type="dxa"/>
          </w:tcPr>
          <w:p w:rsidR="00A0498E" w:rsidRDefault="00A0498E" w:rsidP="00501831">
            <w:pPr>
              <w:pStyle w:val="ListParagraph"/>
              <w:numPr>
                <w:ilvl w:val="0"/>
                <w:numId w:val="16"/>
              </w:numPr>
              <w:ind w:left="318" w:hanging="284"/>
              <w:rPr>
                <w:lang w:val="en-US"/>
              </w:rPr>
            </w:pPr>
            <w:r>
              <w:rPr>
                <w:lang w:val="en-US"/>
              </w:rPr>
              <w:t xml:space="preserve">Negotiation, funding and monitoring of support for </w:t>
            </w:r>
            <w:proofErr w:type="spellStart"/>
            <w:r>
              <w:rPr>
                <w:lang w:val="en-US"/>
              </w:rPr>
              <w:t>GoV</w:t>
            </w:r>
            <w:proofErr w:type="spellEnd"/>
            <w:r>
              <w:rPr>
                <w:lang w:val="en-US"/>
              </w:rPr>
              <w:t xml:space="preserve"> education sector development priorities, primarily through the </w:t>
            </w:r>
            <w:proofErr w:type="spellStart"/>
            <w:r>
              <w:rPr>
                <w:lang w:val="en-US"/>
              </w:rPr>
              <w:t>MoE</w:t>
            </w:r>
            <w:proofErr w:type="spellEnd"/>
            <w:r>
              <w:rPr>
                <w:lang w:val="en-US"/>
              </w:rPr>
              <w:t xml:space="preserve"> and support for TVET</w:t>
            </w:r>
            <w:r w:rsidR="00084C94">
              <w:rPr>
                <w:lang w:val="en-US"/>
              </w:rPr>
              <w:t>.</w:t>
            </w:r>
          </w:p>
          <w:p w:rsidR="00A0498E" w:rsidRDefault="00A0498E" w:rsidP="00501831">
            <w:pPr>
              <w:pStyle w:val="ListParagraph"/>
              <w:numPr>
                <w:ilvl w:val="0"/>
                <w:numId w:val="16"/>
              </w:numPr>
              <w:ind w:left="318" w:hanging="284"/>
              <w:rPr>
                <w:lang w:val="en-US"/>
              </w:rPr>
            </w:pPr>
            <w:r>
              <w:rPr>
                <w:lang w:val="en-US"/>
              </w:rPr>
              <w:t>Provision of technical assistance for service delivery, analytical studies and reviews.</w:t>
            </w:r>
          </w:p>
          <w:p w:rsidR="00A0498E" w:rsidRDefault="00A0498E" w:rsidP="00501831">
            <w:pPr>
              <w:pStyle w:val="ListParagraph"/>
              <w:numPr>
                <w:ilvl w:val="0"/>
                <w:numId w:val="16"/>
              </w:numPr>
              <w:ind w:left="318" w:hanging="284"/>
              <w:rPr>
                <w:lang w:val="en-US"/>
              </w:rPr>
            </w:pPr>
            <w:r>
              <w:rPr>
                <w:lang w:val="en-US"/>
              </w:rPr>
              <w:t>Australian funding of the Australian Pacific Training College (including funding of courses delivered in Vanuatu).</w:t>
            </w:r>
          </w:p>
          <w:p w:rsidR="00A0498E" w:rsidRDefault="00A0498E" w:rsidP="00501831">
            <w:pPr>
              <w:pStyle w:val="ListParagraph"/>
              <w:numPr>
                <w:ilvl w:val="0"/>
                <w:numId w:val="16"/>
              </w:numPr>
              <w:ind w:left="318" w:hanging="284"/>
              <w:rPr>
                <w:lang w:val="en-US"/>
              </w:rPr>
            </w:pPr>
            <w:r>
              <w:rPr>
                <w:lang w:val="en-US"/>
              </w:rPr>
              <w:t xml:space="preserve">Provision of volunteers to schools and TVET </w:t>
            </w:r>
            <w:proofErr w:type="spellStart"/>
            <w:r>
              <w:rPr>
                <w:lang w:val="en-US"/>
              </w:rPr>
              <w:t>centres</w:t>
            </w:r>
            <w:proofErr w:type="spellEnd"/>
            <w:r>
              <w:rPr>
                <w:lang w:val="en-US"/>
              </w:rPr>
              <w:t xml:space="preserve"> (e.g. JICA, US Peace Corps).   </w:t>
            </w:r>
          </w:p>
        </w:tc>
      </w:tr>
      <w:tr w:rsidR="00A0498E" w:rsidTr="003132B9">
        <w:tblPrEx>
          <w:jc w:val="left"/>
        </w:tblPrEx>
        <w:tc>
          <w:tcPr>
            <w:tcW w:w="1809" w:type="dxa"/>
          </w:tcPr>
          <w:p w:rsidR="00A0498E" w:rsidRDefault="00A0498E" w:rsidP="00D4253E">
            <w:pPr>
              <w:rPr>
                <w:lang w:val="en-US"/>
              </w:rPr>
            </w:pPr>
            <w:proofErr w:type="spellStart"/>
            <w:r>
              <w:rPr>
                <w:lang w:val="en-US"/>
              </w:rPr>
              <w:t>Non Government</w:t>
            </w:r>
            <w:proofErr w:type="spellEnd"/>
            <w:r>
              <w:rPr>
                <w:lang w:val="en-US"/>
              </w:rPr>
              <w:t xml:space="preserve"> </w:t>
            </w:r>
            <w:proofErr w:type="spellStart"/>
            <w:r>
              <w:rPr>
                <w:lang w:val="en-US"/>
              </w:rPr>
              <w:t>Organisations</w:t>
            </w:r>
            <w:proofErr w:type="spellEnd"/>
            <w:r>
              <w:rPr>
                <w:lang w:val="en-US"/>
              </w:rPr>
              <w:t xml:space="preserve"> </w:t>
            </w:r>
          </w:p>
        </w:tc>
        <w:tc>
          <w:tcPr>
            <w:tcW w:w="7761" w:type="dxa"/>
          </w:tcPr>
          <w:p w:rsidR="00A0498E" w:rsidRDefault="00A0498E" w:rsidP="00501831">
            <w:pPr>
              <w:pStyle w:val="ListParagraph"/>
              <w:numPr>
                <w:ilvl w:val="0"/>
                <w:numId w:val="16"/>
              </w:numPr>
              <w:ind w:left="318" w:hanging="284"/>
              <w:rPr>
                <w:lang w:val="en-US"/>
              </w:rPr>
            </w:pPr>
            <w:r>
              <w:rPr>
                <w:lang w:val="en-US"/>
              </w:rPr>
              <w:t>Via Churches, provision of ECE, primary and secondary education services.</w:t>
            </w:r>
          </w:p>
          <w:p w:rsidR="00A0498E" w:rsidRDefault="00A0498E" w:rsidP="00501831">
            <w:pPr>
              <w:pStyle w:val="ListParagraph"/>
              <w:numPr>
                <w:ilvl w:val="0"/>
                <w:numId w:val="16"/>
              </w:numPr>
              <w:ind w:left="318" w:hanging="284"/>
              <w:rPr>
                <w:lang w:val="en-US"/>
              </w:rPr>
            </w:pPr>
            <w:r>
              <w:rPr>
                <w:lang w:val="en-US"/>
              </w:rPr>
              <w:t>Via other NGOs, provision of support for ECE and TVET services in particular (including Vanuatu Chamber of Commerce in respect of TVET).</w:t>
            </w:r>
          </w:p>
          <w:p w:rsidR="00A0498E" w:rsidRDefault="00A0498E" w:rsidP="00501831">
            <w:pPr>
              <w:pStyle w:val="ListParagraph"/>
              <w:numPr>
                <w:ilvl w:val="0"/>
                <w:numId w:val="16"/>
              </w:numPr>
              <w:ind w:left="318" w:hanging="284"/>
              <w:rPr>
                <w:lang w:val="en-US"/>
              </w:rPr>
            </w:pPr>
            <w:r>
              <w:t xml:space="preserve">Via the </w:t>
            </w:r>
            <w:r w:rsidRPr="0055575B">
              <w:t>Vanuatu Rural Development &amp; Training Centre Association</w:t>
            </w:r>
            <w:r>
              <w:t xml:space="preserve"> (</w:t>
            </w:r>
            <w:r w:rsidRPr="0055575B">
              <w:t>VRDCTA)</w:t>
            </w:r>
            <w:r>
              <w:t>, coordination of Rural Training Centre services.</w:t>
            </w:r>
          </w:p>
          <w:p w:rsidR="00A0498E" w:rsidRDefault="00A0498E" w:rsidP="00501831">
            <w:pPr>
              <w:pStyle w:val="ListParagraph"/>
              <w:numPr>
                <w:ilvl w:val="0"/>
                <w:numId w:val="16"/>
              </w:numPr>
              <w:ind w:left="318" w:hanging="284"/>
              <w:rPr>
                <w:lang w:val="en-US"/>
              </w:rPr>
            </w:pPr>
            <w:r>
              <w:rPr>
                <w:lang w:val="en-US"/>
              </w:rPr>
              <w:lastRenderedPageBreak/>
              <w:t xml:space="preserve">Via some 31 Rural Training </w:t>
            </w:r>
            <w:proofErr w:type="spellStart"/>
            <w:r>
              <w:rPr>
                <w:lang w:val="en-US"/>
              </w:rPr>
              <w:t>Centres</w:t>
            </w:r>
            <w:proofErr w:type="spellEnd"/>
            <w:r>
              <w:rPr>
                <w:lang w:val="en-US"/>
              </w:rPr>
              <w:t xml:space="preserve"> in 2011, delivery of rural vocational training to some 1,200 participants in 2011.</w:t>
            </w:r>
          </w:p>
        </w:tc>
      </w:tr>
      <w:tr w:rsidR="00A0498E" w:rsidTr="003132B9">
        <w:tblPrEx>
          <w:jc w:val="left"/>
        </w:tblPrEx>
        <w:tc>
          <w:tcPr>
            <w:tcW w:w="1809" w:type="dxa"/>
          </w:tcPr>
          <w:p w:rsidR="00A0498E" w:rsidRDefault="00A0498E" w:rsidP="009C69CD">
            <w:pPr>
              <w:rPr>
                <w:lang w:val="en-US"/>
              </w:rPr>
            </w:pPr>
            <w:r>
              <w:rPr>
                <w:lang w:val="en-US"/>
              </w:rPr>
              <w:lastRenderedPageBreak/>
              <w:t>Communities</w:t>
            </w:r>
          </w:p>
        </w:tc>
        <w:tc>
          <w:tcPr>
            <w:tcW w:w="7761" w:type="dxa"/>
          </w:tcPr>
          <w:p w:rsidR="00A0498E" w:rsidRDefault="00A0498E" w:rsidP="00501831">
            <w:pPr>
              <w:pStyle w:val="ListParagraph"/>
              <w:numPr>
                <w:ilvl w:val="0"/>
                <w:numId w:val="16"/>
              </w:numPr>
              <w:ind w:left="318" w:hanging="284"/>
              <w:rPr>
                <w:lang w:val="en-US"/>
              </w:rPr>
            </w:pPr>
            <w:r>
              <w:rPr>
                <w:lang w:val="en-US"/>
              </w:rPr>
              <w:t>Participation in school councils.</w:t>
            </w:r>
          </w:p>
          <w:p w:rsidR="00A0498E" w:rsidRDefault="00A0498E" w:rsidP="00501831">
            <w:pPr>
              <w:pStyle w:val="ListParagraph"/>
              <w:numPr>
                <w:ilvl w:val="0"/>
                <w:numId w:val="16"/>
              </w:numPr>
              <w:ind w:left="318" w:hanging="284"/>
              <w:rPr>
                <w:lang w:val="en-US"/>
              </w:rPr>
            </w:pPr>
            <w:r>
              <w:rPr>
                <w:lang w:val="en-US"/>
              </w:rPr>
              <w:t>Fund raising activities and provision of services in kind (e.g. assistance with school maintenance)</w:t>
            </w:r>
            <w:r w:rsidR="00084C94">
              <w:rPr>
                <w:lang w:val="en-US"/>
              </w:rPr>
              <w:t>.</w:t>
            </w:r>
          </w:p>
          <w:p w:rsidR="00A0498E" w:rsidRDefault="00A0498E" w:rsidP="00501831">
            <w:pPr>
              <w:pStyle w:val="ListParagraph"/>
              <w:numPr>
                <w:ilvl w:val="0"/>
                <w:numId w:val="16"/>
              </w:numPr>
              <w:ind w:left="318" w:hanging="284"/>
              <w:rPr>
                <w:lang w:val="en-US"/>
              </w:rPr>
            </w:pPr>
            <w:r>
              <w:rPr>
                <w:lang w:val="en-US"/>
              </w:rPr>
              <w:t xml:space="preserve">Appointment of unpaid or minimally paid teachers/teacher’s aides in the ECE </w:t>
            </w:r>
            <w:proofErr w:type="spellStart"/>
            <w:r>
              <w:rPr>
                <w:lang w:val="en-US"/>
              </w:rPr>
              <w:t>centres</w:t>
            </w:r>
            <w:proofErr w:type="spellEnd"/>
            <w:r>
              <w:rPr>
                <w:lang w:val="en-US"/>
              </w:rPr>
              <w:t xml:space="preserve"> and primary schools in particular. </w:t>
            </w:r>
          </w:p>
        </w:tc>
      </w:tr>
    </w:tbl>
    <w:p w:rsidR="00E22CA8" w:rsidRDefault="00E22CA8" w:rsidP="00E22CA8"/>
    <w:p w:rsidR="00E22CA8" w:rsidRDefault="00E22CA8" w:rsidP="00CD4F99">
      <w:pPr>
        <w:jc w:val="both"/>
      </w:pPr>
      <w:r>
        <w:t>Amongst these numerous institutions the Ministry of Education is by far and away the largest player</w:t>
      </w:r>
      <w:r w:rsidR="00227A4B">
        <w:t xml:space="preserve"> within the </w:t>
      </w:r>
      <w:proofErr w:type="spellStart"/>
      <w:r w:rsidR="00227A4B">
        <w:t>GoV</w:t>
      </w:r>
      <w:proofErr w:type="spellEnd"/>
      <w:r>
        <w:t xml:space="preserve"> in terms of both its annual funding </w:t>
      </w:r>
      <w:r w:rsidR="00227A4B">
        <w:t xml:space="preserve">(some 26% of </w:t>
      </w:r>
      <w:r w:rsidR="0014712A">
        <w:t xml:space="preserve">total </w:t>
      </w:r>
      <w:proofErr w:type="spellStart"/>
      <w:r w:rsidR="00227A4B">
        <w:t>GoV</w:t>
      </w:r>
      <w:proofErr w:type="spellEnd"/>
      <w:r w:rsidR="00227A4B">
        <w:t xml:space="preserve"> recur</w:t>
      </w:r>
      <w:r w:rsidR="00CD4F99">
        <w:t>r</w:t>
      </w:r>
      <w:r w:rsidR="00227A4B">
        <w:t xml:space="preserve">ent expenditure in 2011) </w:t>
      </w:r>
      <w:r>
        <w:t>and staffing</w:t>
      </w:r>
      <w:r w:rsidR="00227A4B">
        <w:t xml:space="preserve"> (a total of some 2,</w:t>
      </w:r>
      <w:r w:rsidR="00CD4F99">
        <w:t>2</w:t>
      </w:r>
      <w:r w:rsidR="00227A4B">
        <w:t xml:space="preserve">00 Ministry and </w:t>
      </w:r>
      <w:proofErr w:type="spellStart"/>
      <w:r w:rsidR="00CD4F99">
        <w:t>GoV</w:t>
      </w:r>
      <w:proofErr w:type="spellEnd"/>
      <w:r w:rsidR="00CD4F99">
        <w:t xml:space="preserve">-funded </w:t>
      </w:r>
      <w:r w:rsidR="00227A4B">
        <w:t xml:space="preserve">teaching staff </w:t>
      </w:r>
      <w:r w:rsidR="00CD4F99">
        <w:t xml:space="preserve">on the </w:t>
      </w:r>
      <w:proofErr w:type="spellStart"/>
      <w:r w:rsidR="00CD4F99">
        <w:t>GoV</w:t>
      </w:r>
      <w:proofErr w:type="spellEnd"/>
      <w:r w:rsidR="00CD4F99">
        <w:t xml:space="preserve"> payroll </w:t>
      </w:r>
      <w:r w:rsidR="00227A4B">
        <w:t>in 2011)</w:t>
      </w:r>
      <w:r w:rsidR="00CD4F99">
        <w:t>.</w:t>
      </w:r>
    </w:p>
    <w:p w:rsidR="00CE1ECF" w:rsidRPr="00447E83" w:rsidRDefault="00447E83" w:rsidP="00160C19">
      <w:pPr>
        <w:pStyle w:val="Heading2"/>
      </w:pPr>
      <w:bookmarkStart w:id="39" w:name="_Toc341210781"/>
      <w:bookmarkStart w:id="40" w:name="_Toc341210901"/>
      <w:bookmarkStart w:id="41" w:name="_Toc341265719"/>
      <w:bookmarkStart w:id="42" w:name="_Toc343257281"/>
      <w:bookmarkStart w:id="43" w:name="_Toc343257395"/>
      <w:bookmarkStart w:id="44" w:name="_Toc348711316"/>
      <w:r w:rsidRPr="00447E83">
        <w:t xml:space="preserve">1.4 </w:t>
      </w:r>
      <w:r w:rsidR="002E1551">
        <w:t>Budget planning and financial management responsibilities</w:t>
      </w:r>
      <w:bookmarkEnd w:id="39"/>
      <w:bookmarkEnd w:id="40"/>
      <w:bookmarkEnd w:id="41"/>
      <w:bookmarkEnd w:id="42"/>
      <w:bookmarkEnd w:id="43"/>
      <w:bookmarkEnd w:id="44"/>
    </w:p>
    <w:p w:rsidR="00447E83" w:rsidRDefault="00447E83" w:rsidP="00447E83"/>
    <w:p w:rsidR="00384C91" w:rsidRDefault="00CD4F99" w:rsidP="00CD4F99">
      <w:pPr>
        <w:jc w:val="both"/>
      </w:pPr>
      <w:r>
        <w:t>Broad r</w:t>
      </w:r>
      <w:r w:rsidR="00E22CA8">
        <w:t xml:space="preserve">esponsibilities for </w:t>
      </w:r>
      <w:proofErr w:type="spellStart"/>
      <w:r>
        <w:t>GoV</w:t>
      </w:r>
      <w:proofErr w:type="spellEnd"/>
      <w:r w:rsidR="00384C91">
        <w:t xml:space="preserve"> </w:t>
      </w:r>
      <w:r>
        <w:t>budgeting, resource allocation and expenditure</w:t>
      </w:r>
      <w:r w:rsidR="00384C91">
        <w:t xml:space="preserve">, financial reporting </w:t>
      </w:r>
      <w:r>
        <w:t xml:space="preserve">and audit functions within the education sector are summarised in Table </w:t>
      </w:r>
      <w:r w:rsidR="000F65C3">
        <w:t>4</w:t>
      </w:r>
      <w:r>
        <w:t>.</w:t>
      </w:r>
    </w:p>
    <w:p w:rsidR="00384C91" w:rsidRDefault="00384C91" w:rsidP="00CD4F99">
      <w:pPr>
        <w:jc w:val="both"/>
      </w:pPr>
    </w:p>
    <w:tbl>
      <w:tblPr>
        <w:tblStyle w:val="TableGrid"/>
        <w:tblW w:w="0" w:type="auto"/>
        <w:tblLook w:val="04A0" w:firstRow="1" w:lastRow="0" w:firstColumn="1" w:lastColumn="0" w:noHBand="0" w:noVBand="1"/>
        <w:tblCaption w:val="budget planning and financial management responsibilities"/>
        <w:tblDescription w:val="Describes which parts of GoV are responsible for budget planning"/>
      </w:tblPr>
      <w:tblGrid>
        <w:gridCol w:w="1951"/>
        <w:gridCol w:w="7619"/>
      </w:tblGrid>
      <w:tr w:rsidR="00384C91" w:rsidTr="00D339A4">
        <w:trPr>
          <w:tblHeader/>
        </w:trPr>
        <w:tc>
          <w:tcPr>
            <w:tcW w:w="9570" w:type="dxa"/>
            <w:gridSpan w:val="2"/>
            <w:shd w:val="clear" w:color="auto" w:fill="BFBFBF" w:themeFill="background1" w:themeFillShade="BF"/>
          </w:tcPr>
          <w:p w:rsidR="00384C91" w:rsidRDefault="00384C91" w:rsidP="000F65C3">
            <w:pPr>
              <w:jc w:val="both"/>
            </w:pPr>
            <w:r>
              <w:t xml:space="preserve">Table </w:t>
            </w:r>
            <w:r w:rsidR="000F65C3">
              <w:t>4</w:t>
            </w:r>
            <w:r>
              <w:t xml:space="preserve">: </w:t>
            </w:r>
            <w:r w:rsidR="002E1551">
              <w:t>Budget planning and financial management responsibilities</w:t>
            </w:r>
          </w:p>
        </w:tc>
      </w:tr>
      <w:tr w:rsidR="00384C91" w:rsidRPr="00A56227" w:rsidTr="002E1551">
        <w:tc>
          <w:tcPr>
            <w:tcW w:w="1951" w:type="dxa"/>
          </w:tcPr>
          <w:p w:rsidR="00384C91" w:rsidRDefault="002E1551" w:rsidP="00CD4F99">
            <w:pPr>
              <w:jc w:val="both"/>
            </w:pPr>
            <w:r>
              <w:t>Budget planning</w:t>
            </w:r>
          </w:p>
        </w:tc>
        <w:tc>
          <w:tcPr>
            <w:tcW w:w="7619" w:type="dxa"/>
          </w:tcPr>
          <w:p w:rsidR="001C1D81" w:rsidRPr="00A56227" w:rsidRDefault="001C1D81" w:rsidP="001C1D81">
            <w:pPr>
              <w:jc w:val="both"/>
              <w:rPr>
                <w:sz w:val="20"/>
                <w:szCs w:val="20"/>
              </w:rPr>
            </w:pPr>
            <w:r w:rsidRPr="00A56227">
              <w:rPr>
                <w:sz w:val="20"/>
                <w:szCs w:val="20"/>
                <w:u w:val="single"/>
              </w:rPr>
              <w:t>Line Ministries</w:t>
            </w:r>
            <w:r w:rsidRPr="00A56227">
              <w:rPr>
                <w:sz w:val="20"/>
                <w:szCs w:val="20"/>
              </w:rPr>
              <w:t xml:space="preserve"> are responsible for:</w:t>
            </w:r>
          </w:p>
          <w:p w:rsidR="001C1D81" w:rsidRPr="00A56227" w:rsidRDefault="0086762D" w:rsidP="00501831">
            <w:pPr>
              <w:pStyle w:val="ListParagraph"/>
              <w:numPr>
                <w:ilvl w:val="0"/>
                <w:numId w:val="19"/>
              </w:numPr>
              <w:ind w:left="317" w:hanging="283"/>
              <w:jc w:val="both"/>
              <w:rPr>
                <w:sz w:val="20"/>
                <w:szCs w:val="20"/>
              </w:rPr>
            </w:pPr>
            <w:r w:rsidRPr="00A56227">
              <w:rPr>
                <w:sz w:val="20"/>
                <w:szCs w:val="20"/>
              </w:rPr>
              <w:t>P</w:t>
            </w:r>
            <w:r w:rsidR="001C1D81" w:rsidRPr="00A56227">
              <w:rPr>
                <w:sz w:val="20"/>
                <w:szCs w:val="20"/>
              </w:rPr>
              <w:t>reparation of annual budget submissions including proposed budget allocations within recurrent budget expenditure ceilings and new policy proposals for additional funding</w:t>
            </w:r>
            <w:r w:rsidRPr="00A56227">
              <w:rPr>
                <w:sz w:val="20"/>
                <w:szCs w:val="20"/>
              </w:rPr>
              <w:t>.</w:t>
            </w:r>
          </w:p>
          <w:p w:rsidR="001C1D81" w:rsidRPr="00A56227" w:rsidRDefault="0086762D" w:rsidP="00501831">
            <w:pPr>
              <w:pStyle w:val="ListParagraph"/>
              <w:numPr>
                <w:ilvl w:val="0"/>
                <w:numId w:val="19"/>
              </w:numPr>
              <w:ind w:left="317" w:hanging="283"/>
              <w:jc w:val="both"/>
              <w:rPr>
                <w:sz w:val="20"/>
                <w:szCs w:val="20"/>
              </w:rPr>
            </w:pPr>
            <w:r w:rsidRPr="00A56227">
              <w:rPr>
                <w:sz w:val="20"/>
                <w:szCs w:val="20"/>
              </w:rPr>
              <w:t>B</w:t>
            </w:r>
            <w:r w:rsidR="001C1D81" w:rsidRPr="00A56227">
              <w:rPr>
                <w:sz w:val="20"/>
                <w:szCs w:val="20"/>
              </w:rPr>
              <w:t>udget allocations to programs and cost centres consistent with the aggregate budget ceilings determined by the Ministerial Budget Committee</w:t>
            </w:r>
            <w:r w:rsidRPr="00A56227">
              <w:rPr>
                <w:sz w:val="20"/>
                <w:szCs w:val="20"/>
              </w:rPr>
              <w:t>.</w:t>
            </w:r>
          </w:p>
          <w:p w:rsidR="00A56227" w:rsidRDefault="0086762D" w:rsidP="00501831">
            <w:pPr>
              <w:pStyle w:val="ListParagraph"/>
              <w:numPr>
                <w:ilvl w:val="0"/>
                <w:numId w:val="19"/>
              </w:numPr>
              <w:ind w:left="317" w:hanging="283"/>
              <w:jc w:val="both"/>
              <w:rPr>
                <w:sz w:val="20"/>
                <w:szCs w:val="20"/>
              </w:rPr>
            </w:pPr>
            <w:r w:rsidRPr="00A56227">
              <w:rPr>
                <w:sz w:val="20"/>
                <w:szCs w:val="20"/>
              </w:rPr>
              <w:t xml:space="preserve">Negotiation and agreement with </w:t>
            </w:r>
            <w:r w:rsidR="00084C94">
              <w:rPr>
                <w:sz w:val="20"/>
                <w:szCs w:val="20"/>
              </w:rPr>
              <w:t>d</w:t>
            </w:r>
            <w:r w:rsidRPr="00A56227">
              <w:rPr>
                <w:sz w:val="20"/>
                <w:szCs w:val="20"/>
              </w:rPr>
              <w:t xml:space="preserve">evelopment </w:t>
            </w:r>
            <w:r w:rsidR="00084C94">
              <w:rPr>
                <w:sz w:val="20"/>
                <w:szCs w:val="20"/>
              </w:rPr>
              <w:t>p</w:t>
            </w:r>
            <w:r w:rsidRPr="00A56227">
              <w:rPr>
                <w:sz w:val="20"/>
                <w:szCs w:val="20"/>
              </w:rPr>
              <w:t>artners, in consultation with MFEM and the PMO, of Development Partner funding contributions for the year ahead and the development activities this funding is to support.</w:t>
            </w:r>
          </w:p>
          <w:p w:rsidR="0086762D" w:rsidRPr="00A56227" w:rsidRDefault="0086762D" w:rsidP="00A56227">
            <w:pPr>
              <w:jc w:val="both"/>
              <w:rPr>
                <w:sz w:val="20"/>
                <w:szCs w:val="20"/>
              </w:rPr>
            </w:pPr>
          </w:p>
          <w:p w:rsidR="001C1D81" w:rsidRPr="00A56227" w:rsidRDefault="001C1D81" w:rsidP="001C1D81">
            <w:pPr>
              <w:jc w:val="both"/>
              <w:rPr>
                <w:sz w:val="20"/>
                <w:szCs w:val="20"/>
              </w:rPr>
            </w:pPr>
            <w:r w:rsidRPr="00A56227">
              <w:rPr>
                <w:sz w:val="20"/>
                <w:szCs w:val="20"/>
                <w:u w:val="single"/>
              </w:rPr>
              <w:t>MFEM</w:t>
            </w:r>
            <w:r w:rsidRPr="00A56227">
              <w:rPr>
                <w:sz w:val="20"/>
                <w:szCs w:val="20"/>
              </w:rPr>
              <w:t xml:space="preserve"> is responsible for:</w:t>
            </w:r>
          </w:p>
          <w:p w:rsidR="001C1D81" w:rsidRPr="00A56227" w:rsidRDefault="0086762D" w:rsidP="00501831">
            <w:pPr>
              <w:pStyle w:val="ListParagraph"/>
              <w:numPr>
                <w:ilvl w:val="0"/>
                <w:numId w:val="16"/>
              </w:numPr>
              <w:ind w:left="318" w:hanging="284"/>
              <w:rPr>
                <w:sz w:val="20"/>
                <w:szCs w:val="20"/>
                <w:lang w:val="en-US"/>
              </w:rPr>
            </w:pPr>
            <w:r w:rsidRPr="00A56227">
              <w:rPr>
                <w:sz w:val="20"/>
                <w:szCs w:val="20"/>
                <w:lang w:val="en-US"/>
              </w:rPr>
              <w:t>M</w:t>
            </w:r>
            <w:r w:rsidR="001C1D81" w:rsidRPr="00A56227">
              <w:rPr>
                <w:sz w:val="20"/>
                <w:szCs w:val="20"/>
                <w:lang w:val="en-US"/>
              </w:rPr>
              <w:t xml:space="preserve">anagement of the </w:t>
            </w:r>
            <w:proofErr w:type="spellStart"/>
            <w:r w:rsidR="001C1D81" w:rsidRPr="00A56227">
              <w:rPr>
                <w:sz w:val="20"/>
                <w:szCs w:val="20"/>
                <w:lang w:val="en-US"/>
              </w:rPr>
              <w:t>GoV’s</w:t>
            </w:r>
            <w:proofErr w:type="spellEnd"/>
            <w:r w:rsidR="001C1D81" w:rsidRPr="00A56227">
              <w:rPr>
                <w:sz w:val="20"/>
                <w:szCs w:val="20"/>
                <w:lang w:val="en-US"/>
              </w:rPr>
              <w:t xml:space="preserve"> annual budget process including advice to the Ministerial Budget Committee on agency budget submissions, new policy proposals and the setting of aggregate agency expenditure ceilings.</w:t>
            </w:r>
          </w:p>
          <w:p w:rsidR="0086762D" w:rsidRDefault="0086762D" w:rsidP="00501831">
            <w:pPr>
              <w:pStyle w:val="ListParagraph"/>
              <w:numPr>
                <w:ilvl w:val="0"/>
                <w:numId w:val="20"/>
              </w:numPr>
              <w:ind w:left="317" w:hanging="283"/>
              <w:jc w:val="both"/>
              <w:rPr>
                <w:sz w:val="20"/>
                <w:szCs w:val="20"/>
              </w:rPr>
            </w:pPr>
            <w:r w:rsidRPr="00A56227">
              <w:rPr>
                <w:sz w:val="20"/>
                <w:szCs w:val="20"/>
              </w:rPr>
              <w:t xml:space="preserve">Participation with Line Ministries and the PMO in consultations with </w:t>
            </w:r>
            <w:r w:rsidR="00084C94">
              <w:rPr>
                <w:sz w:val="20"/>
                <w:szCs w:val="20"/>
              </w:rPr>
              <w:t>d</w:t>
            </w:r>
            <w:r w:rsidRPr="00A56227">
              <w:rPr>
                <w:sz w:val="20"/>
                <w:szCs w:val="20"/>
              </w:rPr>
              <w:t xml:space="preserve">evelopment </w:t>
            </w:r>
            <w:r w:rsidR="00084C94">
              <w:rPr>
                <w:sz w:val="20"/>
                <w:szCs w:val="20"/>
              </w:rPr>
              <w:t>p</w:t>
            </w:r>
            <w:r w:rsidRPr="00A56227">
              <w:rPr>
                <w:sz w:val="20"/>
                <w:szCs w:val="20"/>
              </w:rPr>
              <w:t xml:space="preserve">artners regarding </w:t>
            </w:r>
            <w:r w:rsidR="00084C94">
              <w:rPr>
                <w:sz w:val="20"/>
                <w:szCs w:val="20"/>
              </w:rPr>
              <w:t>d</w:t>
            </w:r>
            <w:r w:rsidRPr="00A56227">
              <w:rPr>
                <w:sz w:val="20"/>
                <w:szCs w:val="20"/>
              </w:rPr>
              <w:t>evelopment funding for the year ahead.</w:t>
            </w:r>
          </w:p>
          <w:p w:rsidR="00A56227" w:rsidRPr="00A56227" w:rsidRDefault="00A56227" w:rsidP="00A56227">
            <w:pPr>
              <w:jc w:val="both"/>
              <w:rPr>
                <w:sz w:val="20"/>
                <w:szCs w:val="20"/>
              </w:rPr>
            </w:pPr>
          </w:p>
          <w:p w:rsidR="00384C91" w:rsidRDefault="0086762D" w:rsidP="0086762D">
            <w:pPr>
              <w:jc w:val="both"/>
              <w:rPr>
                <w:sz w:val="20"/>
                <w:szCs w:val="20"/>
              </w:rPr>
            </w:pPr>
            <w:r w:rsidRPr="00A56227">
              <w:rPr>
                <w:sz w:val="20"/>
                <w:szCs w:val="20"/>
              </w:rPr>
              <w:t xml:space="preserve">The </w:t>
            </w:r>
            <w:r w:rsidRPr="00A56227">
              <w:rPr>
                <w:sz w:val="20"/>
                <w:szCs w:val="20"/>
                <w:u w:val="single"/>
              </w:rPr>
              <w:t>PMO</w:t>
            </w:r>
            <w:r w:rsidRPr="00A56227">
              <w:rPr>
                <w:sz w:val="20"/>
                <w:szCs w:val="20"/>
              </w:rPr>
              <w:t>,</w:t>
            </w:r>
            <w:r w:rsidR="001C1D81" w:rsidRPr="00A56227">
              <w:rPr>
                <w:sz w:val="20"/>
                <w:szCs w:val="20"/>
              </w:rPr>
              <w:t xml:space="preserve"> </w:t>
            </w:r>
            <w:r w:rsidRPr="00A56227">
              <w:rPr>
                <w:sz w:val="20"/>
                <w:szCs w:val="20"/>
              </w:rPr>
              <w:t>together with Line Ministries and MFEM, is responsible for advice to the Ministerial Budget Committee and the Council of Ministers on expenditure priorities and constraints.</w:t>
            </w:r>
          </w:p>
          <w:p w:rsidR="00A56227" w:rsidRPr="00A56227" w:rsidRDefault="00A56227" w:rsidP="0086762D">
            <w:pPr>
              <w:jc w:val="both"/>
              <w:rPr>
                <w:sz w:val="20"/>
                <w:szCs w:val="20"/>
              </w:rPr>
            </w:pPr>
          </w:p>
          <w:p w:rsidR="0086762D" w:rsidRPr="00A56227" w:rsidRDefault="0086762D" w:rsidP="00084C94">
            <w:pPr>
              <w:jc w:val="both"/>
              <w:rPr>
                <w:sz w:val="20"/>
                <w:szCs w:val="20"/>
              </w:rPr>
            </w:pPr>
            <w:r w:rsidRPr="00A56227">
              <w:rPr>
                <w:sz w:val="20"/>
                <w:szCs w:val="20"/>
              </w:rPr>
              <w:t xml:space="preserve">The </w:t>
            </w:r>
            <w:r w:rsidRPr="00A56227">
              <w:rPr>
                <w:sz w:val="20"/>
                <w:szCs w:val="20"/>
                <w:u w:val="single"/>
              </w:rPr>
              <w:t>Ministerial Budget Committee</w:t>
            </w:r>
            <w:r w:rsidRPr="00A56227">
              <w:rPr>
                <w:sz w:val="20"/>
                <w:szCs w:val="20"/>
              </w:rPr>
              <w:t xml:space="preserve"> and, subsequently, the </w:t>
            </w:r>
            <w:r w:rsidRPr="00A56227">
              <w:rPr>
                <w:sz w:val="20"/>
                <w:szCs w:val="20"/>
                <w:u w:val="single"/>
              </w:rPr>
              <w:t>Council of Ministers</w:t>
            </w:r>
            <w:r w:rsidRPr="00A56227">
              <w:rPr>
                <w:sz w:val="20"/>
                <w:szCs w:val="20"/>
              </w:rPr>
              <w:t xml:space="preserve"> are responsible for approval of </w:t>
            </w:r>
            <w:r w:rsidR="00993D67" w:rsidRPr="00A56227">
              <w:rPr>
                <w:sz w:val="20"/>
                <w:szCs w:val="20"/>
              </w:rPr>
              <w:t xml:space="preserve">the annual budget estimates, including those for </w:t>
            </w:r>
            <w:r w:rsidR="00084C94">
              <w:rPr>
                <w:sz w:val="20"/>
                <w:szCs w:val="20"/>
              </w:rPr>
              <w:t>d</w:t>
            </w:r>
            <w:r w:rsidR="00993D67" w:rsidRPr="00A56227">
              <w:rPr>
                <w:sz w:val="20"/>
                <w:szCs w:val="20"/>
              </w:rPr>
              <w:t xml:space="preserve">evelopment </w:t>
            </w:r>
            <w:r w:rsidR="00084C94">
              <w:rPr>
                <w:sz w:val="20"/>
                <w:szCs w:val="20"/>
              </w:rPr>
              <w:t>p</w:t>
            </w:r>
            <w:r w:rsidR="00993D67" w:rsidRPr="00A56227">
              <w:rPr>
                <w:sz w:val="20"/>
                <w:szCs w:val="20"/>
              </w:rPr>
              <w:t xml:space="preserve">artner funding insofar as these are channelled through the </w:t>
            </w:r>
            <w:proofErr w:type="spellStart"/>
            <w:r w:rsidR="00993D67" w:rsidRPr="00A56227">
              <w:rPr>
                <w:sz w:val="20"/>
                <w:szCs w:val="20"/>
              </w:rPr>
              <w:t>GoV</w:t>
            </w:r>
            <w:proofErr w:type="spellEnd"/>
            <w:r w:rsidR="00993D67" w:rsidRPr="00A56227">
              <w:rPr>
                <w:sz w:val="20"/>
                <w:szCs w:val="20"/>
              </w:rPr>
              <w:t xml:space="preserve"> Development Fund, and submission of these estimates to the National Parliament for appropriation. </w:t>
            </w:r>
          </w:p>
        </w:tc>
      </w:tr>
      <w:tr w:rsidR="002E1551" w:rsidRPr="00A56227" w:rsidTr="002E1551">
        <w:tc>
          <w:tcPr>
            <w:tcW w:w="1951" w:type="dxa"/>
          </w:tcPr>
          <w:p w:rsidR="002E1551" w:rsidRDefault="001C1D81" w:rsidP="00CD4F99">
            <w:pPr>
              <w:jc w:val="both"/>
            </w:pPr>
            <w:r>
              <w:t>Budget execution</w:t>
            </w:r>
          </w:p>
        </w:tc>
        <w:tc>
          <w:tcPr>
            <w:tcW w:w="7619" w:type="dxa"/>
          </w:tcPr>
          <w:p w:rsidR="00993D67" w:rsidRPr="00A56227" w:rsidRDefault="00993D67" w:rsidP="00CD4F99">
            <w:pPr>
              <w:jc w:val="both"/>
              <w:rPr>
                <w:sz w:val="20"/>
                <w:szCs w:val="20"/>
              </w:rPr>
            </w:pPr>
            <w:r w:rsidRPr="00A56227">
              <w:rPr>
                <w:sz w:val="20"/>
                <w:szCs w:val="20"/>
                <w:u w:val="single"/>
              </w:rPr>
              <w:t>MFEM</w:t>
            </w:r>
            <w:r w:rsidRPr="00A56227">
              <w:rPr>
                <w:sz w:val="20"/>
                <w:szCs w:val="20"/>
              </w:rPr>
              <w:t xml:space="preserve"> is responsible for:</w:t>
            </w:r>
          </w:p>
          <w:p w:rsidR="00993D67" w:rsidRPr="00A56227" w:rsidRDefault="003707DE" w:rsidP="00501831">
            <w:pPr>
              <w:pStyle w:val="ListParagraph"/>
              <w:numPr>
                <w:ilvl w:val="0"/>
                <w:numId w:val="20"/>
              </w:numPr>
              <w:ind w:left="317" w:hanging="283"/>
              <w:jc w:val="both"/>
              <w:rPr>
                <w:sz w:val="20"/>
                <w:szCs w:val="20"/>
              </w:rPr>
            </w:pPr>
            <w:r w:rsidRPr="00A56227">
              <w:rPr>
                <w:sz w:val="20"/>
                <w:szCs w:val="20"/>
              </w:rPr>
              <w:t>T</w:t>
            </w:r>
            <w:r w:rsidR="00993D67" w:rsidRPr="00A56227">
              <w:rPr>
                <w:sz w:val="20"/>
                <w:szCs w:val="20"/>
              </w:rPr>
              <w:t xml:space="preserve">he issue to Line Ministries of </w:t>
            </w:r>
            <w:r w:rsidR="00120264">
              <w:rPr>
                <w:sz w:val="20"/>
                <w:szCs w:val="20"/>
              </w:rPr>
              <w:t xml:space="preserve">authorities </w:t>
            </w:r>
            <w:r w:rsidR="00993D67" w:rsidRPr="00A56227">
              <w:rPr>
                <w:sz w:val="20"/>
                <w:szCs w:val="20"/>
              </w:rPr>
              <w:t>for their expenditures based on estimates of within-year cash flow requirements</w:t>
            </w:r>
            <w:r w:rsidRPr="00A56227">
              <w:rPr>
                <w:sz w:val="20"/>
                <w:szCs w:val="20"/>
              </w:rPr>
              <w:t>.</w:t>
            </w:r>
          </w:p>
          <w:p w:rsidR="00993D67" w:rsidRPr="00A56227" w:rsidRDefault="003707DE" w:rsidP="00501831">
            <w:pPr>
              <w:pStyle w:val="ListParagraph"/>
              <w:numPr>
                <w:ilvl w:val="0"/>
                <w:numId w:val="20"/>
              </w:numPr>
              <w:ind w:left="317" w:hanging="283"/>
              <w:jc w:val="both"/>
              <w:rPr>
                <w:sz w:val="20"/>
                <w:szCs w:val="20"/>
              </w:rPr>
            </w:pPr>
            <w:r w:rsidRPr="00A56227">
              <w:rPr>
                <w:sz w:val="20"/>
                <w:szCs w:val="20"/>
              </w:rPr>
              <w:t>W</w:t>
            </w:r>
            <w:r w:rsidR="00993D67" w:rsidRPr="00A56227">
              <w:rPr>
                <w:sz w:val="20"/>
                <w:szCs w:val="20"/>
              </w:rPr>
              <w:t>ithin-year expenditure monitoring and consideration of requests for supplementary budgets</w:t>
            </w:r>
            <w:r w:rsidRPr="00A56227">
              <w:rPr>
                <w:sz w:val="20"/>
                <w:szCs w:val="20"/>
              </w:rPr>
              <w:t>.</w:t>
            </w:r>
          </w:p>
          <w:p w:rsidR="00993D67" w:rsidRPr="00A56227" w:rsidRDefault="003707DE" w:rsidP="00501831">
            <w:pPr>
              <w:pStyle w:val="ListParagraph"/>
              <w:numPr>
                <w:ilvl w:val="0"/>
                <w:numId w:val="20"/>
              </w:numPr>
              <w:ind w:left="317" w:hanging="283"/>
              <w:jc w:val="both"/>
              <w:rPr>
                <w:sz w:val="20"/>
                <w:szCs w:val="20"/>
              </w:rPr>
            </w:pPr>
            <w:r w:rsidRPr="00A56227">
              <w:rPr>
                <w:sz w:val="20"/>
                <w:szCs w:val="20"/>
              </w:rPr>
              <w:t>B</w:t>
            </w:r>
            <w:r w:rsidR="00993D67" w:rsidRPr="00A56227">
              <w:rPr>
                <w:sz w:val="20"/>
                <w:szCs w:val="20"/>
              </w:rPr>
              <w:t xml:space="preserve">ased on payroll lists provided by Line Ministries, payment of the </w:t>
            </w:r>
            <w:proofErr w:type="spellStart"/>
            <w:r w:rsidR="00993D67" w:rsidRPr="00A56227">
              <w:rPr>
                <w:sz w:val="20"/>
                <w:szCs w:val="20"/>
              </w:rPr>
              <w:t>GoV</w:t>
            </w:r>
            <w:proofErr w:type="spellEnd"/>
            <w:r w:rsidR="00993D67" w:rsidRPr="00A56227">
              <w:rPr>
                <w:sz w:val="20"/>
                <w:szCs w:val="20"/>
              </w:rPr>
              <w:t xml:space="preserve"> payroll</w:t>
            </w:r>
            <w:r w:rsidRPr="00A56227">
              <w:rPr>
                <w:sz w:val="20"/>
                <w:szCs w:val="20"/>
              </w:rPr>
              <w:t xml:space="preserve"> (including teachers’ salaries).</w:t>
            </w:r>
          </w:p>
          <w:p w:rsidR="002E1551" w:rsidRDefault="003707DE" w:rsidP="00501831">
            <w:pPr>
              <w:pStyle w:val="ListParagraph"/>
              <w:numPr>
                <w:ilvl w:val="0"/>
                <w:numId w:val="20"/>
              </w:numPr>
              <w:ind w:left="317" w:hanging="283"/>
              <w:jc w:val="both"/>
              <w:rPr>
                <w:sz w:val="20"/>
                <w:szCs w:val="20"/>
              </w:rPr>
            </w:pPr>
            <w:r w:rsidRPr="00A56227">
              <w:rPr>
                <w:sz w:val="20"/>
                <w:szCs w:val="20"/>
              </w:rPr>
              <w:t>B</w:t>
            </w:r>
            <w:r w:rsidR="00993D67" w:rsidRPr="00A56227">
              <w:rPr>
                <w:sz w:val="20"/>
                <w:szCs w:val="20"/>
              </w:rPr>
              <w:t xml:space="preserve">ased on Local Purchase Orders provided by Line Ministries, </w:t>
            </w:r>
            <w:r w:rsidRPr="00A56227">
              <w:rPr>
                <w:sz w:val="20"/>
                <w:szCs w:val="20"/>
              </w:rPr>
              <w:t>payments to other suppliers of goods and services (including the payment of school grants).</w:t>
            </w:r>
          </w:p>
          <w:p w:rsidR="00A56227" w:rsidRPr="00A56227" w:rsidRDefault="00A56227" w:rsidP="00A56227">
            <w:pPr>
              <w:jc w:val="both"/>
              <w:rPr>
                <w:sz w:val="20"/>
                <w:szCs w:val="20"/>
              </w:rPr>
            </w:pPr>
          </w:p>
          <w:p w:rsidR="003707DE" w:rsidRPr="00A56227" w:rsidRDefault="003707DE" w:rsidP="003707DE">
            <w:pPr>
              <w:jc w:val="both"/>
              <w:rPr>
                <w:sz w:val="20"/>
                <w:szCs w:val="20"/>
              </w:rPr>
            </w:pPr>
            <w:r w:rsidRPr="00A56227">
              <w:rPr>
                <w:sz w:val="20"/>
                <w:szCs w:val="20"/>
                <w:u w:val="single"/>
              </w:rPr>
              <w:t>Line Ministries</w:t>
            </w:r>
            <w:r w:rsidRPr="00A56227">
              <w:rPr>
                <w:sz w:val="20"/>
                <w:szCs w:val="20"/>
              </w:rPr>
              <w:t xml:space="preserve"> are responsible for:</w:t>
            </w:r>
          </w:p>
          <w:p w:rsidR="003707DE" w:rsidRPr="00A56227" w:rsidRDefault="003707DE" w:rsidP="00501831">
            <w:pPr>
              <w:pStyle w:val="ListParagraph"/>
              <w:numPr>
                <w:ilvl w:val="0"/>
                <w:numId w:val="21"/>
              </w:numPr>
              <w:ind w:left="317" w:hanging="283"/>
              <w:jc w:val="both"/>
              <w:rPr>
                <w:sz w:val="20"/>
                <w:szCs w:val="20"/>
              </w:rPr>
            </w:pPr>
            <w:r w:rsidRPr="00A56227">
              <w:rPr>
                <w:sz w:val="20"/>
                <w:szCs w:val="20"/>
              </w:rPr>
              <w:t>Management of their expenditure ceilings within approved limits.</w:t>
            </w:r>
          </w:p>
          <w:p w:rsidR="003707DE" w:rsidRPr="00A56227" w:rsidRDefault="003707DE" w:rsidP="00501831">
            <w:pPr>
              <w:pStyle w:val="ListParagraph"/>
              <w:numPr>
                <w:ilvl w:val="0"/>
                <w:numId w:val="21"/>
              </w:numPr>
              <w:ind w:left="317" w:hanging="283"/>
              <w:jc w:val="both"/>
              <w:rPr>
                <w:sz w:val="20"/>
                <w:szCs w:val="20"/>
              </w:rPr>
            </w:pPr>
            <w:r w:rsidRPr="00A56227">
              <w:rPr>
                <w:sz w:val="20"/>
                <w:szCs w:val="20"/>
              </w:rPr>
              <w:t>Internal monitoring of expenditures against budgets for this purpose.</w:t>
            </w:r>
          </w:p>
          <w:p w:rsidR="003707DE" w:rsidRPr="00A56227" w:rsidRDefault="003707DE" w:rsidP="00501831">
            <w:pPr>
              <w:pStyle w:val="ListParagraph"/>
              <w:numPr>
                <w:ilvl w:val="0"/>
                <w:numId w:val="21"/>
              </w:numPr>
              <w:ind w:left="317" w:hanging="283"/>
              <w:jc w:val="both"/>
              <w:rPr>
                <w:sz w:val="20"/>
                <w:szCs w:val="20"/>
              </w:rPr>
            </w:pPr>
            <w:r w:rsidRPr="00A56227">
              <w:rPr>
                <w:sz w:val="20"/>
                <w:szCs w:val="20"/>
              </w:rPr>
              <w:t>The maintenance of accurate payroll data.</w:t>
            </w:r>
          </w:p>
          <w:p w:rsidR="003707DE" w:rsidRPr="00A56227" w:rsidRDefault="003707DE" w:rsidP="00501831">
            <w:pPr>
              <w:pStyle w:val="ListParagraph"/>
              <w:numPr>
                <w:ilvl w:val="0"/>
                <w:numId w:val="21"/>
              </w:numPr>
              <w:ind w:left="317" w:hanging="283"/>
              <w:jc w:val="both"/>
              <w:rPr>
                <w:sz w:val="20"/>
                <w:szCs w:val="20"/>
              </w:rPr>
            </w:pPr>
            <w:r w:rsidRPr="00A56227">
              <w:rPr>
                <w:sz w:val="20"/>
                <w:szCs w:val="20"/>
              </w:rPr>
              <w:lastRenderedPageBreak/>
              <w:t>The authorisation of, and accountability for, Local Purchase Orders.</w:t>
            </w:r>
          </w:p>
          <w:p w:rsidR="003707DE" w:rsidRDefault="003707DE" w:rsidP="00501831">
            <w:pPr>
              <w:pStyle w:val="ListParagraph"/>
              <w:numPr>
                <w:ilvl w:val="0"/>
                <w:numId w:val="21"/>
              </w:numPr>
              <w:ind w:left="317" w:hanging="283"/>
              <w:jc w:val="both"/>
              <w:rPr>
                <w:sz w:val="20"/>
                <w:szCs w:val="20"/>
              </w:rPr>
            </w:pPr>
            <w:r w:rsidRPr="00A56227">
              <w:rPr>
                <w:sz w:val="20"/>
                <w:szCs w:val="20"/>
              </w:rPr>
              <w:t xml:space="preserve">In consultation with </w:t>
            </w:r>
            <w:r w:rsidR="00084C94">
              <w:rPr>
                <w:sz w:val="20"/>
                <w:szCs w:val="20"/>
              </w:rPr>
              <w:t>d</w:t>
            </w:r>
            <w:r w:rsidRPr="00A56227">
              <w:rPr>
                <w:sz w:val="20"/>
                <w:szCs w:val="20"/>
              </w:rPr>
              <w:t xml:space="preserve">evelopment </w:t>
            </w:r>
            <w:r w:rsidR="00084C94">
              <w:rPr>
                <w:sz w:val="20"/>
                <w:szCs w:val="20"/>
              </w:rPr>
              <w:t>p</w:t>
            </w:r>
            <w:r w:rsidRPr="00A56227">
              <w:rPr>
                <w:sz w:val="20"/>
                <w:szCs w:val="20"/>
              </w:rPr>
              <w:t xml:space="preserve">artners, the authorisation and monitoring of </w:t>
            </w:r>
            <w:r w:rsidR="00B50B5F" w:rsidRPr="00A56227">
              <w:rPr>
                <w:sz w:val="20"/>
                <w:szCs w:val="20"/>
              </w:rPr>
              <w:t xml:space="preserve">annual </w:t>
            </w:r>
            <w:r w:rsidR="00084C94">
              <w:rPr>
                <w:sz w:val="20"/>
                <w:szCs w:val="20"/>
              </w:rPr>
              <w:t>d</w:t>
            </w:r>
            <w:r w:rsidRPr="00A56227">
              <w:rPr>
                <w:sz w:val="20"/>
                <w:szCs w:val="20"/>
              </w:rPr>
              <w:t xml:space="preserve">evelopment </w:t>
            </w:r>
            <w:r w:rsidR="00084C94">
              <w:rPr>
                <w:sz w:val="20"/>
                <w:szCs w:val="20"/>
              </w:rPr>
              <w:t>p</w:t>
            </w:r>
            <w:r w:rsidRPr="00A56227">
              <w:rPr>
                <w:sz w:val="20"/>
                <w:szCs w:val="20"/>
              </w:rPr>
              <w:t xml:space="preserve">artner funding channelled through the </w:t>
            </w:r>
            <w:proofErr w:type="spellStart"/>
            <w:r w:rsidRPr="00A56227">
              <w:rPr>
                <w:sz w:val="20"/>
                <w:szCs w:val="20"/>
              </w:rPr>
              <w:t>GoV</w:t>
            </w:r>
            <w:proofErr w:type="spellEnd"/>
            <w:r w:rsidRPr="00A56227">
              <w:rPr>
                <w:sz w:val="20"/>
                <w:szCs w:val="20"/>
              </w:rPr>
              <w:t xml:space="preserve"> Development Fund</w:t>
            </w:r>
            <w:r w:rsidR="00B50B5F" w:rsidRPr="00A56227">
              <w:rPr>
                <w:sz w:val="20"/>
                <w:szCs w:val="20"/>
              </w:rPr>
              <w:t>.</w:t>
            </w:r>
          </w:p>
          <w:p w:rsidR="00A56227" w:rsidRPr="00A56227" w:rsidRDefault="00A56227" w:rsidP="00A56227">
            <w:pPr>
              <w:jc w:val="both"/>
              <w:rPr>
                <w:sz w:val="20"/>
                <w:szCs w:val="20"/>
              </w:rPr>
            </w:pPr>
          </w:p>
          <w:p w:rsidR="00B50B5F" w:rsidRPr="00A56227" w:rsidRDefault="00B50B5F" w:rsidP="008F43F5">
            <w:pPr>
              <w:jc w:val="both"/>
              <w:rPr>
                <w:sz w:val="20"/>
                <w:szCs w:val="20"/>
              </w:rPr>
            </w:pPr>
            <w:r w:rsidRPr="00A56227">
              <w:rPr>
                <w:sz w:val="20"/>
                <w:szCs w:val="20"/>
              </w:rPr>
              <w:t xml:space="preserve">The </w:t>
            </w:r>
            <w:r w:rsidRPr="00A56227">
              <w:rPr>
                <w:sz w:val="20"/>
                <w:szCs w:val="20"/>
                <w:u w:val="single"/>
              </w:rPr>
              <w:t>National Tenders Board</w:t>
            </w:r>
            <w:r w:rsidRPr="00A56227">
              <w:rPr>
                <w:sz w:val="20"/>
                <w:szCs w:val="20"/>
              </w:rPr>
              <w:t xml:space="preserve"> is responsible for consideration and approval of tenders and contracts for the purchase of goods or services in excess of the tender threshold (VT5 million or more).</w:t>
            </w:r>
          </w:p>
        </w:tc>
      </w:tr>
      <w:tr w:rsidR="002E1551" w:rsidRPr="00A56227" w:rsidTr="002E1551">
        <w:tc>
          <w:tcPr>
            <w:tcW w:w="1951" w:type="dxa"/>
          </w:tcPr>
          <w:p w:rsidR="002E1551" w:rsidRDefault="001C1D81" w:rsidP="00CD4F99">
            <w:pPr>
              <w:jc w:val="both"/>
            </w:pPr>
            <w:r>
              <w:lastRenderedPageBreak/>
              <w:t>Financial reporting</w:t>
            </w:r>
          </w:p>
        </w:tc>
        <w:tc>
          <w:tcPr>
            <w:tcW w:w="7619" w:type="dxa"/>
          </w:tcPr>
          <w:p w:rsidR="002E1551" w:rsidRPr="00A56227" w:rsidRDefault="00B50B5F" w:rsidP="00CD4F99">
            <w:pPr>
              <w:jc w:val="both"/>
              <w:rPr>
                <w:sz w:val="20"/>
                <w:szCs w:val="20"/>
              </w:rPr>
            </w:pPr>
            <w:r w:rsidRPr="00A56227">
              <w:rPr>
                <w:sz w:val="20"/>
                <w:szCs w:val="20"/>
                <w:u w:val="single"/>
              </w:rPr>
              <w:t>MFEM</w:t>
            </w:r>
            <w:r w:rsidRPr="00A56227">
              <w:rPr>
                <w:sz w:val="20"/>
                <w:szCs w:val="20"/>
              </w:rPr>
              <w:t xml:space="preserve"> is responsible for the preparation of the </w:t>
            </w:r>
            <w:proofErr w:type="spellStart"/>
            <w:r w:rsidRPr="00A56227">
              <w:rPr>
                <w:sz w:val="20"/>
                <w:szCs w:val="20"/>
              </w:rPr>
              <w:t>GoV’s</w:t>
            </w:r>
            <w:proofErr w:type="spellEnd"/>
            <w:r w:rsidRPr="00A56227">
              <w:rPr>
                <w:sz w:val="20"/>
                <w:szCs w:val="20"/>
              </w:rPr>
              <w:t xml:space="preserve"> annual financial statements.</w:t>
            </w:r>
          </w:p>
          <w:p w:rsidR="00B50B5F" w:rsidRPr="00A56227" w:rsidRDefault="00B50B5F" w:rsidP="00B50B5F">
            <w:pPr>
              <w:jc w:val="both"/>
              <w:rPr>
                <w:sz w:val="20"/>
                <w:szCs w:val="20"/>
              </w:rPr>
            </w:pPr>
            <w:r w:rsidRPr="00A56227">
              <w:rPr>
                <w:sz w:val="20"/>
                <w:szCs w:val="20"/>
                <w:u w:val="single"/>
              </w:rPr>
              <w:t>Line Ministries</w:t>
            </w:r>
            <w:r w:rsidRPr="00A56227">
              <w:rPr>
                <w:sz w:val="20"/>
                <w:szCs w:val="20"/>
              </w:rPr>
              <w:t xml:space="preserve"> (including their off-budget agencies) are responsible for the preparation of annual financial statements in respect of the funding they have received.</w:t>
            </w:r>
          </w:p>
          <w:p w:rsidR="00B50B5F" w:rsidRPr="00A56227" w:rsidRDefault="00B50B5F" w:rsidP="00B50B5F">
            <w:pPr>
              <w:jc w:val="both"/>
              <w:rPr>
                <w:sz w:val="20"/>
                <w:szCs w:val="20"/>
              </w:rPr>
            </w:pPr>
            <w:r w:rsidRPr="00A56227">
              <w:rPr>
                <w:sz w:val="20"/>
                <w:szCs w:val="20"/>
                <w:u w:val="single"/>
              </w:rPr>
              <w:t>Individual schools</w:t>
            </w:r>
            <w:r w:rsidRPr="00A56227">
              <w:rPr>
                <w:sz w:val="20"/>
                <w:szCs w:val="20"/>
              </w:rPr>
              <w:t xml:space="preserve"> are responsible for the preparation of annual financial statements of the resources under their control in accordance with the provisions of the </w:t>
            </w:r>
            <w:proofErr w:type="spellStart"/>
            <w:r w:rsidRPr="00A56227">
              <w:rPr>
                <w:sz w:val="20"/>
                <w:szCs w:val="20"/>
              </w:rPr>
              <w:t>MoE</w:t>
            </w:r>
            <w:proofErr w:type="spellEnd"/>
            <w:r w:rsidR="007418E2" w:rsidRPr="00A56227">
              <w:rPr>
                <w:sz w:val="20"/>
                <w:szCs w:val="20"/>
              </w:rPr>
              <w:t xml:space="preserve"> Schools Financial Management Manual</w:t>
            </w:r>
            <w:r w:rsidRPr="00A56227">
              <w:rPr>
                <w:sz w:val="20"/>
                <w:szCs w:val="20"/>
              </w:rPr>
              <w:t xml:space="preserve">.  </w:t>
            </w:r>
          </w:p>
        </w:tc>
      </w:tr>
      <w:tr w:rsidR="002E1551" w:rsidRPr="00A56227" w:rsidTr="002E1551">
        <w:tc>
          <w:tcPr>
            <w:tcW w:w="1951" w:type="dxa"/>
          </w:tcPr>
          <w:p w:rsidR="002E1551" w:rsidRDefault="002E1551" w:rsidP="00CD4F99">
            <w:pPr>
              <w:jc w:val="both"/>
            </w:pPr>
            <w:r>
              <w:t>Audit</w:t>
            </w:r>
          </w:p>
        </w:tc>
        <w:tc>
          <w:tcPr>
            <w:tcW w:w="7619" w:type="dxa"/>
          </w:tcPr>
          <w:p w:rsidR="002E1551" w:rsidRPr="00A56227" w:rsidRDefault="002E1551" w:rsidP="00CD4F99">
            <w:pPr>
              <w:jc w:val="both"/>
              <w:rPr>
                <w:sz w:val="20"/>
                <w:szCs w:val="20"/>
              </w:rPr>
            </w:pPr>
            <w:r w:rsidRPr="00A56227">
              <w:rPr>
                <w:sz w:val="20"/>
                <w:szCs w:val="20"/>
              </w:rPr>
              <w:t>Internal Audit: Line Ministries</w:t>
            </w:r>
          </w:p>
          <w:p w:rsidR="002E1551" w:rsidRPr="00A56227" w:rsidRDefault="002E1551" w:rsidP="00142AAB">
            <w:pPr>
              <w:jc w:val="both"/>
              <w:rPr>
                <w:sz w:val="20"/>
                <w:szCs w:val="20"/>
              </w:rPr>
            </w:pPr>
            <w:r w:rsidRPr="00A56227">
              <w:rPr>
                <w:sz w:val="20"/>
                <w:szCs w:val="20"/>
              </w:rPr>
              <w:t>External Audit:</w:t>
            </w:r>
            <w:r w:rsidR="008F43F5" w:rsidRPr="00A56227">
              <w:rPr>
                <w:sz w:val="20"/>
                <w:szCs w:val="20"/>
              </w:rPr>
              <w:t xml:space="preserve"> The Vanuatu National Audit Office (but see Note).  Development </w:t>
            </w:r>
            <w:r w:rsidR="00084C94">
              <w:rPr>
                <w:sz w:val="20"/>
                <w:szCs w:val="20"/>
              </w:rPr>
              <w:t>p</w:t>
            </w:r>
            <w:r w:rsidR="008F43F5" w:rsidRPr="00A56227">
              <w:rPr>
                <w:sz w:val="20"/>
                <w:szCs w:val="20"/>
              </w:rPr>
              <w:t>artners typically reserve the right to appoint, and have appointed, independent external auditors in respect of their funding contributions.</w:t>
            </w:r>
            <w:r w:rsidRPr="00A56227">
              <w:rPr>
                <w:sz w:val="20"/>
                <w:szCs w:val="20"/>
              </w:rPr>
              <w:t xml:space="preserve"> </w:t>
            </w:r>
          </w:p>
        </w:tc>
      </w:tr>
      <w:tr w:rsidR="002E1551" w:rsidTr="00C05FAA">
        <w:tc>
          <w:tcPr>
            <w:tcW w:w="9570" w:type="dxa"/>
            <w:gridSpan w:val="2"/>
          </w:tcPr>
          <w:p w:rsidR="002E1551" w:rsidRPr="006377FF" w:rsidRDefault="002E1551" w:rsidP="00B66802">
            <w:pPr>
              <w:jc w:val="both"/>
              <w:rPr>
                <w:sz w:val="20"/>
                <w:szCs w:val="20"/>
              </w:rPr>
            </w:pPr>
            <w:r w:rsidRPr="006377FF">
              <w:rPr>
                <w:sz w:val="20"/>
                <w:szCs w:val="20"/>
              </w:rPr>
              <w:t>Note:</w:t>
            </w:r>
            <w:r w:rsidR="008F43F5" w:rsidRPr="006377FF">
              <w:rPr>
                <w:sz w:val="20"/>
                <w:szCs w:val="20"/>
              </w:rPr>
              <w:t xml:space="preserve">  The Vanuatu National Audit Office </w:t>
            </w:r>
            <w:r w:rsidR="00B66802" w:rsidRPr="006377FF">
              <w:rPr>
                <w:sz w:val="20"/>
                <w:szCs w:val="20"/>
              </w:rPr>
              <w:t xml:space="preserve">undertakes external audit of the </w:t>
            </w:r>
            <w:proofErr w:type="spellStart"/>
            <w:r w:rsidR="00B66802" w:rsidRPr="006377FF">
              <w:rPr>
                <w:sz w:val="20"/>
                <w:szCs w:val="20"/>
              </w:rPr>
              <w:t>GoV’s</w:t>
            </w:r>
            <w:proofErr w:type="spellEnd"/>
            <w:r w:rsidR="00B66802" w:rsidRPr="006377FF">
              <w:rPr>
                <w:sz w:val="20"/>
                <w:szCs w:val="20"/>
              </w:rPr>
              <w:t xml:space="preserve"> consolidated annual financial statements.  It does not </w:t>
            </w:r>
            <w:r w:rsidR="00084C94">
              <w:rPr>
                <w:sz w:val="20"/>
                <w:szCs w:val="20"/>
              </w:rPr>
              <w:t xml:space="preserve">normally </w:t>
            </w:r>
            <w:r w:rsidR="00B66802" w:rsidRPr="006377FF">
              <w:rPr>
                <w:sz w:val="20"/>
                <w:szCs w:val="20"/>
              </w:rPr>
              <w:t>conduct external financial audits of individual Line Ministries, much less external audits of the efficiency/effectiveness of individual expenditure programs.</w:t>
            </w:r>
          </w:p>
        </w:tc>
      </w:tr>
    </w:tbl>
    <w:p w:rsidR="00E22CA8" w:rsidRDefault="00E22CA8" w:rsidP="0086762D">
      <w:pPr>
        <w:jc w:val="both"/>
      </w:pPr>
      <w:r>
        <w:t xml:space="preserve"> </w:t>
      </w:r>
    </w:p>
    <w:p w:rsidR="00447E83" w:rsidRPr="00447E83" w:rsidRDefault="00B50B5F" w:rsidP="00384C91">
      <w:pPr>
        <w:jc w:val="both"/>
      </w:pPr>
      <w:r>
        <w:t xml:space="preserve">Note that Table </w:t>
      </w:r>
      <w:r w:rsidR="000F65C3">
        <w:t>4</w:t>
      </w:r>
      <w:r>
        <w:t xml:space="preserve"> is based on the formal responsibilities of agencies including as defined by legislation.  It makes no attempt for </w:t>
      </w:r>
      <w:r w:rsidR="007418E2">
        <w:t xml:space="preserve">the purposes of this Section </w:t>
      </w:r>
      <w:r>
        <w:t>to address the extent to which formal responsibilities are complied with.</w:t>
      </w:r>
      <w:r>
        <w:rPr>
          <w:rStyle w:val="FootnoteReference"/>
        </w:rPr>
        <w:footnoteReference w:id="4"/>
      </w:r>
      <w:r w:rsidR="00B66802">
        <w:t xml:space="preserve">  </w:t>
      </w:r>
      <w:proofErr w:type="gramStart"/>
      <w:r w:rsidR="00B66802">
        <w:t>Further note that while MFEM plays a considerable role in the setting of budget ceilings and aggregate expenditure control, responsibilities for budget allocation and expenditure control below that level are substantially devolved to individual Line Ministries.</w:t>
      </w:r>
      <w:proofErr w:type="gramEnd"/>
      <w:r w:rsidR="00B66802">
        <w:t xml:space="preserve">  </w:t>
      </w:r>
      <w:r w:rsidR="00120264">
        <w:t>E</w:t>
      </w:r>
      <w:r w:rsidR="00384C91">
        <w:t xml:space="preserve">stimates of the amounts concerned (insofar as available) are </w:t>
      </w:r>
      <w:r w:rsidR="00120264">
        <w:t xml:space="preserve">provided </w:t>
      </w:r>
      <w:r w:rsidR="00384C91">
        <w:t>in Section 2.1.1 (Structure of education sector funding).</w:t>
      </w:r>
    </w:p>
    <w:p w:rsidR="00CE1ECF" w:rsidRDefault="00CE1ECF" w:rsidP="00160C19">
      <w:pPr>
        <w:pStyle w:val="Heading2"/>
      </w:pPr>
      <w:bookmarkStart w:id="45" w:name="_Toc341210782"/>
      <w:bookmarkStart w:id="46" w:name="_Toc341210902"/>
      <w:bookmarkStart w:id="47" w:name="_Toc341265720"/>
      <w:bookmarkStart w:id="48" w:name="_Toc343257282"/>
      <w:bookmarkStart w:id="49" w:name="_Toc343257396"/>
      <w:bookmarkStart w:id="50" w:name="_Toc348711317"/>
      <w:r w:rsidRPr="00CE1ECF">
        <w:t>1.</w:t>
      </w:r>
      <w:r w:rsidR="00447E83">
        <w:t>5</w:t>
      </w:r>
      <w:r w:rsidRPr="00CE1ECF">
        <w:t xml:space="preserve"> </w:t>
      </w:r>
      <w:r w:rsidR="002611A0">
        <w:t xml:space="preserve">Education </w:t>
      </w:r>
      <w:r w:rsidRPr="00CE1ECF">
        <w:t xml:space="preserve">sector </w:t>
      </w:r>
      <w:r w:rsidR="002611A0">
        <w:t xml:space="preserve">objectives and </w:t>
      </w:r>
      <w:r w:rsidRPr="00CE1ECF">
        <w:t>priorities</w:t>
      </w:r>
      <w:bookmarkEnd w:id="45"/>
      <w:bookmarkEnd w:id="46"/>
      <w:bookmarkEnd w:id="47"/>
      <w:bookmarkEnd w:id="48"/>
      <w:bookmarkEnd w:id="49"/>
      <w:bookmarkEnd w:id="50"/>
    </w:p>
    <w:p w:rsidR="00CE1ECF" w:rsidRDefault="00CE1ECF" w:rsidP="00CE1ECF">
      <w:pPr>
        <w:jc w:val="both"/>
      </w:pPr>
    </w:p>
    <w:p w:rsidR="007937B4" w:rsidRDefault="002611A0" w:rsidP="00CE1ECF">
      <w:pPr>
        <w:jc w:val="both"/>
      </w:pPr>
      <w:r>
        <w:t xml:space="preserve">The Government of Vanuatu, often with technical assistance, has issued a significant number of policy statements over the past six years specifying its strategic objectives for the education sector as a whole and/or sub-sectors within it.  Again, in the interests of curtailing coverage of what is already known to stakeholders, these are summarised in Table </w:t>
      </w:r>
      <w:r w:rsidR="000F65C3">
        <w:t>5</w:t>
      </w:r>
      <w:r>
        <w:t>.</w:t>
      </w:r>
      <w:r w:rsidR="007937B4">
        <w:t xml:space="preserve"> The </w:t>
      </w:r>
      <w:proofErr w:type="spellStart"/>
      <w:r w:rsidR="007937B4">
        <w:t>GoV</w:t>
      </w:r>
      <w:proofErr w:type="spellEnd"/>
      <w:r w:rsidR="007937B4">
        <w:t xml:space="preserve"> has, in addition, formally subscribed to the MDG and EFA goals.</w:t>
      </w:r>
    </w:p>
    <w:p w:rsidR="007937B4" w:rsidRDefault="007937B4" w:rsidP="00CE1ECF">
      <w:pPr>
        <w:jc w:val="both"/>
      </w:pPr>
    </w:p>
    <w:p w:rsidR="002611A0" w:rsidRDefault="002611A0" w:rsidP="00CE1ECF">
      <w:pPr>
        <w:jc w:val="both"/>
      </w:pPr>
      <w:r>
        <w:t xml:space="preserve">Key features of the various policy statements </w:t>
      </w:r>
      <w:r w:rsidR="007937B4">
        <w:t xml:space="preserve">summarised at Table </w:t>
      </w:r>
      <w:r w:rsidR="000F65C3">
        <w:t>5</w:t>
      </w:r>
      <w:r w:rsidR="007937B4">
        <w:t xml:space="preserve"> are </w:t>
      </w:r>
      <w:r>
        <w:t>as follows:</w:t>
      </w:r>
    </w:p>
    <w:p w:rsidR="002611A0" w:rsidRDefault="002611A0" w:rsidP="00CE1ECF">
      <w:pPr>
        <w:jc w:val="both"/>
      </w:pPr>
    </w:p>
    <w:p w:rsidR="002611A0" w:rsidRDefault="00EE004E" w:rsidP="00501831">
      <w:pPr>
        <w:pStyle w:val="ListParagraph"/>
        <w:numPr>
          <w:ilvl w:val="0"/>
          <w:numId w:val="4"/>
        </w:numPr>
        <w:jc w:val="both"/>
      </w:pPr>
      <w:r>
        <w:t xml:space="preserve">They provide a detailed exposition of the </w:t>
      </w:r>
      <w:proofErr w:type="spellStart"/>
      <w:r>
        <w:t>GoV’s</w:t>
      </w:r>
      <w:proofErr w:type="spellEnd"/>
      <w:r>
        <w:t xml:space="preserve"> aspirations for Vanuatu’s education systems and, at the broadest level, exhibit a considerable degree of consistency over time in emphasising the goals of improved access, quality of education and management of the education system.</w:t>
      </w:r>
    </w:p>
    <w:p w:rsidR="00EE004E" w:rsidRDefault="00EE004E" w:rsidP="00501831">
      <w:pPr>
        <w:pStyle w:val="ListParagraph"/>
        <w:numPr>
          <w:ilvl w:val="0"/>
          <w:numId w:val="4"/>
        </w:numPr>
        <w:jc w:val="both"/>
      </w:pPr>
      <w:r>
        <w:t>Individually, statements at the sub-sector level typically present a credible ‘vision’ for the sub-sector and a useful guide</w:t>
      </w:r>
      <w:r w:rsidR="006377FF">
        <w:t xml:space="preserve"> for </w:t>
      </w:r>
      <w:r>
        <w:t xml:space="preserve">sub-sector stakeholders as to what the </w:t>
      </w:r>
      <w:proofErr w:type="spellStart"/>
      <w:r>
        <w:t>GoV</w:t>
      </w:r>
      <w:proofErr w:type="spellEnd"/>
      <w:r>
        <w:t xml:space="preserve"> hopes to achieve.</w:t>
      </w:r>
    </w:p>
    <w:p w:rsidR="002611A0" w:rsidRDefault="006377FF" w:rsidP="00501831">
      <w:pPr>
        <w:pStyle w:val="ListParagraph"/>
        <w:numPr>
          <w:ilvl w:val="0"/>
          <w:numId w:val="4"/>
        </w:numPr>
        <w:jc w:val="both"/>
      </w:pPr>
      <w:r>
        <w:t>However, w</w:t>
      </w:r>
      <w:r w:rsidR="00EE004E">
        <w:t xml:space="preserve">hile typically sensible in themselves, when the strategies and ‘priorities’ identified in each statement are viewed in </w:t>
      </w:r>
      <w:r w:rsidR="004167E4">
        <w:t xml:space="preserve">aggregate from the perspective of the education sector as a whole </w:t>
      </w:r>
      <w:r w:rsidR="00EE004E">
        <w:t>they present</w:t>
      </w:r>
      <w:r w:rsidR="004167E4">
        <w:t xml:space="preserve"> a picture of huge challenges, ‘mission overreach’ and so many ‘priorities’ that it is hard to discern genuine priorities at all.  Every sub-sector and policy objective within it is, to all intents as stated, a </w:t>
      </w:r>
      <w:r w:rsidR="00084C94">
        <w:t>‘</w:t>
      </w:r>
      <w:r w:rsidR="004167E4">
        <w:t>priority</w:t>
      </w:r>
      <w:r w:rsidR="00084C94">
        <w:t>’</w:t>
      </w:r>
      <w:r w:rsidR="004167E4">
        <w:t>.</w:t>
      </w:r>
    </w:p>
    <w:p w:rsidR="004167E4" w:rsidRDefault="004167E4" w:rsidP="00501831">
      <w:pPr>
        <w:pStyle w:val="ListParagraph"/>
        <w:numPr>
          <w:ilvl w:val="0"/>
          <w:numId w:val="4"/>
        </w:numPr>
        <w:jc w:val="both"/>
      </w:pPr>
      <w:r>
        <w:lastRenderedPageBreak/>
        <w:t>Other than for task-related outputs the statements do not typically specify measurable performance outcome indicators or targets or, for those that do, only partially</w:t>
      </w:r>
      <w:r w:rsidR="00FD7AA4">
        <w:t>.</w:t>
      </w:r>
    </w:p>
    <w:p w:rsidR="00FD7AA4" w:rsidRDefault="00FD7AA4" w:rsidP="00501831">
      <w:pPr>
        <w:pStyle w:val="ListParagraph"/>
        <w:numPr>
          <w:ilvl w:val="0"/>
          <w:numId w:val="4"/>
        </w:numPr>
        <w:jc w:val="both"/>
      </w:pPr>
      <w:r>
        <w:t xml:space="preserve">It is highly questionable whether the providers of and stakeholders in education services at the level that counts, namely teachers, school committees and local communities more broadly would have </w:t>
      </w:r>
      <w:r w:rsidR="00AB1841">
        <w:t xml:space="preserve">a good awareness </w:t>
      </w:r>
      <w:r>
        <w:t>of, or would necessarily subscribe to, the goals and priorities specified.</w:t>
      </w:r>
    </w:p>
    <w:p w:rsidR="00CE1ECF" w:rsidRDefault="00CE1ECF" w:rsidP="00CE1ECF">
      <w:pPr>
        <w:jc w:val="both"/>
      </w:pPr>
    </w:p>
    <w:p w:rsidR="00F04B9F" w:rsidRDefault="00FD7AA4" w:rsidP="00CE1ECF">
      <w:pPr>
        <w:jc w:val="both"/>
      </w:pPr>
      <w:r>
        <w:t>An equal concern from a public expenditure perspective is that the policy statements present</w:t>
      </w:r>
      <w:r w:rsidR="009F2940">
        <w:t xml:space="preserve"> no </w:t>
      </w:r>
      <w:r>
        <w:t>cost estimates of the public resources needed to achieve the</w:t>
      </w:r>
      <w:r w:rsidR="009F2940">
        <w:t>ir</w:t>
      </w:r>
      <w:r>
        <w:t xml:space="preserve"> goals or even the interim objectives they specify.</w:t>
      </w:r>
      <w:r w:rsidR="00E70F0C">
        <w:t xml:space="preserve">  Related to this, </w:t>
      </w:r>
      <w:r w:rsidR="004113BA">
        <w:t xml:space="preserve">there is a complete </w:t>
      </w:r>
      <w:proofErr w:type="gramStart"/>
      <w:r w:rsidR="004113BA">
        <w:t>disconnect</w:t>
      </w:r>
      <w:proofErr w:type="gramEnd"/>
      <w:r w:rsidR="004113BA">
        <w:t xml:space="preserve"> between the formulation and articulation of strategic objectives and priorities for the sector on the one hand and the setting of annual (let alone medium-term) budgets for the sector on the other.  Insofar as expenditure priorities for the education sector are debated they appear to be debated almost exclusively in the context of discussions between the </w:t>
      </w:r>
      <w:proofErr w:type="spellStart"/>
      <w:r w:rsidR="004113BA">
        <w:t>GoV</w:t>
      </w:r>
      <w:proofErr w:type="spellEnd"/>
      <w:r w:rsidR="004113BA">
        <w:t xml:space="preserve"> and its </w:t>
      </w:r>
      <w:r w:rsidR="00154BEB">
        <w:t>d</w:t>
      </w:r>
      <w:r w:rsidR="004113BA">
        <w:t xml:space="preserve">evelopment </w:t>
      </w:r>
      <w:r w:rsidR="00154BEB">
        <w:t>p</w:t>
      </w:r>
      <w:r w:rsidR="004113BA">
        <w:t xml:space="preserve">artners regarding future amounts and allocations of </w:t>
      </w:r>
      <w:r w:rsidR="00154BEB">
        <w:t>d</w:t>
      </w:r>
      <w:r w:rsidR="004113BA">
        <w:t xml:space="preserve">evelopment </w:t>
      </w:r>
      <w:r w:rsidR="00154BEB">
        <w:t>p</w:t>
      </w:r>
      <w:r w:rsidR="004113BA">
        <w:t>artner funding.</w:t>
      </w:r>
      <w:r w:rsidR="007C0A93">
        <w:rPr>
          <w:rStyle w:val="FootnoteReference"/>
        </w:rPr>
        <w:footnoteReference w:id="5"/>
      </w:r>
    </w:p>
    <w:p w:rsidR="00F04B9F" w:rsidRDefault="00F04B9F" w:rsidP="00CE1ECF">
      <w:pPr>
        <w:jc w:val="both"/>
      </w:pPr>
    </w:p>
    <w:p w:rsidR="00F04B9F" w:rsidRDefault="004113BA" w:rsidP="00F04B9F">
      <w:pPr>
        <w:jc w:val="both"/>
      </w:pPr>
      <w:r>
        <w:t>MFEM does undertake systematic analyses of education spending relative to budgets and these are to be commended.  However, the MFEM analysis is almost exclusively framed in terms of expenditure control at an aggregate or program level.</w:t>
      </w:r>
      <w:r w:rsidR="00B61CBB">
        <w:t xml:space="preserve">  </w:t>
      </w:r>
      <w:r w:rsidR="00F04B9F">
        <w:t xml:space="preserve">Debate within the </w:t>
      </w:r>
      <w:proofErr w:type="spellStart"/>
      <w:r w:rsidR="00F04B9F">
        <w:t>GoV</w:t>
      </w:r>
      <w:proofErr w:type="spellEnd"/>
      <w:r w:rsidR="00F04B9F">
        <w:t xml:space="preserve"> as to spending priorities for </w:t>
      </w:r>
      <w:proofErr w:type="spellStart"/>
      <w:r w:rsidR="00F04B9F">
        <w:t>GoV</w:t>
      </w:r>
      <w:proofErr w:type="spellEnd"/>
      <w:r w:rsidR="00F04B9F">
        <w:t xml:space="preserve"> funding (as distinct from </w:t>
      </w:r>
      <w:r w:rsidR="00154BEB">
        <w:t>d</w:t>
      </w:r>
      <w:r w:rsidR="00F04B9F">
        <w:t xml:space="preserve">evelopment </w:t>
      </w:r>
      <w:r w:rsidR="00154BEB">
        <w:t>p</w:t>
      </w:r>
      <w:r w:rsidR="00F04B9F">
        <w:t>artner funding) of the education sector does not appear to occur in any systematic way</w:t>
      </w:r>
      <w:r w:rsidR="009F2940">
        <w:t xml:space="preserve">.  </w:t>
      </w:r>
      <w:r w:rsidR="00F04B9F">
        <w:t xml:space="preserve">This issue is </w:t>
      </w:r>
      <w:r w:rsidR="009F2940">
        <w:t xml:space="preserve">elaborated </w:t>
      </w:r>
      <w:r w:rsidR="00F04B9F">
        <w:t xml:space="preserve">in Section 2.1.6. </w:t>
      </w:r>
    </w:p>
    <w:p w:rsidR="00447E83" w:rsidRPr="00447E83" w:rsidRDefault="00447E83" w:rsidP="00160C19">
      <w:pPr>
        <w:pStyle w:val="Heading2"/>
      </w:pPr>
      <w:bookmarkStart w:id="51" w:name="_Toc341210783"/>
      <w:bookmarkStart w:id="52" w:name="_Toc341210903"/>
      <w:bookmarkStart w:id="53" w:name="_Toc341265721"/>
      <w:bookmarkStart w:id="54" w:name="_Toc343257283"/>
      <w:bookmarkStart w:id="55" w:name="_Toc343257397"/>
      <w:bookmarkStart w:id="56" w:name="_Toc348711318"/>
      <w:r w:rsidRPr="00447E83">
        <w:t>1.6 Status of sector strategy development</w:t>
      </w:r>
      <w:bookmarkEnd w:id="51"/>
      <w:bookmarkEnd w:id="52"/>
      <w:bookmarkEnd w:id="53"/>
      <w:bookmarkEnd w:id="54"/>
      <w:bookmarkEnd w:id="55"/>
      <w:bookmarkEnd w:id="56"/>
      <w:r w:rsidRPr="00447E83">
        <w:t xml:space="preserve"> </w:t>
      </w:r>
    </w:p>
    <w:p w:rsidR="00447E83" w:rsidRDefault="00447E83" w:rsidP="00CE1ECF">
      <w:pPr>
        <w:jc w:val="both"/>
      </w:pPr>
    </w:p>
    <w:p w:rsidR="00523735" w:rsidRDefault="00A02589" w:rsidP="00CE1ECF">
      <w:pPr>
        <w:jc w:val="both"/>
      </w:pPr>
      <w:r>
        <w:t xml:space="preserve">Numerous education sector developmental activities continue to be funded by the </w:t>
      </w:r>
      <w:proofErr w:type="spellStart"/>
      <w:r>
        <w:t>GoV</w:t>
      </w:r>
      <w:proofErr w:type="spellEnd"/>
      <w:r>
        <w:t xml:space="preserve"> and, in particular, </w:t>
      </w:r>
      <w:r w:rsidR="00154BEB">
        <w:t>d</w:t>
      </w:r>
      <w:r>
        <w:t xml:space="preserve">evelopment </w:t>
      </w:r>
      <w:r w:rsidR="00154BEB">
        <w:t>p</w:t>
      </w:r>
      <w:r>
        <w:t xml:space="preserve">artners.  At a strategic level, however, the present review is aware of only one substantial recent development beyond those enumerated in Table </w:t>
      </w:r>
      <w:r w:rsidR="000F65C3">
        <w:t>5</w:t>
      </w:r>
      <w:r>
        <w:t xml:space="preserve">.  This is the </w:t>
      </w:r>
      <w:r w:rsidR="00523735">
        <w:t>consultations surrounding, and subsequent (draft) design for, the Vanuatu Education Sector Program for 2013</w:t>
      </w:r>
      <w:r w:rsidR="009A760B">
        <w:t xml:space="preserve"> to 2017.</w:t>
      </w:r>
      <w:r w:rsidR="00523735">
        <w:t xml:space="preserve">  Key features of this (draft) design as it has evolved through consultation between the </w:t>
      </w:r>
      <w:proofErr w:type="spellStart"/>
      <w:r w:rsidR="00523735">
        <w:t>GoV</w:t>
      </w:r>
      <w:proofErr w:type="spellEnd"/>
      <w:r w:rsidR="00AB1841">
        <w:t xml:space="preserve">, </w:t>
      </w:r>
      <w:r w:rsidR="00523735">
        <w:t>Pool Partners</w:t>
      </w:r>
      <w:r w:rsidR="00355FA2">
        <w:t xml:space="preserve"> and other </w:t>
      </w:r>
      <w:r w:rsidR="00154BEB">
        <w:t>d</w:t>
      </w:r>
      <w:r w:rsidR="00355FA2">
        <w:t xml:space="preserve">evelopment </w:t>
      </w:r>
      <w:r w:rsidR="00154BEB">
        <w:t>p</w:t>
      </w:r>
      <w:r w:rsidR="00355FA2">
        <w:t>artners</w:t>
      </w:r>
      <w:r w:rsidR="00BF04D6">
        <w:rPr>
          <w:rStyle w:val="FootnoteReference"/>
        </w:rPr>
        <w:footnoteReference w:id="6"/>
      </w:r>
      <w:r w:rsidR="00523735">
        <w:t xml:space="preserve"> are as follows:</w:t>
      </w:r>
    </w:p>
    <w:p w:rsidR="00523735" w:rsidRDefault="00523735" w:rsidP="00CE1ECF">
      <w:pPr>
        <w:jc w:val="both"/>
      </w:pPr>
    </w:p>
    <w:p w:rsidR="009A760B" w:rsidRDefault="009A760B" w:rsidP="00501831">
      <w:pPr>
        <w:pStyle w:val="ListParagraph"/>
        <w:numPr>
          <w:ilvl w:val="0"/>
          <w:numId w:val="23"/>
        </w:numPr>
        <w:jc w:val="both"/>
      </w:pPr>
      <w:r>
        <w:t xml:space="preserve">Overall, a principal focus on development support for ECE and the first four years of primary education. </w:t>
      </w:r>
    </w:p>
    <w:p w:rsidR="00355FA2" w:rsidRDefault="009A760B" w:rsidP="00501831">
      <w:pPr>
        <w:pStyle w:val="ListParagraph"/>
        <w:numPr>
          <w:ilvl w:val="0"/>
          <w:numId w:val="23"/>
        </w:numPr>
        <w:jc w:val="both"/>
      </w:pPr>
      <w:r>
        <w:t xml:space="preserve">Within this overall focus, support for </w:t>
      </w:r>
      <w:r w:rsidR="00355FA2">
        <w:t>five core program activities:</w:t>
      </w:r>
    </w:p>
    <w:p w:rsidR="004A736F" w:rsidRDefault="00355FA2" w:rsidP="00501831">
      <w:pPr>
        <w:pStyle w:val="ListParagraph"/>
        <w:numPr>
          <w:ilvl w:val="0"/>
          <w:numId w:val="22"/>
        </w:numPr>
        <w:jc w:val="both"/>
      </w:pPr>
      <w:r>
        <w:t>Train and support teachers to implement the new curriculum</w:t>
      </w:r>
      <w:r w:rsidR="004A736F">
        <w:t xml:space="preserve"> as announced in 2010.</w:t>
      </w:r>
    </w:p>
    <w:p w:rsidR="004A736F" w:rsidRDefault="004A736F" w:rsidP="00501831">
      <w:pPr>
        <w:pStyle w:val="ListParagraph"/>
        <w:numPr>
          <w:ilvl w:val="0"/>
          <w:numId w:val="22"/>
        </w:numPr>
        <w:jc w:val="both"/>
      </w:pPr>
      <w:r>
        <w:t>Strengthen early childhood care and education delivery.</w:t>
      </w:r>
    </w:p>
    <w:p w:rsidR="004A736F" w:rsidRDefault="004A736F" w:rsidP="00501831">
      <w:pPr>
        <w:pStyle w:val="ListParagraph"/>
        <w:numPr>
          <w:ilvl w:val="0"/>
          <w:numId w:val="22"/>
        </w:numPr>
        <w:jc w:val="both"/>
      </w:pPr>
      <w:r>
        <w:t>Engage the community through school based management.</w:t>
      </w:r>
    </w:p>
    <w:p w:rsidR="004A736F" w:rsidRDefault="004A736F" w:rsidP="00501831">
      <w:pPr>
        <w:pStyle w:val="ListParagraph"/>
        <w:numPr>
          <w:ilvl w:val="0"/>
          <w:numId w:val="22"/>
        </w:numPr>
        <w:jc w:val="both"/>
      </w:pPr>
      <w:r>
        <w:t>Provide locally relevant and efficient delivery of facilities and equipment.</w:t>
      </w:r>
    </w:p>
    <w:p w:rsidR="00523735" w:rsidRDefault="004A736F" w:rsidP="00501831">
      <w:pPr>
        <w:pStyle w:val="ListParagraph"/>
        <w:numPr>
          <w:ilvl w:val="0"/>
          <w:numId w:val="22"/>
        </w:numPr>
        <w:jc w:val="both"/>
      </w:pPr>
      <w:r>
        <w:t xml:space="preserve">Develop capacity within the Ministry of Education to develop an efficient, well-managed and </w:t>
      </w:r>
      <w:proofErr w:type="spellStart"/>
      <w:r>
        <w:t>deconcentrated</w:t>
      </w:r>
      <w:proofErr w:type="spellEnd"/>
      <w:r>
        <w:t xml:space="preserve"> education system in Vanuatu.</w:t>
      </w:r>
    </w:p>
    <w:p w:rsidR="009A760B" w:rsidRDefault="004A736F" w:rsidP="00501831">
      <w:pPr>
        <w:pStyle w:val="ListParagraph"/>
        <w:numPr>
          <w:ilvl w:val="0"/>
          <w:numId w:val="24"/>
        </w:numPr>
        <w:ind w:left="709" w:hanging="283"/>
        <w:jc w:val="both"/>
      </w:pPr>
      <w:r>
        <w:t xml:space="preserve">Recognising the pressures and constraints on </w:t>
      </w:r>
      <w:proofErr w:type="spellStart"/>
      <w:r>
        <w:t>MoE</w:t>
      </w:r>
      <w:proofErr w:type="spellEnd"/>
      <w:r>
        <w:t xml:space="preserve"> capacity to administer all forms of </w:t>
      </w:r>
      <w:r w:rsidR="00084C94">
        <w:t>d</w:t>
      </w:r>
      <w:r>
        <w:t xml:space="preserve">evelopment partner support through its internal systems, a potential re-balancing of funding to be provided through the </w:t>
      </w:r>
      <w:proofErr w:type="spellStart"/>
      <w:r>
        <w:t>GoV</w:t>
      </w:r>
      <w:proofErr w:type="spellEnd"/>
      <w:r>
        <w:t xml:space="preserve"> Dev</w:t>
      </w:r>
      <w:r w:rsidR="009A760B">
        <w:t>e</w:t>
      </w:r>
      <w:r>
        <w:t xml:space="preserve">lopment </w:t>
      </w:r>
      <w:r w:rsidR="009A760B">
        <w:t>Fund and alternative mechanisms.</w:t>
      </w:r>
    </w:p>
    <w:p w:rsidR="009A760B" w:rsidRDefault="009A760B" w:rsidP="009A760B">
      <w:pPr>
        <w:ind w:left="426"/>
        <w:jc w:val="both"/>
      </w:pPr>
    </w:p>
    <w:p w:rsidR="002611A0" w:rsidRDefault="00523735" w:rsidP="009A760B">
      <w:pPr>
        <w:jc w:val="both"/>
      </w:pPr>
      <w:r>
        <w:lastRenderedPageBreak/>
        <w:t xml:space="preserve">Aside from this, there are no obvious </w:t>
      </w:r>
      <w:r w:rsidR="009A760B">
        <w:t xml:space="preserve">recent </w:t>
      </w:r>
      <w:r>
        <w:t xml:space="preserve">instances of </w:t>
      </w:r>
      <w:r w:rsidR="00D3462C">
        <w:t xml:space="preserve">current </w:t>
      </w:r>
      <w:r>
        <w:t xml:space="preserve">education sector strategy development initiatives linked to proposed changes in </w:t>
      </w:r>
      <w:proofErr w:type="spellStart"/>
      <w:r>
        <w:t>GoV</w:t>
      </w:r>
      <w:proofErr w:type="spellEnd"/>
      <w:r>
        <w:t xml:space="preserve">-funded or </w:t>
      </w:r>
      <w:r w:rsidR="00154BEB">
        <w:t>d</w:t>
      </w:r>
      <w:r>
        <w:t xml:space="preserve">evelopment </w:t>
      </w:r>
      <w:r w:rsidR="00154BEB">
        <w:t>p</w:t>
      </w:r>
      <w:r>
        <w:t>artner</w:t>
      </w:r>
      <w:r w:rsidR="00D3462C">
        <w:t>-</w:t>
      </w:r>
      <w:r>
        <w:t>funded budget allocations.</w:t>
      </w:r>
    </w:p>
    <w:p w:rsidR="002611A0" w:rsidRDefault="002611A0" w:rsidP="00CE1ECF">
      <w:pPr>
        <w:jc w:val="both"/>
        <w:sectPr w:rsidR="002611A0" w:rsidSect="00617B8E">
          <w:headerReference w:type="default" r:id="rId11"/>
          <w:pgSz w:w="11906" w:h="16838"/>
          <w:pgMar w:top="1134" w:right="1134" w:bottom="1134" w:left="1418" w:header="709" w:footer="709" w:gutter="0"/>
          <w:cols w:space="708"/>
          <w:docGrid w:linePitch="360"/>
        </w:sectPr>
      </w:pPr>
    </w:p>
    <w:tbl>
      <w:tblPr>
        <w:tblStyle w:val="TableGrid"/>
        <w:tblW w:w="0" w:type="auto"/>
        <w:tblLook w:val="04A0" w:firstRow="1" w:lastRow="0" w:firstColumn="1" w:lastColumn="0" w:noHBand="0" w:noVBand="1"/>
        <w:tblCaption w:val="Vanuatu education sector objectives and priorities"/>
        <w:tblDescription w:val="Outlines the Vanuatu education sector's objectives and principles according to key GoV policies: the Vanuatu Education Sector Strategy, Planning Long Acting Short, Vanuatu Education Road Map, and Vanuatu Early Childhood Care and Education Policy"/>
      </w:tblPr>
      <w:tblGrid>
        <w:gridCol w:w="1785"/>
        <w:gridCol w:w="6"/>
        <w:gridCol w:w="6082"/>
        <w:gridCol w:w="3767"/>
        <w:gridCol w:w="2862"/>
      </w:tblGrid>
      <w:tr w:rsidR="00D12029" w:rsidTr="00D339A4">
        <w:trPr>
          <w:tblHeader/>
        </w:trPr>
        <w:tc>
          <w:tcPr>
            <w:tcW w:w="14502" w:type="dxa"/>
            <w:gridSpan w:val="5"/>
            <w:shd w:val="clear" w:color="auto" w:fill="BFBFBF" w:themeFill="background1" w:themeFillShade="BF"/>
          </w:tcPr>
          <w:p w:rsidR="00D12029" w:rsidRPr="00D12029" w:rsidRDefault="00D12029" w:rsidP="000F65C3">
            <w:r>
              <w:lastRenderedPageBreak/>
              <w:t xml:space="preserve">Table </w:t>
            </w:r>
            <w:r w:rsidR="000F65C3">
              <w:t>5</w:t>
            </w:r>
            <w:r>
              <w:t>: Vanuatu education sector objectives and priorities</w:t>
            </w:r>
          </w:p>
        </w:tc>
      </w:tr>
      <w:tr w:rsidR="00666A24" w:rsidTr="003132B9">
        <w:tc>
          <w:tcPr>
            <w:tcW w:w="1785" w:type="dxa"/>
          </w:tcPr>
          <w:p w:rsidR="00666A24" w:rsidRPr="00D12029" w:rsidRDefault="00666A24" w:rsidP="00D12029">
            <w:pPr>
              <w:jc w:val="center"/>
              <w:rPr>
                <w:b/>
                <w:sz w:val="20"/>
                <w:szCs w:val="20"/>
              </w:rPr>
            </w:pPr>
            <w:r w:rsidRPr="00D12029">
              <w:rPr>
                <w:b/>
                <w:sz w:val="20"/>
                <w:szCs w:val="20"/>
              </w:rPr>
              <w:t>Policy Statement</w:t>
            </w:r>
          </w:p>
        </w:tc>
        <w:tc>
          <w:tcPr>
            <w:tcW w:w="6088" w:type="dxa"/>
            <w:gridSpan w:val="2"/>
          </w:tcPr>
          <w:p w:rsidR="00666A24" w:rsidRPr="00D12029" w:rsidRDefault="00666A24" w:rsidP="00D95243">
            <w:pPr>
              <w:jc w:val="center"/>
              <w:rPr>
                <w:b/>
                <w:sz w:val="20"/>
                <w:szCs w:val="20"/>
              </w:rPr>
            </w:pPr>
            <w:r w:rsidRPr="00D12029">
              <w:rPr>
                <w:b/>
                <w:sz w:val="20"/>
                <w:szCs w:val="20"/>
              </w:rPr>
              <w:t xml:space="preserve">Key </w:t>
            </w:r>
            <w:r w:rsidR="00D95243">
              <w:rPr>
                <w:b/>
                <w:sz w:val="20"/>
                <w:szCs w:val="20"/>
              </w:rPr>
              <w:t>education goals</w:t>
            </w:r>
          </w:p>
        </w:tc>
        <w:tc>
          <w:tcPr>
            <w:tcW w:w="3767" w:type="dxa"/>
          </w:tcPr>
          <w:p w:rsidR="00666A24" w:rsidRPr="00D12029" w:rsidRDefault="00666A24" w:rsidP="002A2887">
            <w:pPr>
              <w:jc w:val="center"/>
              <w:rPr>
                <w:b/>
                <w:sz w:val="20"/>
                <w:szCs w:val="20"/>
              </w:rPr>
            </w:pPr>
            <w:r w:rsidRPr="00D12029">
              <w:rPr>
                <w:b/>
                <w:sz w:val="20"/>
                <w:szCs w:val="20"/>
              </w:rPr>
              <w:t>Policy objectives</w:t>
            </w:r>
            <w:r>
              <w:rPr>
                <w:b/>
                <w:sz w:val="20"/>
                <w:szCs w:val="20"/>
              </w:rPr>
              <w:t>/priorities</w:t>
            </w:r>
          </w:p>
        </w:tc>
        <w:tc>
          <w:tcPr>
            <w:tcW w:w="2862" w:type="dxa"/>
          </w:tcPr>
          <w:p w:rsidR="00666A24" w:rsidRPr="00D12029" w:rsidRDefault="00666A24" w:rsidP="00D12029">
            <w:pPr>
              <w:jc w:val="center"/>
              <w:rPr>
                <w:b/>
                <w:sz w:val="20"/>
                <w:szCs w:val="20"/>
              </w:rPr>
            </w:pPr>
            <w:r>
              <w:rPr>
                <w:b/>
                <w:sz w:val="20"/>
                <w:szCs w:val="20"/>
              </w:rPr>
              <w:t xml:space="preserve">Performance </w:t>
            </w:r>
            <w:r w:rsidRPr="00D12029">
              <w:rPr>
                <w:b/>
                <w:sz w:val="20"/>
                <w:szCs w:val="20"/>
              </w:rPr>
              <w:t>Indicators</w:t>
            </w:r>
          </w:p>
        </w:tc>
      </w:tr>
      <w:tr w:rsidR="00666A24" w:rsidTr="003132B9">
        <w:tc>
          <w:tcPr>
            <w:tcW w:w="1785" w:type="dxa"/>
          </w:tcPr>
          <w:p w:rsidR="00666A24" w:rsidRPr="00D12029" w:rsidRDefault="00666A24" w:rsidP="00D12029">
            <w:pPr>
              <w:rPr>
                <w:sz w:val="20"/>
                <w:szCs w:val="20"/>
              </w:rPr>
            </w:pPr>
            <w:r>
              <w:rPr>
                <w:sz w:val="20"/>
                <w:szCs w:val="20"/>
              </w:rPr>
              <w:t>Vanuatu Education Sector Strategy (December 2006)</w:t>
            </w:r>
          </w:p>
        </w:tc>
        <w:tc>
          <w:tcPr>
            <w:tcW w:w="6088" w:type="dxa"/>
            <w:gridSpan w:val="2"/>
          </w:tcPr>
          <w:p w:rsidR="00DA6AB7" w:rsidRPr="00DA6AB7" w:rsidRDefault="00DA6AB7" w:rsidP="00501831">
            <w:pPr>
              <w:numPr>
                <w:ilvl w:val="0"/>
                <w:numId w:val="7"/>
              </w:numPr>
              <w:tabs>
                <w:tab w:val="clear" w:pos="720"/>
                <w:tab w:val="num" w:pos="304"/>
              </w:tabs>
              <w:ind w:left="304" w:hanging="284"/>
              <w:rPr>
                <w:bCs/>
                <w:sz w:val="20"/>
                <w:szCs w:val="20"/>
                <w:lang w:val="en-GB"/>
              </w:rPr>
            </w:pPr>
            <w:r w:rsidRPr="00DA6AB7">
              <w:rPr>
                <w:bCs/>
                <w:sz w:val="20"/>
                <w:szCs w:val="20"/>
                <w:lang w:val="en-GB"/>
              </w:rPr>
              <w:t>Achieve universal primary education completion, strengthen literacy, languages, and numeracy, and develop a national pre-school curriculum and pre-school teacher training program</w:t>
            </w:r>
          </w:p>
          <w:p w:rsidR="00DA6AB7" w:rsidRPr="00DA6AB7" w:rsidRDefault="00DA6AB7" w:rsidP="00501831">
            <w:pPr>
              <w:numPr>
                <w:ilvl w:val="0"/>
                <w:numId w:val="7"/>
              </w:numPr>
              <w:tabs>
                <w:tab w:val="clear" w:pos="720"/>
                <w:tab w:val="num" w:pos="304"/>
              </w:tabs>
              <w:ind w:left="304" w:hanging="284"/>
              <w:rPr>
                <w:bCs/>
                <w:sz w:val="20"/>
                <w:szCs w:val="20"/>
                <w:lang w:val="en-GB"/>
              </w:rPr>
            </w:pPr>
            <w:r w:rsidRPr="00DA6AB7">
              <w:rPr>
                <w:bCs/>
                <w:sz w:val="20"/>
                <w:szCs w:val="20"/>
                <w:lang w:val="en-GB"/>
              </w:rPr>
              <w:t xml:space="preserve">Continue to expand and improve affordable bi-lingual secondary, technical, and higher education which </w:t>
            </w:r>
            <w:proofErr w:type="gramStart"/>
            <w:r w:rsidRPr="00DA6AB7">
              <w:rPr>
                <w:bCs/>
                <w:sz w:val="20"/>
                <w:szCs w:val="20"/>
                <w:lang w:val="en-GB"/>
              </w:rPr>
              <w:t>meets</w:t>
            </w:r>
            <w:proofErr w:type="gramEnd"/>
            <w:r w:rsidRPr="00DA6AB7">
              <w:rPr>
                <w:bCs/>
                <w:sz w:val="20"/>
                <w:szCs w:val="20"/>
                <w:lang w:val="en-GB"/>
              </w:rPr>
              <w:t xml:space="preserve"> national and international standards.</w:t>
            </w:r>
          </w:p>
          <w:p w:rsidR="00DA6AB7" w:rsidRPr="00DA6AB7" w:rsidRDefault="00DA6AB7" w:rsidP="00501831">
            <w:pPr>
              <w:numPr>
                <w:ilvl w:val="0"/>
                <w:numId w:val="7"/>
              </w:numPr>
              <w:tabs>
                <w:tab w:val="clear" w:pos="720"/>
                <w:tab w:val="num" w:pos="304"/>
              </w:tabs>
              <w:ind w:left="304" w:hanging="284"/>
              <w:rPr>
                <w:bCs/>
                <w:sz w:val="20"/>
                <w:szCs w:val="20"/>
                <w:lang w:val="en-GB"/>
              </w:rPr>
            </w:pPr>
            <w:r w:rsidRPr="00DA6AB7">
              <w:rPr>
                <w:bCs/>
                <w:sz w:val="20"/>
                <w:szCs w:val="20"/>
                <w:lang w:val="en-GB"/>
              </w:rPr>
              <w:t>Provide more relevant and accessible curriculum, materials and assessment systems</w:t>
            </w:r>
          </w:p>
          <w:p w:rsidR="00DA6AB7" w:rsidRPr="00DA6AB7" w:rsidRDefault="00DA6AB7" w:rsidP="00501831">
            <w:pPr>
              <w:numPr>
                <w:ilvl w:val="0"/>
                <w:numId w:val="7"/>
              </w:numPr>
              <w:tabs>
                <w:tab w:val="clear" w:pos="720"/>
                <w:tab w:val="num" w:pos="304"/>
              </w:tabs>
              <w:ind w:left="304" w:hanging="284"/>
              <w:rPr>
                <w:bCs/>
                <w:sz w:val="20"/>
                <w:szCs w:val="20"/>
                <w:lang w:val="en-GB"/>
              </w:rPr>
            </w:pPr>
            <w:r w:rsidRPr="00DA6AB7">
              <w:rPr>
                <w:bCs/>
                <w:sz w:val="20"/>
                <w:szCs w:val="20"/>
                <w:lang w:val="en-GB"/>
              </w:rPr>
              <w:t>Provide qualified, productive and well-supported teachers for every school and strengthen the professional competence of teachers</w:t>
            </w:r>
          </w:p>
          <w:p w:rsidR="00DA6AB7" w:rsidRPr="00DA6AB7" w:rsidRDefault="00DA6AB7" w:rsidP="00501831">
            <w:pPr>
              <w:numPr>
                <w:ilvl w:val="0"/>
                <w:numId w:val="7"/>
              </w:numPr>
              <w:tabs>
                <w:tab w:val="clear" w:pos="720"/>
                <w:tab w:val="num" w:pos="304"/>
              </w:tabs>
              <w:ind w:left="304" w:hanging="284"/>
              <w:rPr>
                <w:bCs/>
                <w:sz w:val="20"/>
                <w:szCs w:val="20"/>
                <w:lang w:val="en-GB"/>
              </w:rPr>
            </w:pPr>
            <w:r w:rsidRPr="00DA6AB7">
              <w:rPr>
                <w:bCs/>
                <w:sz w:val="20"/>
                <w:szCs w:val="20"/>
                <w:lang w:val="en-GB"/>
              </w:rPr>
              <w:t>Bring the education,  management and facilities of every school up to a sustainable minimum standard, able to provide a safe and caring learning environment, and continuously improving its services</w:t>
            </w:r>
          </w:p>
          <w:p w:rsidR="00666A24" w:rsidRPr="00DA6AB7" w:rsidRDefault="00DA6AB7" w:rsidP="00501831">
            <w:pPr>
              <w:numPr>
                <w:ilvl w:val="0"/>
                <w:numId w:val="7"/>
              </w:numPr>
              <w:tabs>
                <w:tab w:val="clear" w:pos="720"/>
                <w:tab w:val="num" w:pos="304"/>
              </w:tabs>
              <w:ind w:left="304" w:hanging="284"/>
              <w:rPr>
                <w:sz w:val="20"/>
                <w:szCs w:val="20"/>
              </w:rPr>
            </w:pPr>
            <w:r w:rsidRPr="00DA6AB7">
              <w:rPr>
                <w:bCs/>
                <w:sz w:val="20"/>
                <w:szCs w:val="20"/>
                <w:lang w:val="en-GB"/>
              </w:rPr>
              <w:t>Strengthen the effectiveness, productivity, accountability, transparency, governance, and decentralization of the education system and build capacities for results-based management at all levels</w:t>
            </w:r>
          </w:p>
          <w:p w:rsidR="00DA6AB7" w:rsidRPr="00D12029" w:rsidRDefault="00DA6AB7" w:rsidP="00501831">
            <w:pPr>
              <w:numPr>
                <w:ilvl w:val="0"/>
                <w:numId w:val="7"/>
              </w:numPr>
              <w:tabs>
                <w:tab w:val="clear" w:pos="720"/>
                <w:tab w:val="num" w:pos="304"/>
              </w:tabs>
              <w:spacing w:after="120"/>
              <w:ind w:left="304" w:hanging="284"/>
              <w:jc w:val="both"/>
              <w:rPr>
                <w:sz w:val="20"/>
                <w:szCs w:val="20"/>
              </w:rPr>
            </w:pPr>
            <w:r w:rsidRPr="00E808B2">
              <w:rPr>
                <w:rFonts w:cs="Times New Roman"/>
                <w:bCs/>
                <w:sz w:val="20"/>
                <w:szCs w:val="20"/>
              </w:rPr>
              <w:t>Strengthen partnerships at national, provincial and local levels, and empower school communities</w:t>
            </w:r>
          </w:p>
        </w:tc>
        <w:tc>
          <w:tcPr>
            <w:tcW w:w="3767" w:type="dxa"/>
          </w:tcPr>
          <w:p w:rsidR="00666A24" w:rsidRPr="00D12029" w:rsidRDefault="002F3934" w:rsidP="00B14425">
            <w:pPr>
              <w:rPr>
                <w:sz w:val="20"/>
                <w:szCs w:val="20"/>
              </w:rPr>
            </w:pPr>
            <w:r>
              <w:rPr>
                <w:sz w:val="20"/>
                <w:szCs w:val="20"/>
              </w:rPr>
              <w:t>Seven policy objectives (e.g. Basic education: universal completion, literacy, numeracy</w:t>
            </w:r>
            <w:r w:rsidR="00B14425">
              <w:rPr>
                <w:sz w:val="20"/>
                <w:szCs w:val="20"/>
              </w:rPr>
              <w:t xml:space="preserve"> and life skills) encompassing multiple priorities (e.g. support one year of pre-school for every child by age 5; all children should commence Year 1 by age 6).</w:t>
            </w:r>
          </w:p>
        </w:tc>
        <w:tc>
          <w:tcPr>
            <w:tcW w:w="2862" w:type="dxa"/>
          </w:tcPr>
          <w:p w:rsidR="00666A24" w:rsidRPr="00D12029" w:rsidRDefault="00B14425" w:rsidP="00D12029">
            <w:pPr>
              <w:rPr>
                <w:sz w:val="20"/>
                <w:szCs w:val="20"/>
              </w:rPr>
            </w:pPr>
            <w:proofErr w:type="gramStart"/>
            <w:r>
              <w:rPr>
                <w:sz w:val="20"/>
                <w:szCs w:val="20"/>
              </w:rPr>
              <w:t>Over</w:t>
            </w:r>
            <w:proofErr w:type="gramEnd"/>
            <w:r>
              <w:rPr>
                <w:sz w:val="20"/>
                <w:szCs w:val="20"/>
              </w:rPr>
              <w:t xml:space="preserve"> fifty indicators, a majority of which have neither a baseline measured nor a </w:t>
            </w:r>
            <w:r w:rsidR="000248A2">
              <w:rPr>
                <w:sz w:val="20"/>
                <w:szCs w:val="20"/>
              </w:rPr>
              <w:t>measurable performance</w:t>
            </w:r>
            <w:r>
              <w:rPr>
                <w:sz w:val="20"/>
                <w:szCs w:val="20"/>
              </w:rPr>
              <w:t xml:space="preserve"> target set.</w:t>
            </w:r>
          </w:p>
        </w:tc>
      </w:tr>
      <w:tr w:rsidR="00666A24" w:rsidTr="003132B9">
        <w:tc>
          <w:tcPr>
            <w:tcW w:w="1785" w:type="dxa"/>
          </w:tcPr>
          <w:p w:rsidR="00666A24" w:rsidRPr="00D12029" w:rsidRDefault="00C54BED" w:rsidP="00154BEB">
            <w:pPr>
              <w:rPr>
                <w:sz w:val="20"/>
                <w:szCs w:val="20"/>
              </w:rPr>
            </w:pPr>
            <w:r>
              <w:rPr>
                <w:sz w:val="20"/>
                <w:szCs w:val="20"/>
              </w:rPr>
              <w:t xml:space="preserve">Planning Long Acting Short: Policy priorities for 2009-2012 </w:t>
            </w:r>
          </w:p>
        </w:tc>
        <w:tc>
          <w:tcPr>
            <w:tcW w:w="6088" w:type="dxa"/>
            <w:gridSpan w:val="2"/>
          </w:tcPr>
          <w:p w:rsidR="00C54BED" w:rsidRDefault="00C54BED" w:rsidP="00501831">
            <w:pPr>
              <w:pStyle w:val="Default"/>
              <w:numPr>
                <w:ilvl w:val="0"/>
                <w:numId w:val="10"/>
              </w:numPr>
              <w:tabs>
                <w:tab w:val="clear" w:pos="720"/>
                <w:tab w:val="num" w:pos="304"/>
              </w:tabs>
              <w:ind w:left="304" w:hanging="304"/>
              <w:rPr>
                <w:rFonts w:ascii="Times New Roman" w:hAnsi="Times New Roman" w:cs="Times New Roman"/>
                <w:bCs/>
                <w:sz w:val="20"/>
                <w:szCs w:val="20"/>
              </w:rPr>
            </w:pPr>
            <w:r w:rsidRPr="00C54BED">
              <w:rPr>
                <w:rFonts w:ascii="Times New Roman" w:hAnsi="Times New Roman" w:cs="Times New Roman"/>
                <w:bCs/>
                <w:sz w:val="20"/>
                <w:szCs w:val="20"/>
              </w:rPr>
              <w:t xml:space="preserve">Ensure quality of education for all </w:t>
            </w:r>
          </w:p>
          <w:p w:rsidR="00C54BED" w:rsidRPr="00C54BED" w:rsidRDefault="00C54BED" w:rsidP="00501831">
            <w:pPr>
              <w:pStyle w:val="Default"/>
              <w:numPr>
                <w:ilvl w:val="0"/>
                <w:numId w:val="10"/>
              </w:numPr>
              <w:tabs>
                <w:tab w:val="clear" w:pos="720"/>
                <w:tab w:val="num" w:pos="304"/>
              </w:tabs>
              <w:ind w:left="304" w:hanging="304"/>
              <w:rPr>
                <w:rFonts w:ascii="Times New Roman" w:hAnsi="Times New Roman" w:cs="Times New Roman"/>
                <w:sz w:val="20"/>
                <w:szCs w:val="20"/>
              </w:rPr>
            </w:pPr>
            <w:r w:rsidRPr="00C54BED">
              <w:rPr>
                <w:rFonts w:ascii="Times New Roman" w:hAnsi="Times New Roman" w:cs="Times New Roman"/>
                <w:bCs/>
                <w:sz w:val="20"/>
                <w:szCs w:val="20"/>
              </w:rPr>
              <w:t>Create better environment for employment opportunities</w:t>
            </w:r>
          </w:p>
          <w:p w:rsidR="00666A24" w:rsidRPr="00D12029" w:rsidRDefault="00666A24" w:rsidP="00D12029">
            <w:pPr>
              <w:rPr>
                <w:sz w:val="20"/>
                <w:szCs w:val="20"/>
              </w:rPr>
            </w:pPr>
          </w:p>
        </w:tc>
        <w:tc>
          <w:tcPr>
            <w:tcW w:w="3767" w:type="dxa"/>
          </w:tcPr>
          <w:p w:rsidR="00666A24" w:rsidRPr="00D12029" w:rsidRDefault="00C54BED" w:rsidP="00C36B5B">
            <w:pPr>
              <w:pStyle w:val="Default"/>
              <w:rPr>
                <w:sz w:val="20"/>
                <w:szCs w:val="20"/>
              </w:rPr>
            </w:pPr>
            <w:r w:rsidRPr="00C54BED">
              <w:rPr>
                <w:rFonts w:ascii="Times New Roman" w:hAnsi="Times New Roman" w:cs="Times New Roman"/>
                <w:sz w:val="20"/>
                <w:szCs w:val="20"/>
              </w:rPr>
              <w:t>Improve the quality of education</w:t>
            </w:r>
            <w:r>
              <w:rPr>
                <w:rFonts w:ascii="Times New Roman" w:hAnsi="Times New Roman" w:cs="Times New Roman"/>
                <w:sz w:val="20"/>
                <w:szCs w:val="20"/>
              </w:rPr>
              <w:t>; p</w:t>
            </w:r>
            <w:r w:rsidRPr="00C54BED">
              <w:rPr>
                <w:rFonts w:ascii="Times New Roman" w:hAnsi="Times New Roman" w:cs="Times New Roman"/>
                <w:sz w:val="20"/>
                <w:szCs w:val="20"/>
              </w:rPr>
              <w:t>hase out compulsory primary school contributions and replace with increased grants direct to schools</w:t>
            </w:r>
            <w:r>
              <w:rPr>
                <w:rFonts w:ascii="Times New Roman" w:hAnsi="Times New Roman" w:cs="Times New Roman"/>
                <w:sz w:val="20"/>
                <w:szCs w:val="20"/>
              </w:rPr>
              <w:t xml:space="preserve">; </w:t>
            </w:r>
            <w:r w:rsidR="00C36B5B">
              <w:rPr>
                <w:rFonts w:ascii="Times New Roman" w:hAnsi="Times New Roman" w:cs="Times New Roman"/>
                <w:sz w:val="20"/>
                <w:szCs w:val="20"/>
              </w:rPr>
              <w:t>i</w:t>
            </w:r>
            <w:r w:rsidRPr="00C36B5B">
              <w:rPr>
                <w:rFonts w:ascii="Times New Roman" w:hAnsi="Times New Roman" w:cs="Times New Roman"/>
                <w:sz w:val="20"/>
                <w:szCs w:val="20"/>
              </w:rPr>
              <w:t>ncrease human resource capacity in critical areas for Vanuatu’s development</w:t>
            </w:r>
            <w:r w:rsidR="00C36B5B">
              <w:rPr>
                <w:rFonts w:ascii="Times New Roman" w:hAnsi="Times New Roman" w:cs="Times New Roman"/>
                <w:sz w:val="20"/>
                <w:szCs w:val="20"/>
              </w:rPr>
              <w:t>; e</w:t>
            </w:r>
            <w:r w:rsidR="00C36B5B" w:rsidRPr="00C36B5B">
              <w:rPr>
                <w:rFonts w:ascii="Times New Roman" w:hAnsi="Times New Roman" w:cs="Times New Roman"/>
                <w:sz w:val="20"/>
                <w:szCs w:val="20"/>
              </w:rPr>
              <w:t>xpand trade skills development</w:t>
            </w:r>
            <w:r>
              <w:rPr>
                <w:sz w:val="18"/>
                <w:szCs w:val="18"/>
              </w:rPr>
              <w:t xml:space="preserve"> </w:t>
            </w:r>
          </w:p>
        </w:tc>
        <w:tc>
          <w:tcPr>
            <w:tcW w:w="2862" w:type="dxa"/>
          </w:tcPr>
          <w:p w:rsidR="00C36B5B" w:rsidRPr="00C36B5B" w:rsidRDefault="00C36B5B" w:rsidP="00C36B5B">
            <w:pPr>
              <w:rPr>
                <w:rFonts w:cs="Times New Roman"/>
                <w:sz w:val="20"/>
                <w:szCs w:val="20"/>
              </w:rPr>
            </w:pPr>
            <w:r>
              <w:rPr>
                <w:sz w:val="20"/>
                <w:szCs w:val="20"/>
              </w:rPr>
              <w:t xml:space="preserve">Multiple task-based time-bound indicators (e.g. </w:t>
            </w:r>
            <w:r w:rsidRPr="00C36B5B">
              <w:rPr>
                <w:rFonts w:cs="Times New Roman"/>
                <w:sz w:val="20"/>
                <w:szCs w:val="20"/>
              </w:rPr>
              <w:t>Government and donors contributions to scholarship increased</w:t>
            </w:r>
            <w:r>
              <w:rPr>
                <w:rFonts w:cs="Times New Roman"/>
                <w:sz w:val="20"/>
                <w:szCs w:val="20"/>
              </w:rPr>
              <w:t xml:space="preserve"> by 2009-2012) but no other performance indicators.</w:t>
            </w:r>
            <w:r w:rsidRPr="00C36B5B">
              <w:rPr>
                <w:rFonts w:cs="Times New Roman"/>
                <w:sz w:val="20"/>
                <w:szCs w:val="20"/>
              </w:rPr>
              <w:t xml:space="preserve"> </w:t>
            </w:r>
          </w:p>
          <w:p w:rsidR="00666A24" w:rsidRPr="00D12029" w:rsidRDefault="00666A24" w:rsidP="00D12029">
            <w:pPr>
              <w:rPr>
                <w:sz w:val="20"/>
                <w:szCs w:val="20"/>
              </w:rPr>
            </w:pPr>
          </w:p>
        </w:tc>
      </w:tr>
      <w:tr w:rsidR="00666A24" w:rsidTr="003132B9">
        <w:tc>
          <w:tcPr>
            <w:tcW w:w="1785" w:type="dxa"/>
          </w:tcPr>
          <w:p w:rsidR="00666A24" w:rsidRPr="00D12029" w:rsidRDefault="00666A24" w:rsidP="00D12029">
            <w:pPr>
              <w:rPr>
                <w:sz w:val="20"/>
                <w:szCs w:val="20"/>
              </w:rPr>
            </w:pPr>
            <w:r>
              <w:rPr>
                <w:sz w:val="20"/>
                <w:szCs w:val="20"/>
              </w:rPr>
              <w:t>Vanuatu Education Road Map (December 2009)</w:t>
            </w:r>
          </w:p>
        </w:tc>
        <w:tc>
          <w:tcPr>
            <w:tcW w:w="6088" w:type="dxa"/>
            <w:gridSpan w:val="2"/>
          </w:tcPr>
          <w:p w:rsidR="00666A24" w:rsidRDefault="00EC2C59" w:rsidP="00501831">
            <w:pPr>
              <w:pStyle w:val="ListParagraph"/>
              <w:numPr>
                <w:ilvl w:val="0"/>
                <w:numId w:val="8"/>
              </w:numPr>
              <w:tabs>
                <w:tab w:val="clear" w:pos="720"/>
                <w:tab w:val="num" w:pos="304"/>
              </w:tabs>
              <w:ind w:left="304" w:hanging="284"/>
              <w:rPr>
                <w:sz w:val="20"/>
                <w:szCs w:val="20"/>
              </w:rPr>
            </w:pPr>
            <w:r>
              <w:rPr>
                <w:sz w:val="20"/>
                <w:szCs w:val="20"/>
              </w:rPr>
              <w:t>Increase equitable access to education for all people at all levels of education in Vanuatu</w:t>
            </w:r>
          </w:p>
          <w:p w:rsidR="00EC2C59" w:rsidRDefault="00EC2C59" w:rsidP="00501831">
            <w:pPr>
              <w:pStyle w:val="ListParagraph"/>
              <w:numPr>
                <w:ilvl w:val="0"/>
                <w:numId w:val="8"/>
              </w:numPr>
              <w:tabs>
                <w:tab w:val="clear" w:pos="720"/>
                <w:tab w:val="num" w:pos="304"/>
              </w:tabs>
              <w:ind w:left="304" w:hanging="284"/>
              <w:rPr>
                <w:sz w:val="20"/>
                <w:szCs w:val="20"/>
              </w:rPr>
            </w:pPr>
            <w:r>
              <w:rPr>
                <w:sz w:val="20"/>
                <w:szCs w:val="20"/>
              </w:rPr>
              <w:t>Improve the quality of education in Vanuatu</w:t>
            </w:r>
          </w:p>
          <w:p w:rsidR="00EC2C59" w:rsidRPr="00EC2C59" w:rsidRDefault="000248A2" w:rsidP="00501831">
            <w:pPr>
              <w:pStyle w:val="ListParagraph"/>
              <w:numPr>
                <w:ilvl w:val="0"/>
                <w:numId w:val="8"/>
              </w:numPr>
              <w:tabs>
                <w:tab w:val="clear" w:pos="720"/>
                <w:tab w:val="num" w:pos="304"/>
              </w:tabs>
              <w:ind w:left="304" w:hanging="284"/>
              <w:rPr>
                <w:sz w:val="20"/>
                <w:szCs w:val="20"/>
              </w:rPr>
            </w:pPr>
            <w:r>
              <w:rPr>
                <w:sz w:val="20"/>
                <w:szCs w:val="20"/>
              </w:rPr>
              <w:t>Improve</w:t>
            </w:r>
            <w:r w:rsidR="00EC2C59">
              <w:rPr>
                <w:sz w:val="20"/>
                <w:szCs w:val="20"/>
              </w:rPr>
              <w:t xml:space="preserve"> and strengthen management of the education system in Vanuatu</w:t>
            </w:r>
          </w:p>
        </w:tc>
        <w:tc>
          <w:tcPr>
            <w:tcW w:w="3767" w:type="dxa"/>
          </w:tcPr>
          <w:p w:rsidR="00666A24" w:rsidRDefault="00EC2C59" w:rsidP="00D12029">
            <w:pPr>
              <w:rPr>
                <w:sz w:val="20"/>
                <w:szCs w:val="20"/>
              </w:rPr>
            </w:pPr>
            <w:r>
              <w:rPr>
                <w:sz w:val="20"/>
                <w:szCs w:val="20"/>
              </w:rPr>
              <w:t>Eight priorities: school grants; facilities development; basic education; curriculum development; teacher education; human resource development; policy development; planning, management and coordination.</w:t>
            </w:r>
          </w:p>
          <w:p w:rsidR="00EC2C59" w:rsidRPr="00D12029" w:rsidRDefault="00EC2C59" w:rsidP="00EC2C59">
            <w:pPr>
              <w:rPr>
                <w:sz w:val="20"/>
                <w:szCs w:val="20"/>
              </w:rPr>
            </w:pPr>
            <w:r>
              <w:rPr>
                <w:sz w:val="20"/>
                <w:szCs w:val="20"/>
              </w:rPr>
              <w:t>Twenty one objectives grouped against the three strategic goals.</w:t>
            </w:r>
          </w:p>
        </w:tc>
        <w:tc>
          <w:tcPr>
            <w:tcW w:w="2862" w:type="dxa"/>
          </w:tcPr>
          <w:p w:rsidR="00666A24" w:rsidRPr="00D12029" w:rsidRDefault="00EC2C59" w:rsidP="00154BEB">
            <w:pPr>
              <w:rPr>
                <w:sz w:val="20"/>
                <w:szCs w:val="20"/>
              </w:rPr>
            </w:pPr>
            <w:r>
              <w:rPr>
                <w:sz w:val="20"/>
                <w:szCs w:val="20"/>
              </w:rPr>
              <w:t xml:space="preserve">The VERM </w:t>
            </w:r>
            <w:r w:rsidR="000248A2">
              <w:rPr>
                <w:sz w:val="20"/>
                <w:szCs w:val="20"/>
              </w:rPr>
              <w:t>Performance</w:t>
            </w:r>
            <w:r>
              <w:rPr>
                <w:sz w:val="20"/>
                <w:szCs w:val="20"/>
              </w:rPr>
              <w:t xml:space="preserve"> framework specified nineteen performance indicators.  A measured baseline was set for 10 of these (amongst those quantifiable) and a measurable program target for </w:t>
            </w:r>
            <w:r w:rsidR="00970B5D">
              <w:rPr>
                <w:sz w:val="20"/>
                <w:szCs w:val="20"/>
              </w:rPr>
              <w:t>eight.</w:t>
            </w:r>
          </w:p>
        </w:tc>
      </w:tr>
      <w:tr w:rsidR="00666A24" w:rsidTr="003132B9">
        <w:tc>
          <w:tcPr>
            <w:tcW w:w="1785" w:type="dxa"/>
          </w:tcPr>
          <w:p w:rsidR="00666A24" w:rsidRPr="00D12029" w:rsidRDefault="00666A24" w:rsidP="00D12029">
            <w:pPr>
              <w:rPr>
                <w:sz w:val="20"/>
                <w:szCs w:val="20"/>
              </w:rPr>
            </w:pPr>
            <w:r>
              <w:rPr>
                <w:sz w:val="20"/>
                <w:szCs w:val="20"/>
              </w:rPr>
              <w:t>Vanuatu Early Childhood Care &amp; Education Policy (August 2010)</w:t>
            </w:r>
          </w:p>
        </w:tc>
        <w:tc>
          <w:tcPr>
            <w:tcW w:w="6088" w:type="dxa"/>
            <w:gridSpan w:val="2"/>
          </w:tcPr>
          <w:p w:rsidR="00666A24" w:rsidRDefault="00666A24" w:rsidP="00501831">
            <w:pPr>
              <w:pStyle w:val="ListParagraph"/>
              <w:numPr>
                <w:ilvl w:val="0"/>
                <w:numId w:val="5"/>
              </w:numPr>
              <w:ind w:left="304" w:hanging="304"/>
              <w:jc w:val="both"/>
              <w:rPr>
                <w:sz w:val="20"/>
                <w:szCs w:val="20"/>
              </w:rPr>
            </w:pPr>
            <w:r>
              <w:rPr>
                <w:sz w:val="20"/>
                <w:szCs w:val="20"/>
              </w:rPr>
              <w:t>Quality of ECCE services is improved and enhanced</w:t>
            </w:r>
          </w:p>
          <w:p w:rsidR="00666A24" w:rsidRDefault="00666A24" w:rsidP="00501831">
            <w:pPr>
              <w:pStyle w:val="ListParagraph"/>
              <w:numPr>
                <w:ilvl w:val="0"/>
                <w:numId w:val="5"/>
              </w:numPr>
              <w:ind w:left="304" w:hanging="304"/>
              <w:jc w:val="both"/>
              <w:rPr>
                <w:sz w:val="20"/>
                <w:szCs w:val="20"/>
              </w:rPr>
            </w:pPr>
            <w:r>
              <w:rPr>
                <w:sz w:val="20"/>
                <w:szCs w:val="20"/>
              </w:rPr>
              <w:t>Equitable access to quality ECCE for all young children including children with disabilities</w:t>
            </w:r>
          </w:p>
          <w:p w:rsidR="00666A24" w:rsidRPr="002A2887" w:rsidRDefault="00666A24" w:rsidP="00501831">
            <w:pPr>
              <w:pStyle w:val="ListParagraph"/>
              <w:numPr>
                <w:ilvl w:val="0"/>
                <w:numId w:val="5"/>
              </w:numPr>
              <w:ind w:left="304" w:hanging="304"/>
              <w:jc w:val="both"/>
              <w:rPr>
                <w:sz w:val="20"/>
                <w:szCs w:val="20"/>
              </w:rPr>
            </w:pPr>
            <w:r>
              <w:rPr>
                <w:sz w:val="20"/>
                <w:szCs w:val="20"/>
              </w:rPr>
              <w:t>Managing ECCE services is effective and efficient</w:t>
            </w:r>
          </w:p>
        </w:tc>
        <w:tc>
          <w:tcPr>
            <w:tcW w:w="3767" w:type="dxa"/>
          </w:tcPr>
          <w:p w:rsidR="00666A24" w:rsidRDefault="00666A24" w:rsidP="00D12029">
            <w:pPr>
              <w:rPr>
                <w:sz w:val="20"/>
                <w:szCs w:val="20"/>
              </w:rPr>
            </w:pPr>
            <w:r>
              <w:rPr>
                <w:sz w:val="20"/>
                <w:szCs w:val="20"/>
              </w:rPr>
              <w:t xml:space="preserve">Six policy objectives (e.g. </w:t>
            </w:r>
            <w:r w:rsidRPr="00666A24">
              <w:rPr>
                <w:sz w:val="20"/>
                <w:szCs w:val="20"/>
              </w:rPr>
              <w:t>ensure all ECCE-teachers meet standards of the highest possible quality</w:t>
            </w:r>
            <w:r w:rsidR="00C36B5B">
              <w:rPr>
                <w:sz w:val="20"/>
                <w:szCs w:val="20"/>
              </w:rPr>
              <w:t>)</w:t>
            </w:r>
            <w:r>
              <w:rPr>
                <w:sz w:val="20"/>
                <w:szCs w:val="20"/>
              </w:rPr>
              <w:t>.</w:t>
            </w:r>
            <w:r w:rsidRPr="00666A24">
              <w:rPr>
                <w:sz w:val="20"/>
                <w:szCs w:val="20"/>
              </w:rPr>
              <w:t xml:space="preserve"> </w:t>
            </w:r>
            <w:r w:rsidR="00C36B5B">
              <w:rPr>
                <w:sz w:val="20"/>
                <w:szCs w:val="20"/>
              </w:rPr>
              <w:t>Ten policy priorities.</w:t>
            </w:r>
          </w:p>
          <w:p w:rsidR="00666A24" w:rsidRPr="00D12029" w:rsidRDefault="00666A24" w:rsidP="00666A24">
            <w:pPr>
              <w:rPr>
                <w:sz w:val="20"/>
                <w:szCs w:val="20"/>
              </w:rPr>
            </w:pPr>
            <w:r w:rsidRPr="00666A24">
              <w:rPr>
                <w:sz w:val="20"/>
                <w:szCs w:val="20"/>
              </w:rPr>
              <w:t xml:space="preserve"> </w:t>
            </w:r>
          </w:p>
        </w:tc>
        <w:tc>
          <w:tcPr>
            <w:tcW w:w="2862" w:type="dxa"/>
          </w:tcPr>
          <w:p w:rsidR="00666A24" w:rsidRPr="00D12029" w:rsidRDefault="00666A24" w:rsidP="00D12029">
            <w:pPr>
              <w:rPr>
                <w:sz w:val="20"/>
                <w:szCs w:val="20"/>
              </w:rPr>
            </w:pPr>
            <w:r>
              <w:rPr>
                <w:sz w:val="20"/>
                <w:szCs w:val="20"/>
              </w:rPr>
              <w:t>None.</w:t>
            </w:r>
          </w:p>
        </w:tc>
      </w:tr>
      <w:tr w:rsidR="00C36B5B" w:rsidTr="003132B9">
        <w:tc>
          <w:tcPr>
            <w:tcW w:w="1791" w:type="dxa"/>
            <w:gridSpan w:val="2"/>
          </w:tcPr>
          <w:p w:rsidR="00C36B5B" w:rsidRPr="00D12029" w:rsidRDefault="00C36B5B" w:rsidP="00C05FAA">
            <w:pPr>
              <w:jc w:val="center"/>
              <w:rPr>
                <w:b/>
                <w:sz w:val="20"/>
                <w:szCs w:val="20"/>
              </w:rPr>
            </w:pPr>
            <w:r w:rsidRPr="00D12029">
              <w:rPr>
                <w:b/>
                <w:sz w:val="20"/>
                <w:szCs w:val="20"/>
              </w:rPr>
              <w:t>Policy Statement</w:t>
            </w:r>
          </w:p>
        </w:tc>
        <w:tc>
          <w:tcPr>
            <w:tcW w:w="6082" w:type="dxa"/>
          </w:tcPr>
          <w:p w:rsidR="00C36B5B" w:rsidRPr="00D12029" w:rsidRDefault="00C36B5B" w:rsidP="00C05FAA">
            <w:pPr>
              <w:jc w:val="center"/>
              <w:rPr>
                <w:b/>
                <w:sz w:val="20"/>
                <w:szCs w:val="20"/>
              </w:rPr>
            </w:pPr>
            <w:r w:rsidRPr="00D12029">
              <w:rPr>
                <w:b/>
                <w:sz w:val="20"/>
                <w:szCs w:val="20"/>
              </w:rPr>
              <w:t xml:space="preserve">Key </w:t>
            </w:r>
            <w:r>
              <w:rPr>
                <w:b/>
                <w:sz w:val="20"/>
                <w:szCs w:val="20"/>
              </w:rPr>
              <w:t>education goals</w:t>
            </w:r>
          </w:p>
        </w:tc>
        <w:tc>
          <w:tcPr>
            <w:tcW w:w="3767" w:type="dxa"/>
          </w:tcPr>
          <w:p w:rsidR="00C36B5B" w:rsidRPr="00D12029" w:rsidRDefault="00C36B5B" w:rsidP="00C05FAA">
            <w:pPr>
              <w:jc w:val="center"/>
              <w:rPr>
                <w:b/>
                <w:sz w:val="20"/>
                <w:szCs w:val="20"/>
              </w:rPr>
            </w:pPr>
            <w:r w:rsidRPr="00D12029">
              <w:rPr>
                <w:b/>
                <w:sz w:val="20"/>
                <w:szCs w:val="20"/>
              </w:rPr>
              <w:t>Policy objectives</w:t>
            </w:r>
            <w:r>
              <w:rPr>
                <w:b/>
                <w:sz w:val="20"/>
                <w:szCs w:val="20"/>
              </w:rPr>
              <w:t>/priorities</w:t>
            </w:r>
          </w:p>
        </w:tc>
        <w:tc>
          <w:tcPr>
            <w:tcW w:w="2862" w:type="dxa"/>
          </w:tcPr>
          <w:p w:rsidR="00C36B5B" w:rsidRPr="00D12029" w:rsidRDefault="00C36B5B" w:rsidP="00C05FAA">
            <w:pPr>
              <w:jc w:val="center"/>
              <w:rPr>
                <w:b/>
                <w:sz w:val="20"/>
                <w:szCs w:val="20"/>
              </w:rPr>
            </w:pPr>
            <w:r>
              <w:rPr>
                <w:b/>
                <w:sz w:val="20"/>
                <w:szCs w:val="20"/>
              </w:rPr>
              <w:t xml:space="preserve">Performance </w:t>
            </w:r>
            <w:r w:rsidRPr="00D12029">
              <w:rPr>
                <w:b/>
                <w:sz w:val="20"/>
                <w:szCs w:val="20"/>
              </w:rPr>
              <w:t>Indicators</w:t>
            </w:r>
          </w:p>
        </w:tc>
      </w:tr>
      <w:tr w:rsidR="00C36B5B" w:rsidTr="003132B9">
        <w:tc>
          <w:tcPr>
            <w:tcW w:w="1791" w:type="dxa"/>
            <w:gridSpan w:val="2"/>
          </w:tcPr>
          <w:p w:rsidR="00C36B5B" w:rsidRPr="00D12029" w:rsidRDefault="00C36B5B" w:rsidP="006650E3">
            <w:pPr>
              <w:rPr>
                <w:sz w:val="20"/>
                <w:szCs w:val="20"/>
              </w:rPr>
            </w:pPr>
            <w:r>
              <w:rPr>
                <w:sz w:val="20"/>
                <w:szCs w:val="20"/>
              </w:rPr>
              <w:lastRenderedPageBreak/>
              <w:t>Inclusive Education Policy and Strategic Plan 2010-2020 (2009)</w:t>
            </w:r>
          </w:p>
        </w:tc>
        <w:tc>
          <w:tcPr>
            <w:tcW w:w="6082" w:type="dxa"/>
          </w:tcPr>
          <w:p w:rsidR="00C36B5B" w:rsidRPr="00D12029" w:rsidRDefault="00C36B5B" w:rsidP="000E0A4F">
            <w:pPr>
              <w:rPr>
                <w:sz w:val="20"/>
                <w:szCs w:val="20"/>
              </w:rPr>
            </w:pPr>
            <w:r>
              <w:rPr>
                <w:sz w:val="20"/>
                <w:szCs w:val="20"/>
              </w:rPr>
              <w:t xml:space="preserve">Vision: </w:t>
            </w:r>
            <w:r w:rsidRPr="006650E3">
              <w:rPr>
                <w:sz w:val="20"/>
                <w:szCs w:val="20"/>
              </w:rPr>
              <w:t>By 2020 all schools will have inclusive practices to meet the educational needs of</w:t>
            </w:r>
            <w:r>
              <w:rPr>
                <w:sz w:val="20"/>
                <w:szCs w:val="20"/>
              </w:rPr>
              <w:t xml:space="preserve"> </w:t>
            </w:r>
            <w:r w:rsidRPr="006650E3">
              <w:rPr>
                <w:sz w:val="20"/>
                <w:szCs w:val="20"/>
              </w:rPr>
              <w:t>all students.</w:t>
            </w:r>
          </w:p>
        </w:tc>
        <w:tc>
          <w:tcPr>
            <w:tcW w:w="3767" w:type="dxa"/>
          </w:tcPr>
          <w:p w:rsidR="00C36B5B" w:rsidRDefault="00C36B5B" w:rsidP="006650E3">
            <w:pPr>
              <w:rPr>
                <w:sz w:val="20"/>
                <w:szCs w:val="20"/>
              </w:rPr>
            </w:pPr>
            <w:r>
              <w:rPr>
                <w:sz w:val="20"/>
                <w:szCs w:val="20"/>
              </w:rPr>
              <w:t>Eight strategies (e.g. early identification and early intervention; IE awareness campaign strategy).</w:t>
            </w:r>
          </w:p>
          <w:p w:rsidR="00C36B5B" w:rsidRDefault="00C36B5B" w:rsidP="006650E3">
            <w:pPr>
              <w:rPr>
                <w:sz w:val="20"/>
                <w:szCs w:val="20"/>
              </w:rPr>
            </w:pPr>
          </w:p>
          <w:p w:rsidR="00C36B5B" w:rsidRPr="00D12029" w:rsidRDefault="00C36B5B" w:rsidP="006650E3">
            <w:pPr>
              <w:rPr>
                <w:sz w:val="20"/>
                <w:szCs w:val="20"/>
              </w:rPr>
            </w:pPr>
            <w:r>
              <w:rPr>
                <w:sz w:val="20"/>
                <w:szCs w:val="20"/>
              </w:rPr>
              <w:t>Sixteen principal and many more supporting activities identified for implementation of the eight strategies.</w:t>
            </w:r>
          </w:p>
        </w:tc>
        <w:tc>
          <w:tcPr>
            <w:tcW w:w="2862" w:type="dxa"/>
          </w:tcPr>
          <w:p w:rsidR="00C36B5B" w:rsidRPr="00D12029" w:rsidRDefault="00C36B5B" w:rsidP="00C60258">
            <w:pPr>
              <w:rPr>
                <w:sz w:val="20"/>
                <w:szCs w:val="20"/>
              </w:rPr>
            </w:pPr>
            <w:r>
              <w:rPr>
                <w:sz w:val="20"/>
                <w:szCs w:val="20"/>
              </w:rPr>
              <w:t>Many activities have a target deadline for completion.  Otherwise no baselines measured or performance targets set.</w:t>
            </w:r>
          </w:p>
        </w:tc>
      </w:tr>
      <w:tr w:rsidR="00C36B5B" w:rsidTr="003132B9">
        <w:tc>
          <w:tcPr>
            <w:tcW w:w="1791" w:type="dxa"/>
            <w:gridSpan w:val="2"/>
          </w:tcPr>
          <w:p w:rsidR="00C36B5B" w:rsidRDefault="00C36B5B" w:rsidP="002A2887">
            <w:pPr>
              <w:rPr>
                <w:sz w:val="20"/>
                <w:szCs w:val="20"/>
              </w:rPr>
            </w:pPr>
            <w:r>
              <w:rPr>
                <w:sz w:val="20"/>
                <w:szCs w:val="20"/>
              </w:rPr>
              <w:t>PAA Action Plan 2011-2015: National Strategic Priority 6 - Education and Human Resource Development (2011)</w:t>
            </w:r>
          </w:p>
          <w:p w:rsidR="00C36B5B" w:rsidRPr="00D12029" w:rsidRDefault="00C36B5B" w:rsidP="002A2887">
            <w:pPr>
              <w:rPr>
                <w:sz w:val="20"/>
                <w:szCs w:val="20"/>
              </w:rPr>
            </w:pPr>
          </w:p>
        </w:tc>
        <w:tc>
          <w:tcPr>
            <w:tcW w:w="6082" w:type="dxa"/>
          </w:tcPr>
          <w:p w:rsidR="00C36B5B" w:rsidRPr="000E0A4F" w:rsidRDefault="00C36B5B" w:rsidP="00501831">
            <w:pPr>
              <w:pStyle w:val="ListParagraph"/>
              <w:numPr>
                <w:ilvl w:val="0"/>
                <w:numId w:val="9"/>
              </w:numPr>
              <w:tabs>
                <w:tab w:val="clear" w:pos="720"/>
                <w:tab w:val="num" w:pos="304"/>
              </w:tabs>
              <w:ind w:left="304" w:hanging="304"/>
              <w:rPr>
                <w:sz w:val="20"/>
                <w:szCs w:val="20"/>
              </w:rPr>
            </w:pPr>
            <w:r w:rsidRPr="000E0A4F">
              <w:rPr>
                <w:sz w:val="20"/>
                <w:szCs w:val="20"/>
              </w:rPr>
              <w:t>Increase equitable access to education and ensure gender and urban/rural balance</w:t>
            </w:r>
          </w:p>
          <w:p w:rsidR="00C36B5B" w:rsidRPr="000E0A4F" w:rsidRDefault="00C36B5B" w:rsidP="00501831">
            <w:pPr>
              <w:pStyle w:val="ListParagraph"/>
              <w:numPr>
                <w:ilvl w:val="0"/>
                <w:numId w:val="9"/>
              </w:numPr>
              <w:tabs>
                <w:tab w:val="clear" w:pos="720"/>
                <w:tab w:val="num" w:pos="304"/>
              </w:tabs>
              <w:ind w:left="304" w:hanging="304"/>
              <w:rPr>
                <w:sz w:val="20"/>
                <w:szCs w:val="20"/>
              </w:rPr>
            </w:pPr>
            <w:r w:rsidRPr="000E0A4F">
              <w:rPr>
                <w:sz w:val="20"/>
                <w:szCs w:val="20"/>
              </w:rPr>
              <w:t>Raise the quality and relevance of education</w:t>
            </w:r>
          </w:p>
          <w:p w:rsidR="00C36B5B" w:rsidRPr="000E0A4F" w:rsidRDefault="00C36B5B" w:rsidP="00501831">
            <w:pPr>
              <w:pStyle w:val="ListParagraph"/>
              <w:numPr>
                <w:ilvl w:val="0"/>
                <w:numId w:val="9"/>
              </w:numPr>
              <w:tabs>
                <w:tab w:val="clear" w:pos="720"/>
                <w:tab w:val="num" w:pos="304"/>
              </w:tabs>
              <w:ind w:left="304" w:hanging="304"/>
              <w:rPr>
                <w:sz w:val="20"/>
                <w:szCs w:val="20"/>
              </w:rPr>
            </w:pPr>
            <w:r w:rsidRPr="000E0A4F">
              <w:rPr>
                <w:sz w:val="20"/>
                <w:szCs w:val="20"/>
              </w:rPr>
              <w:t>Improve and strengthen management of the education system</w:t>
            </w:r>
          </w:p>
          <w:p w:rsidR="00C36B5B" w:rsidRPr="000E0A4F" w:rsidRDefault="00C36B5B" w:rsidP="00501831">
            <w:pPr>
              <w:pStyle w:val="ListParagraph"/>
              <w:numPr>
                <w:ilvl w:val="0"/>
                <w:numId w:val="9"/>
              </w:numPr>
              <w:tabs>
                <w:tab w:val="clear" w:pos="720"/>
                <w:tab w:val="num" w:pos="304"/>
              </w:tabs>
              <w:ind w:left="304" w:hanging="304"/>
              <w:rPr>
                <w:sz w:val="20"/>
                <w:szCs w:val="20"/>
              </w:rPr>
            </w:pPr>
            <w:r w:rsidRPr="000E0A4F">
              <w:rPr>
                <w:sz w:val="20"/>
                <w:szCs w:val="20"/>
              </w:rPr>
              <w:t>Nurture educational and sustainable livelihood opportunities for youth</w:t>
            </w:r>
          </w:p>
        </w:tc>
        <w:tc>
          <w:tcPr>
            <w:tcW w:w="3767" w:type="dxa"/>
          </w:tcPr>
          <w:p w:rsidR="00C36B5B" w:rsidRPr="00D12029" w:rsidRDefault="00C36B5B" w:rsidP="005553C6">
            <w:pPr>
              <w:rPr>
                <w:sz w:val="20"/>
                <w:szCs w:val="20"/>
              </w:rPr>
            </w:pPr>
            <w:r>
              <w:rPr>
                <w:sz w:val="20"/>
                <w:szCs w:val="20"/>
              </w:rPr>
              <w:t>Sixteen strategies grouped under the four goals (e.g. improve equal access to all levels of education for children with special needs; improve the relevance and quality of teacher training)</w:t>
            </w:r>
          </w:p>
        </w:tc>
        <w:tc>
          <w:tcPr>
            <w:tcW w:w="2862" w:type="dxa"/>
          </w:tcPr>
          <w:p w:rsidR="00C36B5B" w:rsidRPr="00D12029" w:rsidRDefault="00C36B5B" w:rsidP="002E3EC7">
            <w:pPr>
              <w:rPr>
                <w:sz w:val="20"/>
                <w:szCs w:val="20"/>
              </w:rPr>
            </w:pPr>
            <w:r>
              <w:rPr>
                <w:sz w:val="20"/>
                <w:szCs w:val="20"/>
              </w:rPr>
              <w:t>Some 35 performance indicators specified of which, for those not task related, baseline specified for eight and performance target specified for six.</w:t>
            </w:r>
          </w:p>
        </w:tc>
      </w:tr>
      <w:tr w:rsidR="00C36B5B" w:rsidTr="003132B9">
        <w:tc>
          <w:tcPr>
            <w:tcW w:w="1791" w:type="dxa"/>
            <w:gridSpan w:val="2"/>
          </w:tcPr>
          <w:p w:rsidR="00C36B5B" w:rsidRDefault="00C36B5B" w:rsidP="002A2887">
            <w:pPr>
              <w:rPr>
                <w:sz w:val="20"/>
                <w:szCs w:val="20"/>
              </w:rPr>
            </w:pPr>
            <w:r>
              <w:rPr>
                <w:sz w:val="20"/>
                <w:szCs w:val="20"/>
              </w:rPr>
              <w:t>Vanuatu Technical Vocational Education and Training (TVET) Policy (March 2011)</w:t>
            </w:r>
          </w:p>
        </w:tc>
        <w:tc>
          <w:tcPr>
            <w:tcW w:w="6082" w:type="dxa"/>
          </w:tcPr>
          <w:p w:rsidR="00C36B5B" w:rsidRDefault="00C36B5B" w:rsidP="00501831">
            <w:pPr>
              <w:pStyle w:val="ListParagraph"/>
              <w:numPr>
                <w:ilvl w:val="0"/>
                <w:numId w:val="6"/>
              </w:numPr>
              <w:ind w:left="304" w:hanging="304"/>
              <w:rPr>
                <w:sz w:val="20"/>
                <w:szCs w:val="20"/>
              </w:rPr>
            </w:pPr>
            <w:r>
              <w:rPr>
                <w:sz w:val="20"/>
                <w:szCs w:val="20"/>
              </w:rPr>
              <w:t>Competent, productive and employable citizens who contribute to an economically and socially developed Vanuatu</w:t>
            </w:r>
          </w:p>
          <w:p w:rsidR="00C36B5B" w:rsidRDefault="00C36B5B" w:rsidP="00501831">
            <w:pPr>
              <w:pStyle w:val="ListParagraph"/>
              <w:numPr>
                <w:ilvl w:val="0"/>
                <w:numId w:val="6"/>
              </w:numPr>
              <w:ind w:left="304" w:hanging="304"/>
              <w:rPr>
                <w:sz w:val="20"/>
                <w:szCs w:val="20"/>
              </w:rPr>
            </w:pPr>
            <w:r>
              <w:rPr>
                <w:sz w:val="20"/>
                <w:szCs w:val="20"/>
              </w:rPr>
              <w:t>An effective management structure with clear roles and responsibilities accountable to the National Parliament through MYDST</w:t>
            </w:r>
          </w:p>
          <w:p w:rsidR="00C36B5B" w:rsidRDefault="00C36B5B" w:rsidP="00501831">
            <w:pPr>
              <w:pStyle w:val="ListParagraph"/>
              <w:numPr>
                <w:ilvl w:val="0"/>
                <w:numId w:val="6"/>
              </w:numPr>
              <w:ind w:left="304" w:hanging="304"/>
              <w:rPr>
                <w:sz w:val="20"/>
                <w:szCs w:val="20"/>
              </w:rPr>
            </w:pPr>
            <w:r>
              <w:rPr>
                <w:sz w:val="20"/>
                <w:szCs w:val="20"/>
              </w:rPr>
              <w:t>Sustainable partnership between Government, private sector and civil society to resource the provision of TVET</w:t>
            </w:r>
          </w:p>
          <w:p w:rsidR="00C36B5B" w:rsidRPr="00D95243" w:rsidRDefault="00C36B5B" w:rsidP="00501831">
            <w:pPr>
              <w:pStyle w:val="ListParagraph"/>
              <w:numPr>
                <w:ilvl w:val="0"/>
                <w:numId w:val="6"/>
              </w:numPr>
              <w:ind w:left="304" w:hanging="304"/>
              <w:rPr>
                <w:sz w:val="20"/>
                <w:szCs w:val="20"/>
              </w:rPr>
            </w:pPr>
            <w:r>
              <w:rPr>
                <w:sz w:val="20"/>
                <w:szCs w:val="20"/>
              </w:rPr>
              <w:t>An accessible, quality assured and demand driven training system that provides skills training leading towards recognised qualifications</w:t>
            </w:r>
          </w:p>
        </w:tc>
        <w:tc>
          <w:tcPr>
            <w:tcW w:w="3767" w:type="dxa"/>
          </w:tcPr>
          <w:p w:rsidR="00C36B5B" w:rsidRPr="00D12029" w:rsidRDefault="00C36B5B" w:rsidP="00D12029">
            <w:pPr>
              <w:rPr>
                <w:sz w:val="20"/>
                <w:szCs w:val="20"/>
              </w:rPr>
            </w:pPr>
            <w:r>
              <w:rPr>
                <w:sz w:val="20"/>
                <w:szCs w:val="20"/>
              </w:rPr>
              <w:t>Nineteen policy objectives (e.g. All TVET courses are competency-based and structured and accredited by the VNTC in response to priority demands of industry; fair and equitable access to TVET programs is available for all).</w:t>
            </w:r>
          </w:p>
        </w:tc>
        <w:tc>
          <w:tcPr>
            <w:tcW w:w="2862" w:type="dxa"/>
          </w:tcPr>
          <w:p w:rsidR="00C36B5B" w:rsidRPr="00D12029" w:rsidRDefault="00C36B5B" w:rsidP="006650E3">
            <w:pPr>
              <w:rPr>
                <w:sz w:val="20"/>
                <w:szCs w:val="20"/>
              </w:rPr>
            </w:pPr>
            <w:r>
              <w:rPr>
                <w:sz w:val="20"/>
                <w:szCs w:val="20"/>
              </w:rPr>
              <w:t>Eighteen indicators (e.g. improved wellbeing of male and female trainees; increased number of trainees achieve competency standards).  No baseline measured or performance target set for any of them.</w:t>
            </w:r>
          </w:p>
        </w:tc>
      </w:tr>
      <w:tr w:rsidR="00C36B5B" w:rsidTr="003132B9">
        <w:tc>
          <w:tcPr>
            <w:tcW w:w="1791" w:type="dxa"/>
            <w:gridSpan w:val="2"/>
          </w:tcPr>
          <w:p w:rsidR="00C36B5B" w:rsidRPr="00D12029" w:rsidRDefault="00C36B5B" w:rsidP="002A2887">
            <w:pPr>
              <w:rPr>
                <w:sz w:val="20"/>
                <w:szCs w:val="20"/>
              </w:rPr>
            </w:pPr>
            <w:r>
              <w:rPr>
                <w:sz w:val="20"/>
                <w:szCs w:val="20"/>
              </w:rPr>
              <w:t>Vanuatu Minimum Quality Standards for Primary Schools (2011)</w:t>
            </w:r>
          </w:p>
        </w:tc>
        <w:tc>
          <w:tcPr>
            <w:tcW w:w="6082" w:type="dxa"/>
          </w:tcPr>
          <w:p w:rsidR="00C36B5B" w:rsidRPr="00D12029" w:rsidRDefault="00C36B5B" w:rsidP="00D12029">
            <w:pPr>
              <w:rPr>
                <w:sz w:val="20"/>
                <w:szCs w:val="20"/>
              </w:rPr>
            </w:pPr>
            <w:r>
              <w:rPr>
                <w:sz w:val="20"/>
                <w:szCs w:val="20"/>
              </w:rPr>
              <w:t xml:space="preserve">Grouped minimum standards under the goals of access, quality and management of primary education. </w:t>
            </w:r>
          </w:p>
        </w:tc>
        <w:tc>
          <w:tcPr>
            <w:tcW w:w="3767" w:type="dxa"/>
          </w:tcPr>
          <w:p w:rsidR="00C36B5B" w:rsidRPr="00DE5ED6" w:rsidRDefault="00C36B5B" w:rsidP="00DE5ED6">
            <w:pPr>
              <w:rPr>
                <w:sz w:val="20"/>
                <w:szCs w:val="20"/>
                <w:lang w:val="en-US"/>
              </w:rPr>
            </w:pPr>
            <w:r>
              <w:rPr>
                <w:sz w:val="20"/>
                <w:szCs w:val="20"/>
              </w:rPr>
              <w:t>Set fifteen minimum standards (objectives) (e.g. a</w:t>
            </w:r>
            <w:proofErr w:type="spellStart"/>
            <w:r w:rsidRPr="00DE5ED6">
              <w:rPr>
                <w:sz w:val="20"/>
                <w:szCs w:val="20"/>
                <w:lang w:val="en-US"/>
              </w:rPr>
              <w:t>ll</w:t>
            </w:r>
            <w:proofErr w:type="spellEnd"/>
            <w:r w:rsidRPr="00DE5ED6">
              <w:rPr>
                <w:sz w:val="20"/>
                <w:szCs w:val="20"/>
                <w:lang w:val="en-US"/>
              </w:rPr>
              <w:t xml:space="preserve"> teachers must be certified and receive regular feedback on their performance from Zonal Curriculum Advisers and School Heads</w:t>
            </w:r>
            <w:r>
              <w:rPr>
                <w:sz w:val="20"/>
                <w:szCs w:val="20"/>
                <w:lang w:val="en-US"/>
              </w:rPr>
              <w:t>; a</w:t>
            </w:r>
            <w:r w:rsidRPr="00DE5ED6">
              <w:rPr>
                <w:bCs/>
                <w:sz w:val="20"/>
                <w:szCs w:val="20"/>
                <w:lang w:val="en-US"/>
              </w:rPr>
              <w:t>ll students have access to text books and stationery for all subjects</w:t>
            </w:r>
            <w:r>
              <w:rPr>
                <w:bCs/>
                <w:sz w:val="20"/>
                <w:szCs w:val="20"/>
                <w:lang w:val="en-US"/>
              </w:rPr>
              <w:t>).</w:t>
            </w:r>
          </w:p>
          <w:p w:rsidR="00C36B5B" w:rsidRPr="00D12029" w:rsidRDefault="00C36B5B" w:rsidP="00DE5ED6">
            <w:pPr>
              <w:rPr>
                <w:sz w:val="20"/>
                <w:szCs w:val="20"/>
              </w:rPr>
            </w:pPr>
          </w:p>
        </w:tc>
        <w:tc>
          <w:tcPr>
            <w:tcW w:w="2862" w:type="dxa"/>
          </w:tcPr>
          <w:p w:rsidR="00C36B5B" w:rsidRPr="00D12029" w:rsidRDefault="00C36B5B" w:rsidP="00DE5ED6">
            <w:pPr>
              <w:rPr>
                <w:sz w:val="20"/>
                <w:szCs w:val="20"/>
              </w:rPr>
            </w:pPr>
            <w:r>
              <w:rPr>
                <w:sz w:val="20"/>
                <w:szCs w:val="20"/>
              </w:rPr>
              <w:t>Criteria for assessing progress towards the standards by individual schools specified.  No baseline measurement or performance targets set for primary schools in aggregate.</w:t>
            </w:r>
          </w:p>
        </w:tc>
      </w:tr>
    </w:tbl>
    <w:p w:rsidR="006425FC" w:rsidRDefault="006425FC" w:rsidP="00CE1ECF">
      <w:pPr>
        <w:jc w:val="both"/>
        <w:sectPr w:rsidR="006425FC" w:rsidSect="006425FC">
          <w:pgSz w:w="16838" w:h="11906" w:orient="landscape" w:code="9"/>
          <w:pgMar w:top="1134" w:right="1134" w:bottom="1134" w:left="1418" w:header="709" w:footer="709" w:gutter="0"/>
          <w:cols w:space="708"/>
          <w:docGrid w:linePitch="360"/>
        </w:sectPr>
      </w:pPr>
    </w:p>
    <w:p w:rsidR="0095650B" w:rsidRDefault="0095650B" w:rsidP="00F364DB">
      <w:pPr>
        <w:pStyle w:val="Heading1"/>
        <w:spacing w:before="120"/>
      </w:pPr>
      <w:bookmarkStart w:id="57" w:name="_Toc341210784"/>
      <w:bookmarkStart w:id="58" w:name="_Toc341210904"/>
      <w:bookmarkStart w:id="59" w:name="_Toc341265722"/>
      <w:bookmarkStart w:id="60" w:name="_Toc343257284"/>
      <w:bookmarkStart w:id="61" w:name="_Toc343257398"/>
      <w:bookmarkStart w:id="62" w:name="_Toc348711319"/>
      <w:r>
        <w:lastRenderedPageBreak/>
        <w:t>Section 2: Analysis</w:t>
      </w:r>
      <w:bookmarkEnd w:id="57"/>
      <w:bookmarkEnd w:id="58"/>
      <w:bookmarkEnd w:id="59"/>
      <w:bookmarkEnd w:id="60"/>
      <w:bookmarkEnd w:id="61"/>
      <w:bookmarkEnd w:id="62"/>
    </w:p>
    <w:p w:rsidR="002D67E6" w:rsidRDefault="002D67E6" w:rsidP="002D67E6"/>
    <w:p w:rsidR="002D67E6" w:rsidRDefault="002D67E6" w:rsidP="002D67E6">
      <w:r>
        <w:t>Section 2 assesses the following:</w:t>
      </w:r>
    </w:p>
    <w:p w:rsidR="002D67E6" w:rsidRDefault="002D67E6" w:rsidP="002D67E6"/>
    <w:p w:rsidR="002D67E6" w:rsidRDefault="002D67E6" w:rsidP="00046107">
      <w:pPr>
        <w:pStyle w:val="ListParagraph"/>
        <w:numPr>
          <w:ilvl w:val="0"/>
          <w:numId w:val="24"/>
        </w:numPr>
        <w:tabs>
          <w:tab w:val="left" w:pos="284"/>
        </w:tabs>
        <w:ind w:left="709" w:hanging="283"/>
      </w:pPr>
      <w:r>
        <w:t>Trends in education sector budgets, allocations and spending (Section 2.1).</w:t>
      </w:r>
    </w:p>
    <w:p w:rsidR="002D67E6" w:rsidRDefault="002D67E6" w:rsidP="00046107">
      <w:pPr>
        <w:pStyle w:val="ListParagraph"/>
        <w:numPr>
          <w:ilvl w:val="0"/>
          <w:numId w:val="24"/>
        </w:numPr>
        <w:tabs>
          <w:tab w:val="left" w:pos="284"/>
        </w:tabs>
        <w:ind w:left="709" w:hanging="283"/>
      </w:pPr>
      <w:r>
        <w:t>The efficiency of public expenditure on education (Section 2.2).</w:t>
      </w:r>
    </w:p>
    <w:p w:rsidR="002D67E6" w:rsidRDefault="002D67E6" w:rsidP="00046107">
      <w:pPr>
        <w:pStyle w:val="ListParagraph"/>
        <w:numPr>
          <w:ilvl w:val="0"/>
          <w:numId w:val="24"/>
        </w:numPr>
        <w:tabs>
          <w:tab w:val="left" w:pos="284"/>
        </w:tabs>
        <w:ind w:left="709" w:hanging="283"/>
      </w:pPr>
      <w:r>
        <w:t>The equity of public expenditure on education (Section 2.3).</w:t>
      </w:r>
    </w:p>
    <w:p w:rsidR="002D67E6" w:rsidRDefault="002D67E6" w:rsidP="00046107">
      <w:pPr>
        <w:pStyle w:val="ListParagraph"/>
        <w:numPr>
          <w:ilvl w:val="0"/>
          <w:numId w:val="24"/>
        </w:numPr>
        <w:tabs>
          <w:tab w:val="left" w:pos="284"/>
        </w:tabs>
        <w:ind w:left="709" w:hanging="283"/>
      </w:pPr>
      <w:r>
        <w:t>Impacts - performance outcomes (Section 2.4).</w:t>
      </w:r>
    </w:p>
    <w:p w:rsidR="002D67E6" w:rsidRDefault="002D67E6" w:rsidP="00046107">
      <w:pPr>
        <w:pStyle w:val="ListParagraph"/>
        <w:numPr>
          <w:ilvl w:val="0"/>
          <w:numId w:val="24"/>
        </w:numPr>
        <w:tabs>
          <w:tab w:val="left" w:pos="284"/>
        </w:tabs>
        <w:ind w:left="709" w:hanging="283"/>
        <w:jc w:val="both"/>
      </w:pPr>
      <w:r>
        <w:t>Projections of spending on primary and secondary education under alternative scenarios (Section 2.5)</w:t>
      </w:r>
    </w:p>
    <w:p w:rsidR="00B96CA0" w:rsidRDefault="00B96CA0" w:rsidP="00160C19">
      <w:pPr>
        <w:pStyle w:val="Heading2"/>
      </w:pPr>
      <w:bookmarkStart w:id="63" w:name="_Toc341210785"/>
      <w:bookmarkStart w:id="64" w:name="_Toc341210905"/>
      <w:bookmarkStart w:id="65" w:name="_Toc341265723"/>
      <w:bookmarkStart w:id="66" w:name="_Toc343257285"/>
      <w:bookmarkStart w:id="67" w:name="_Toc343257399"/>
    </w:p>
    <w:p w:rsidR="0095650B" w:rsidRDefault="0095650B" w:rsidP="00160C19">
      <w:pPr>
        <w:pStyle w:val="Heading2"/>
      </w:pPr>
      <w:bookmarkStart w:id="68" w:name="_Toc348711320"/>
      <w:r w:rsidRPr="00BB6DCA">
        <w:t>2.1 Trends in education sector budgets, allocations and spending</w:t>
      </w:r>
      <w:bookmarkEnd w:id="63"/>
      <w:bookmarkEnd w:id="64"/>
      <w:bookmarkEnd w:id="65"/>
      <w:bookmarkEnd w:id="66"/>
      <w:bookmarkEnd w:id="67"/>
      <w:bookmarkEnd w:id="68"/>
    </w:p>
    <w:p w:rsidR="00B96CA0" w:rsidRPr="00B96CA0" w:rsidRDefault="00B96CA0" w:rsidP="00B96CA0"/>
    <w:p w:rsidR="0095650B" w:rsidRDefault="0095650B" w:rsidP="00160C19">
      <w:pPr>
        <w:pStyle w:val="Heading2"/>
      </w:pPr>
      <w:bookmarkStart w:id="69" w:name="_Toc341210786"/>
      <w:bookmarkStart w:id="70" w:name="_Toc341210906"/>
      <w:bookmarkStart w:id="71" w:name="_Toc341265724"/>
      <w:bookmarkStart w:id="72" w:name="_Toc343257286"/>
      <w:bookmarkStart w:id="73" w:name="_Toc343257400"/>
      <w:bookmarkStart w:id="74" w:name="_Toc348711321"/>
      <w:r w:rsidRPr="000E684B">
        <w:t>2.1.1 Structure of education sector funding</w:t>
      </w:r>
      <w:bookmarkEnd w:id="69"/>
      <w:bookmarkEnd w:id="70"/>
      <w:bookmarkEnd w:id="71"/>
      <w:bookmarkEnd w:id="72"/>
      <w:bookmarkEnd w:id="73"/>
      <w:bookmarkEnd w:id="74"/>
    </w:p>
    <w:p w:rsidR="0095650B" w:rsidRDefault="0095650B" w:rsidP="0095650B">
      <w:pPr>
        <w:jc w:val="both"/>
      </w:pPr>
    </w:p>
    <w:p w:rsidR="0095650B" w:rsidRDefault="0095650B" w:rsidP="0095650B">
      <w:pPr>
        <w:jc w:val="both"/>
      </w:pPr>
      <w:r>
        <w:t xml:space="preserve">In common with other developing (and indeed ‘developed’) </w:t>
      </w:r>
      <w:r w:rsidR="000248A2">
        <w:t>countries funding</w:t>
      </w:r>
      <w:r>
        <w:t xml:space="preserve"> of Vanuatu’s education sector and sub-sectors within it comprises multiple government and non-government sources.  </w:t>
      </w:r>
      <w:r w:rsidR="00656279">
        <w:t>It has not been possible for the present review to quantify a</w:t>
      </w:r>
      <w:r>
        <w:t>ggregates for Vanuatu’s funding sources and uses</w:t>
      </w:r>
      <w:r w:rsidR="00656279">
        <w:t>,</w:t>
      </w:r>
      <w:r>
        <w:t xml:space="preserve"> </w:t>
      </w:r>
      <w:r w:rsidR="00656279">
        <w:t>espec</w:t>
      </w:r>
      <w:r>
        <w:t>ially in relation to Vanuatu’s post-secondary technical and vocational training sub-sector.</w:t>
      </w:r>
    </w:p>
    <w:p w:rsidR="0095650B" w:rsidRDefault="0095650B" w:rsidP="0095650B">
      <w:pPr>
        <w:jc w:val="both"/>
      </w:pPr>
    </w:p>
    <w:p w:rsidR="0095650B" w:rsidRDefault="0095650B" w:rsidP="0095650B">
      <w:pPr>
        <w:jc w:val="both"/>
        <w:rPr>
          <w:u w:val="single"/>
        </w:rPr>
      </w:pPr>
      <w:proofErr w:type="spellStart"/>
      <w:r w:rsidRPr="009A7FA8">
        <w:rPr>
          <w:u w:val="single"/>
        </w:rPr>
        <w:t>GoV</w:t>
      </w:r>
      <w:proofErr w:type="spellEnd"/>
      <w:r w:rsidRPr="002A2399">
        <w:rPr>
          <w:u w:val="single"/>
        </w:rPr>
        <w:t xml:space="preserve"> funding</w:t>
      </w:r>
    </w:p>
    <w:p w:rsidR="0095650B" w:rsidRDefault="0095650B" w:rsidP="0095650B">
      <w:pPr>
        <w:jc w:val="both"/>
      </w:pPr>
    </w:p>
    <w:p w:rsidR="0095650B" w:rsidRDefault="0095650B" w:rsidP="0095650B">
      <w:pPr>
        <w:jc w:val="both"/>
      </w:pPr>
      <w:r>
        <w:t xml:space="preserve">Table </w:t>
      </w:r>
      <w:r w:rsidR="000F65C3">
        <w:t>6</w:t>
      </w:r>
      <w:r>
        <w:t xml:space="preserve"> </w:t>
      </w:r>
      <w:r w:rsidR="00656279">
        <w:t xml:space="preserve">(next page) </w:t>
      </w:r>
      <w:r>
        <w:t xml:space="preserve">summarises the structure of </w:t>
      </w:r>
      <w:proofErr w:type="spellStart"/>
      <w:r>
        <w:t>GoV</w:t>
      </w:r>
      <w:proofErr w:type="spellEnd"/>
      <w:r>
        <w:t xml:space="preserve"> funding of the education sector in 2011-2012</w:t>
      </w:r>
      <w:r w:rsidR="00656279">
        <w:t>.</w:t>
      </w:r>
    </w:p>
    <w:p w:rsidR="0095650B" w:rsidRDefault="0095650B" w:rsidP="0095650B">
      <w:pPr>
        <w:jc w:val="both"/>
      </w:pPr>
    </w:p>
    <w:p w:rsidR="00656279" w:rsidRDefault="00656279" w:rsidP="00656279">
      <w:pPr>
        <w:jc w:val="both"/>
      </w:pPr>
      <w:r>
        <w:t>Two features of Table 6 are highlighted:</w:t>
      </w:r>
    </w:p>
    <w:p w:rsidR="00656279" w:rsidRDefault="00656279" w:rsidP="00656279">
      <w:pPr>
        <w:jc w:val="both"/>
      </w:pPr>
    </w:p>
    <w:p w:rsidR="00656279" w:rsidRDefault="00656279" w:rsidP="00656279">
      <w:pPr>
        <w:pStyle w:val="ListParagraph"/>
        <w:numPr>
          <w:ilvl w:val="0"/>
          <w:numId w:val="31"/>
        </w:numPr>
        <w:jc w:val="both"/>
      </w:pPr>
      <w:r>
        <w:t xml:space="preserve">Insofar as budgeted development partner funding is channelled through the </w:t>
      </w:r>
      <w:proofErr w:type="spellStart"/>
      <w:r>
        <w:t>GoV</w:t>
      </w:r>
      <w:proofErr w:type="spellEnd"/>
      <w:r>
        <w:t xml:space="preserve"> Development Fund it constitutes a substantial proportion (some 28%) of total funding appropriated to the </w:t>
      </w:r>
      <w:proofErr w:type="spellStart"/>
      <w:r>
        <w:t>MoE</w:t>
      </w:r>
      <w:proofErr w:type="spellEnd"/>
      <w:r>
        <w:t xml:space="preserve"> and to TVET-related activities of MYDTS. Section 2.1.2 estimates that </w:t>
      </w:r>
      <w:proofErr w:type="spellStart"/>
      <w:r>
        <w:t>GoV</w:t>
      </w:r>
      <w:proofErr w:type="spellEnd"/>
      <w:r>
        <w:t xml:space="preserve"> recurrent education sector funding through </w:t>
      </w:r>
      <w:proofErr w:type="spellStart"/>
      <w:r>
        <w:t>MoE</w:t>
      </w:r>
      <w:proofErr w:type="spellEnd"/>
      <w:r>
        <w:t xml:space="preserve"> was equivalent to some 5.3% of Vanuatu’s GDP in 2011.  Inclusion of </w:t>
      </w:r>
      <w:r w:rsidRPr="00BB06BC">
        <w:rPr>
          <w:i/>
        </w:rPr>
        <w:t>budgeted</w:t>
      </w:r>
      <w:r>
        <w:t xml:space="preserve"> development partner funding through the Development Fund would raise this proportion to some 6.8% of GDP (before allowance for development partner contributions not channelled through the Development Fund).</w:t>
      </w:r>
      <w:r>
        <w:rPr>
          <w:rStyle w:val="FootnoteReference"/>
        </w:rPr>
        <w:footnoteReference w:id="7"/>
      </w:r>
    </w:p>
    <w:p w:rsidR="00656279" w:rsidRDefault="00656279" w:rsidP="00656279">
      <w:pPr>
        <w:pStyle w:val="ListParagraph"/>
        <w:numPr>
          <w:ilvl w:val="0"/>
          <w:numId w:val="31"/>
        </w:numPr>
        <w:jc w:val="both"/>
      </w:pPr>
      <w:proofErr w:type="spellStart"/>
      <w:r>
        <w:t>GoV</w:t>
      </w:r>
      <w:proofErr w:type="spellEnd"/>
      <w:r>
        <w:t xml:space="preserve"> funding of the education sector through </w:t>
      </w:r>
      <w:proofErr w:type="spellStart"/>
      <w:r>
        <w:t>MoE</w:t>
      </w:r>
      <w:proofErr w:type="spellEnd"/>
      <w:r>
        <w:t xml:space="preserve"> far out-strips that through any other </w:t>
      </w:r>
      <w:proofErr w:type="spellStart"/>
      <w:r>
        <w:t>GoV</w:t>
      </w:r>
      <w:proofErr w:type="spellEnd"/>
      <w:r>
        <w:t xml:space="preserve"> Ministry (or off--budget agency). Even if funding provided through Ministries not costed in Table 6 was equal to that provided through MYDST and MFEM (which is unlikely) </w:t>
      </w:r>
      <w:proofErr w:type="spellStart"/>
      <w:r>
        <w:t>MoE</w:t>
      </w:r>
      <w:proofErr w:type="spellEnd"/>
      <w:r>
        <w:t xml:space="preserve"> would continue to account for some 85% of total </w:t>
      </w:r>
      <w:proofErr w:type="spellStart"/>
      <w:r>
        <w:t>GoV</w:t>
      </w:r>
      <w:proofErr w:type="spellEnd"/>
      <w:r>
        <w:t xml:space="preserve"> funding of the education sector.  This review’s prime focus on </w:t>
      </w:r>
      <w:proofErr w:type="spellStart"/>
      <w:r>
        <w:t>MoE</w:t>
      </w:r>
      <w:proofErr w:type="spellEnd"/>
      <w:r>
        <w:t xml:space="preserve"> expenditure trends and allocations is consistent with its significance as the principal vehicle for </w:t>
      </w:r>
      <w:proofErr w:type="spellStart"/>
      <w:r>
        <w:t>GoV</w:t>
      </w:r>
      <w:proofErr w:type="spellEnd"/>
      <w:r>
        <w:t xml:space="preserve"> funding.</w:t>
      </w:r>
    </w:p>
    <w:p w:rsidR="00142AAB" w:rsidRDefault="00142AAB">
      <w:r>
        <w:br w:type="page"/>
      </w:r>
    </w:p>
    <w:tbl>
      <w:tblPr>
        <w:tblStyle w:val="TableGrid"/>
        <w:tblW w:w="8505" w:type="dxa"/>
        <w:jc w:val="center"/>
        <w:tblLook w:val="04A0" w:firstRow="1" w:lastRow="0" w:firstColumn="1" w:lastColumn="0" w:noHBand="0" w:noVBand="1"/>
        <w:tblCaption w:val="Funding of Vanuatu’s education sector flowing through GoV on-budget accounts 2011-2012"/>
      </w:tblPr>
      <w:tblGrid>
        <w:gridCol w:w="4148"/>
        <w:gridCol w:w="11"/>
        <w:gridCol w:w="1376"/>
        <w:gridCol w:w="9"/>
        <w:gridCol w:w="1441"/>
        <w:gridCol w:w="1520"/>
      </w:tblGrid>
      <w:tr w:rsidR="0095650B" w:rsidTr="00D339A4">
        <w:trPr>
          <w:tblHeader/>
          <w:jc w:val="center"/>
        </w:trPr>
        <w:tc>
          <w:tcPr>
            <w:tcW w:w="8505" w:type="dxa"/>
            <w:gridSpan w:val="6"/>
            <w:shd w:val="clear" w:color="auto" w:fill="BFBFBF" w:themeFill="background1" w:themeFillShade="BF"/>
          </w:tcPr>
          <w:p w:rsidR="0095650B" w:rsidRDefault="0095650B" w:rsidP="000F65C3">
            <w:pPr>
              <w:jc w:val="both"/>
            </w:pPr>
            <w:r>
              <w:lastRenderedPageBreak/>
              <w:t xml:space="preserve">Table </w:t>
            </w:r>
            <w:r w:rsidR="000F65C3">
              <w:t>6</w:t>
            </w:r>
            <w:r>
              <w:t xml:space="preserve">: Funding of Vanuatu’s education sector flowing through </w:t>
            </w:r>
            <w:proofErr w:type="spellStart"/>
            <w:r>
              <w:t>GoV</w:t>
            </w:r>
            <w:proofErr w:type="spellEnd"/>
            <w:r>
              <w:t xml:space="preserve"> on-budget accounts 2011-2012</w:t>
            </w:r>
            <w:r>
              <w:rPr>
                <w:rStyle w:val="FootnoteReference"/>
              </w:rPr>
              <w:footnoteReference w:id="8"/>
            </w:r>
          </w:p>
        </w:tc>
      </w:tr>
      <w:tr w:rsidR="0095650B" w:rsidTr="006A3CDF">
        <w:trPr>
          <w:jc w:val="center"/>
        </w:trPr>
        <w:tc>
          <w:tcPr>
            <w:tcW w:w="4159" w:type="dxa"/>
            <w:gridSpan w:val="2"/>
            <w:vMerge w:val="restart"/>
          </w:tcPr>
          <w:p w:rsidR="0095650B" w:rsidRDefault="0095650B" w:rsidP="00C05FAA">
            <w:pPr>
              <w:jc w:val="both"/>
            </w:pPr>
          </w:p>
        </w:tc>
        <w:tc>
          <w:tcPr>
            <w:tcW w:w="1385" w:type="dxa"/>
            <w:gridSpan w:val="2"/>
            <w:vMerge w:val="restart"/>
          </w:tcPr>
          <w:p w:rsidR="0095650B" w:rsidRDefault="0095650B" w:rsidP="00C05FAA">
            <w:pPr>
              <w:jc w:val="center"/>
              <w:rPr>
                <w:sz w:val="20"/>
                <w:szCs w:val="20"/>
              </w:rPr>
            </w:pPr>
          </w:p>
          <w:p w:rsidR="0095650B" w:rsidRPr="00BC724E" w:rsidRDefault="0095650B" w:rsidP="00C05FAA">
            <w:pPr>
              <w:jc w:val="center"/>
              <w:rPr>
                <w:sz w:val="20"/>
                <w:szCs w:val="20"/>
              </w:rPr>
            </w:pPr>
            <w:r w:rsidRPr="00BC724E">
              <w:rPr>
                <w:sz w:val="20"/>
                <w:szCs w:val="20"/>
              </w:rPr>
              <w:t>2011 Actual Expenditure</w:t>
            </w:r>
          </w:p>
          <w:p w:rsidR="0095650B" w:rsidRPr="00BC724E" w:rsidRDefault="0095650B" w:rsidP="00C05FAA">
            <w:pPr>
              <w:jc w:val="center"/>
              <w:rPr>
                <w:sz w:val="20"/>
                <w:szCs w:val="20"/>
              </w:rPr>
            </w:pPr>
            <w:r w:rsidRPr="00BC724E">
              <w:rPr>
                <w:sz w:val="20"/>
                <w:szCs w:val="20"/>
              </w:rPr>
              <w:t>(VT million)</w:t>
            </w:r>
          </w:p>
        </w:tc>
        <w:tc>
          <w:tcPr>
            <w:tcW w:w="2961" w:type="dxa"/>
            <w:gridSpan w:val="2"/>
          </w:tcPr>
          <w:p w:rsidR="0095650B" w:rsidRPr="00BC724E" w:rsidRDefault="0095650B" w:rsidP="00C05FAA">
            <w:pPr>
              <w:jc w:val="center"/>
              <w:rPr>
                <w:sz w:val="20"/>
                <w:szCs w:val="20"/>
              </w:rPr>
            </w:pPr>
            <w:r w:rsidRPr="00BC724E">
              <w:rPr>
                <w:sz w:val="20"/>
                <w:szCs w:val="20"/>
              </w:rPr>
              <w:t>2012 Budget</w:t>
            </w:r>
          </w:p>
          <w:p w:rsidR="0095650B" w:rsidRPr="00BC724E" w:rsidRDefault="0095650B" w:rsidP="00C05FAA">
            <w:pPr>
              <w:jc w:val="center"/>
              <w:rPr>
                <w:sz w:val="20"/>
                <w:szCs w:val="20"/>
              </w:rPr>
            </w:pPr>
            <w:r w:rsidRPr="00BC724E">
              <w:rPr>
                <w:sz w:val="20"/>
                <w:szCs w:val="20"/>
              </w:rPr>
              <w:t>(VT million)</w:t>
            </w:r>
          </w:p>
        </w:tc>
      </w:tr>
      <w:tr w:rsidR="0095650B" w:rsidTr="006A3CDF">
        <w:trPr>
          <w:jc w:val="center"/>
        </w:trPr>
        <w:tc>
          <w:tcPr>
            <w:tcW w:w="4159" w:type="dxa"/>
            <w:gridSpan w:val="2"/>
            <w:vMerge/>
          </w:tcPr>
          <w:p w:rsidR="0095650B" w:rsidRDefault="0095650B" w:rsidP="00C05FAA">
            <w:pPr>
              <w:jc w:val="both"/>
            </w:pPr>
          </w:p>
        </w:tc>
        <w:tc>
          <w:tcPr>
            <w:tcW w:w="1385" w:type="dxa"/>
            <w:gridSpan w:val="2"/>
            <w:vMerge/>
          </w:tcPr>
          <w:p w:rsidR="0095650B" w:rsidRPr="00BC724E" w:rsidRDefault="0095650B" w:rsidP="00C05FAA">
            <w:pPr>
              <w:jc w:val="both"/>
              <w:rPr>
                <w:sz w:val="20"/>
                <w:szCs w:val="20"/>
              </w:rPr>
            </w:pPr>
          </w:p>
        </w:tc>
        <w:tc>
          <w:tcPr>
            <w:tcW w:w="1441" w:type="dxa"/>
          </w:tcPr>
          <w:p w:rsidR="0095650B" w:rsidRPr="00BC724E" w:rsidRDefault="0095650B" w:rsidP="00C05FAA">
            <w:pPr>
              <w:jc w:val="center"/>
              <w:rPr>
                <w:sz w:val="20"/>
                <w:szCs w:val="20"/>
              </w:rPr>
            </w:pPr>
            <w:proofErr w:type="spellStart"/>
            <w:r w:rsidRPr="00BC724E">
              <w:rPr>
                <w:sz w:val="20"/>
                <w:szCs w:val="20"/>
              </w:rPr>
              <w:t>GoV</w:t>
            </w:r>
            <w:proofErr w:type="spellEnd"/>
            <w:r w:rsidRPr="00BC724E">
              <w:rPr>
                <w:sz w:val="20"/>
                <w:szCs w:val="20"/>
              </w:rPr>
              <w:t xml:space="preserve"> Recurrent</w:t>
            </w:r>
          </w:p>
        </w:tc>
        <w:tc>
          <w:tcPr>
            <w:tcW w:w="1520" w:type="dxa"/>
          </w:tcPr>
          <w:p w:rsidR="0095650B" w:rsidRPr="00BC724E" w:rsidRDefault="0095650B" w:rsidP="00C05FAA">
            <w:pPr>
              <w:jc w:val="center"/>
              <w:rPr>
                <w:sz w:val="20"/>
                <w:szCs w:val="20"/>
              </w:rPr>
            </w:pPr>
            <w:r w:rsidRPr="00BC724E">
              <w:rPr>
                <w:sz w:val="20"/>
                <w:szCs w:val="20"/>
              </w:rPr>
              <w:t>Development Fund</w:t>
            </w:r>
          </w:p>
        </w:tc>
      </w:tr>
      <w:tr w:rsidR="0095650B" w:rsidTr="006A3CDF">
        <w:trPr>
          <w:jc w:val="center"/>
        </w:trPr>
        <w:tc>
          <w:tcPr>
            <w:tcW w:w="4159" w:type="dxa"/>
            <w:gridSpan w:val="2"/>
            <w:tcBorders>
              <w:bottom w:val="nil"/>
            </w:tcBorders>
          </w:tcPr>
          <w:p w:rsidR="0095650B" w:rsidRPr="00BC724E" w:rsidRDefault="0095650B" w:rsidP="00C05FAA">
            <w:pPr>
              <w:jc w:val="both"/>
              <w:rPr>
                <w:b/>
                <w:sz w:val="20"/>
                <w:szCs w:val="20"/>
              </w:rPr>
            </w:pPr>
            <w:r w:rsidRPr="00BC724E">
              <w:rPr>
                <w:b/>
                <w:sz w:val="20"/>
                <w:szCs w:val="20"/>
              </w:rPr>
              <w:t>Ministry of Education:</w:t>
            </w:r>
          </w:p>
        </w:tc>
        <w:tc>
          <w:tcPr>
            <w:tcW w:w="1385" w:type="dxa"/>
            <w:gridSpan w:val="2"/>
            <w:tcBorders>
              <w:bottom w:val="nil"/>
            </w:tcBorders>
          </w:tcPr>
          <w:p w:rsidR="0095650B" w:rsidRPr="00B65378" w:rsidRDefault="0095650B" w:rsidP="00C05FAA">
            <w:pPr>
              <w:jc w:val="center"/>
              <w:rPr>
                <w:b/>
                <w:sz w:val="20"/>
                <w:szCs w:val="20"/>
              </w:rPr>
            </w:pPr>
          </w:p>
        </w:tc>
        <w:tc>
          <w:tcPr>
            <w:tcW w:w="1441" w:type="dxa"/>
            <w:tcBorders>
              <w:bottom w:val="nil"/>
            </w:tcBorders>
          </w:tcPr>
          <w:p w:rsidR="0095650B" w:rsidRPr="00B65378" w:rsidRDefault="0095650B" w:rsidP="00C05FAA">
            <w:pPr>
              <w:jc w:val="center"/>
              <w:rPr>
                <w:sz w:val="20"/>
                <w:szCs w:val="20"/>
              </w:rPr>
            </w:pPr>
          </w:p>
        </w:tc>
        <w:tc>
          <w:tcPr>
            <w:tcW w:w="1520" w:type="dxa"/>
            <w:tcBorders>
              <w:bottom w:val="nil"/>
            </w:tcBorders>
          </w:tcPr>
          <w:p w:rsidR="0095650B" w:rsidRPr="00B65378" w:rsidRDefault="0095650B" w:rsidP="00C05FAA">
            <w:pPr>
              <w:jc w:val="center"/>
              <w:rPr>
                <w:sz w:val="20"/>
                <w:szCs w:val="20"/>
              </w:rPr>
            </w:pP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sidRPr="00B65378">
              <w:rPr>
                <w:sz w:val="20"/>
                <w:szCs w:val="20"/>
              </w:rPr>
              <w:t>Cabinet</w:t>
            </w:r>
            <w:r>
              <w:rPr>
                <w:sz w:val="20"/>
                <w:szCs w:val="20"/>
              </w:rPr>
              <w:t xml:space="preserve"> and Executive Management </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203.1</w:t>
            </w:r>
          </w:p>
        </w:tc>
        <w:tc>
          <w:tcPr>
            <w:tcW w:w="1441" w:type="dxa"/>
            <w:tcBorders>
              <w:top w:val="nil"/>
              <w:bottom w:val="nil"/>
            </w:tcBorders>
          </w:tcPr>
          <w:p w:rsidR="0095650B" w:rsidRPr="00B65378" w:rsidRDefault="0095650B" w:rsidP="00C05FAA">
            <w:pPr>
              <w:jc w:val="center"/>
              <w:rPr>
                <w:sz w:val="20"/>
                <w:szCs w:val="20"/>
              </w:rPr>
            </w:pPr>
            <w:r>
              <w:rPr>
                <w:sz w:val="20"/>
                <w:szCs w:val="20"/>
              </w:rPr>
              <w:t>188.2</w:t>
            </w:r>
          </w:p>
        </w:tc>
        <w:tc>
          <w:tcPr>
            <w:tcW w:w="1520" w:type="dxa"/>
            <w:tcBorders>
              <w:top w:val="nil"/>
              <w:bottom w:val="nil"/>
            </w:tcBorders>
          </w:tcPr>
          <w:p w:rsidR="0095650B" w:rsidRPr="00B65378" w:rsidRDefault="0095650B" w:rsidP="00C05FAA">
            <w:pPr>
              <w:jc w:val="center"/>
              <w:rPr>
                <w:sz w:val="20"/>
                <w:szCs w:val="20"/>
              </w:rPr>
            </w:pPr>
            <w:r>
              <w:rPr>
                <w:sz w:val="20"/>
                <w:szCs w:val="20"/>
              </w:rPr>
              <w:t>157.1</w:t>
            </w: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Pr>
                <w:sz w:val="20"/>
                <w:szCs w:val="20"/>
              </w:rPr>
              <w:t>School support services administration</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145.8</w:t>
            </w:r>
          </w:p>
        </w:tc>
        <w:tc>
          <w:tcPr>
            <w:tcW w:w="1441" w:type="dxa"/>
            <w:tcBorders>
              <w:top w:val="nil"/>
              <w:bottom w:val="nil"/>
            </w:tcBorders>
          </w:tcPr>
          <w:p w:rsidR="0095650B" w:rsidRPr="00B65378" w:rsidRDefault="0095650B" w:rsidP="00C05FAA">
            <w:pPr>
              <w:jc w:val="center"/>
              <w:rPr>
                <w:sz w:val="20"/>
                <w:szCs w:val="20"/>
              </w:rPr>
            </w:pPr>
            <w:r>
              <w:rPr>
                <w:sz w:val="20"/>
                <w:szCs w:val="20"/>
              </w:rPr>
              <w:t>314.4</w:t>
            </w:r>
          </w:p>
        </w:tc>
        <w:tc>
          <w:tcPr>
            <w:tcW w:w="1520" w:type="dxa"/>
            <w:tcBorders>
              <w:top w:val="nil"/>
              <w:bottom w:val="nil"/>
            </w:tcBorders>
          </w:tcPr>
          <w:p w:rsidR="0095650B" w:rsidRPr="00B65378" w:rsidRDefault="0095650B" w:rsidP="00C05FAA">
            <w:pPr>
              <w:jc w:val="center"/>
              <w:rPr>
                <w:sz w:val="20"/>
                <w:szCs w:val="20"/>
              </w:rPr>
            </w:pPr>
            <w:r>
              <w:rPr>
                <w:sz w:val="20"/>
                <w:szCs w:val="20"/>
              </w:rPr>
              <w:t>987.0</w:t>
            </w: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Pr>
                <w:sz w:val="20"/>
                <w:szCs w:val="20"/>
              </w:rPr>
              <w:t>Secondary schools</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1,086.5</w:t>
            </w:r>
          </w:p>
        </w:tc>
        <w:tc>
          <w:tcPr>
            <w:tcW w:w="1441" w:type="dxa"/>
            <w:tcBorders>
              <w:top w:val="nil"/>
              <w:bottom w:val="nil"/>
            </w:tcBorders>
          </w:tcPr>
          <w:p w:rsidR="0095650B" w:rsidRPr="00B65378" w:rsidRDefault="0095650B" w:rsidP="00C05FAA">
            <w:pPr>
              <w:jc w:val="center"/>
              <w:rPr>
                <w:sz w:val="20"/>
                <w:szCs w:val="20"/>
              </w:rPr>
            </w:pPr>
            <w:r>
              <w:rPr>
                <w:sz w:val="20"/>
                <w:szCs w:val="20"/>
              </w:rPr>
              <w:t>1,101.8</w:t>
            </w:r>
          </w:p>
        </w:tc>
        <w:tc>
          <w:tcPr>
            <w:tcW w:w="1520" w:type="dxa"/>
            <w:tcBorders>
              <w:top w:val="nil"/>
              <w:bottom w:val="nil"/>
            </w:tcBorders>
          </w:tcPr>
          <w:p w:rsidR="0095650B" w:rsidRPr="00B65378" w:rsidRDefault="0095650B" w:rsidP="00C05FAA">
            <w:pPr>
              <w:jc w:val="center"/>
              <w:rPr>
                <w:sz w:val="20"/>
                <w:szCs w:val="20"/>
              </w:rPr>
            </w:pPr>
            <w:r>
              <w:rPr>
                <w:sz w:val="20"/>
                <w:szCs w:val="20"/>
              </w:rPr>
              <w:t>0</w:t>
            </w: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Pr>
                <w:sz w:val="20"/>
                <w:szCs w:val="20"/>
              </w:rPr>
              <w:t>Primary schools</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1,796.0</w:t>
            </w:r>
          </w:p>
        </w:tc>
        <w:tc>
          <w:tcPr>
            <w:tcW w:w="1441" w:type="dxa"/>
            <w:tcBorders>
              <w:top w:val="nil"/>
              <w:bottom w:val="nil"/>
            </w:tcBorders>
          </w:tcPr>
          <w:p w:rsidR="0095650B" w:rsidRPr="00B65378" w:rsidRDefault="0095650B" w:rsidP="00C05FAA">
            <w:pPr>
              <w:jc w:val="center"/>
              <w:rPr>
                <w:sz w:val="20"/>
                <w:szCs w:val="20"/>
              </w:rPr>
            </w:pPr>
            <w:r>
              <w:rPr>
                <w:sz w:val="20"/>
                <w:szCs w:val="20"/>
              </w:rPr>
              <w:t>1,744.3</w:t>
            </w:r>
          </w:p>
        </w:tc>
        <w:tc>
          <w:tcPr>
            <w:tcW w:w="1520" w:type="dxa"/>
            <w:tcBorders>
              <w:top w:val="nil"/>
              <w:bottom w:val="nil"/>
            </w:tcBorders>
          </w:tcPr>
          <w:p w:rsidR="0095650B" w:rsidRPr="00B65378" w:rsidRDefault="0095650B" w:rsidP="00C05FAA">
            <w:pPr>
              <w:jc w:val="center"/>
              <w:rPr>
                <w:sz w:val="20"/>
                <w:szCs w:val="20"/>
              </w:rPr>
            </w:pPr>
            <w:r>
              <w:rPr>
                <w:sz w:val="20"/>
                <w:szCs w:val="20"/>
              </w:rPr>
              <w:t>269.3</w:t>
            </w: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Pr>
                <w:sz w:val="20"/>
                <w:szCs w:val="20"/>
              </w:rPr>
              <w:t>Post-secondary including scholarships</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5145.5</w:t>
            </w:r>
          </w:p>
        </w:tc>
        <w:tc>
          <w:tcPr>
            <w:tcW w:w="1441" w:type="dxa"/>
            <w:tcBorders>
              <w:top w:val="nil"/>
              <w:bottom w:val="nil"/>
            </w:tcBorders>
          </w:tcPr>
          <w:p w:rsidR="0095650B" w:rsidRPr="00B65378" w:rsidRDefault="0095650B" w:rsidP="00C05FAA">
            <w:pPr>
              <w:jc w:val="center"/>
              <w:rPr>
                <w:sz w:val="20"/>
                <w:szCs w:val="20"/>
              </w:rPr>
            </w:pPr>
            <w:r>
              <w:rPr>
                <w:sz w:val="20"/>
                <w:szCs w:val="20"/>
              </w:rPr>
              <w:t>448.6</w:t>
            </w:r>
          </w:p>
        </w:tc>
        <w:tc>
          <w:tcPr>
            <w:tcW w:w="1520" w:type="dxa"/>
            <w:tcBorders>
              <w:top w:val="nil"/>
              <w:bottom w:val="nil"/>
            </w:tcBorders>
          </w:tcPr>
          <w:p w:rsidR="0095650B" w:rsidRPr="00B65378" w:rsidRDefault="0095650B" w:rsidP="00C05FAA">
            <w:pPr>
              <w:jc w:val="center"/>
              <w:rPr>
                <w:sz w:val="20"/>
                <w:szCs w:val="20"/>
              </w:rPr>
            </w:pPr>
            <w:r>
              <w:rPr>
                <w:sz w:val="20"/>
                <w:szCs w:val="20"/>
              </w:rPr>
              <w:t>67.0</w:t>
            </w:r>
          </w:p>
        </w:tc>
      </w:tr>
      <w:tr w:rsidR="0095650B" w:rsidTr="006A3CDF">
        <w:trPr>
          <w:jc w:val="center"/>
        </w:trPr>
        <w:tc>
          <w:tcPr>
            <w:tcW w:w="4159" w:type="dxa"/>
            <w:gridSpan w:val="2"/>
            <w:tcBorders>
              <w:top w:val="nil"/>
              <w:bottom w:val="nil"/>
            </w:tcBorders>
          </w:tcPr>
          <w:p w:rsidR="0095650B" w:rsidRPr="00B65378" w:rsidRDefault="0095650B" w:rsidP="00501831">
            <w:pPr>
              <w:pStyle w:val="ListParagraph"/>
              <w:numPr>
                <w:ilvl w:val="0"/>
                <w:numId w:val="31"/>
              </w:numPr>
              <w:ind w:left="567" w:hanging="207"/>
              <w:jc w:val="both"/>
              <w:rPr>
                <w:sz w:val="20"/>
                <w:szCs w:val="20"/>
              </w:rPr>
            </w:pPr>
            <w:r>
              <w:rPr>
                <w:sz w:val="20"/>
                <w:szCs w:val="20"/>
              </w:rPr>
              <w:t>Teacher Service Commission</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83.0</w:t>
            </w:r>
          </w:p>
        </w:tc>
        <w:tc>
          <w:tcPr>
            <w:tcW w:w="1441" w:type="dxa"/>
            <w:tcBorders>
              <w:top w:val="nil"/>
              <w:bottom w:val="nil"/>
            </w:tcBorders>
          </w:tcPr>
          <w:p w:rsidR="0095650B" w:rsidRPr="00B65378" w:rsidRDefault="0095650B" w:rsidP="00C05FAA">
            <w:pPr>
              <w:jc w:val="center"/>
              <w:rPr>
                <w:sz w:val="20"/>
                <w:szCs w:val="20"/>
              </w:rPr>
            </w:pPr>
            <w:r>
              <w:rPr>
                <w:sz w:val="20"/>
                <w:szCs w:val="20"/>
              </w:rPr>
              <w:t>107.7</w:t>
            </w:r>
          </w:p>
        </w:tc>
        <w:tc>
          <w:tcPr>
            <w:tcW w:w="1520" w:type="dxa"/>
            <w:tcBorders>
              <w:top w:val="nil"/>
              <w:bottom w:val="nil"/>
            </w:tcBorders>
          </w:tcPr>
          <w:p w:rsidR="0095650B" w:rsidRPr="00B65378" w:rsidRDefault="0095650B" w:rsidP="00C05FAA">
            <w:pPr>
              <w:jc w:val="center"/>
              <w:rPr>
                <w:sz w:val="20"/>
                <w:szCs w:val="20"/>
              </w:rPr>
            </w:pPr>
            <w:r>
              <w:rPr>
                <w:sz w:val="20"/>
                <w:szCs w:val="20"/>
              </w:rPr>
              <w:t>0</w:t>
            </w:r>
          </w:p>
        </w:tc>
      </w:tr>
      <w:tr w:rsidR="0095650B" w:rsidTr="006A3CDF">
        <w:trPr>
          <w:jc w:val="center"/>
        </w:trPr>
        <w:tc>
          <w:tcPr>
            <w:tcW w:w="4159" w:type="dxa"/>
            <w:gridSpan w:val="2"/>
            <w:tcBorders>
              <w:top w:val="nil"/>
            </w:tcBorders>
          </w:tcPr>
          <w:p w:rsidR="0095650B" w:rsidRPr="00B65378" w:rsidRDefault="0095650B" w:rsidP="00C05FAA">
            <w:pPr>
              <w:jc w:val="right"/>
              <w:rPr>
                <w:sz w:val="20"/>
                <w:szCs w:val="20"/>
              </w:rPr>
            </w:pPr>
            <w:proofErr w:type="spellStart"/>
            <w:r w:rsidRPr="00B65378">
              <w:rPr>
                <w:b/>
                <w:sz w:val="20"/>
                <w:szCs w:val="20"/>
              </w:rPr>
              <w:t>MoE</w:t>
            </w:r>
            <w:proofErr w:type="spellEnd"/>
            <w:r w:rsidRPr="00B65378">
              <w:rPr>
                <w:b/>
                <w:sz w:val="20"/>
                <w:szCs w:val="20"/>
              </w:rPr>
              <w:t xml:space="preserve"> Total</w:t>
            </w:r>
            <w:r>
              <w:rPr>
                <w:b/>
                <w:sz w:val="20"/>
                <w:szCs w:val="20"/>
              </w:rPr>
              <w:t>s</w:t>
            </w:r>
          </w:p>
        </w:tc>
        <w:tc>
          <w:tcPr>
            <w:tcW w:w="1385" w:type="dxa"/>
            <w:gridSpan w:val="2"/>
            <w:tcBorders>
              <w:top w:val="nil"/>
            </w:tcBorders>
          </w:tcPr>
          <w:p w:rsidR="0095650B" w:rsidRPr="00BC724E" w:rsidRDefault="0095650B" w:rsidP="00C05FAA">
            <w:pPr>
              <w:jc w:val="center"/>
              <w:rPr>
                <w:b/>
                <w:sz w:val="20"/>
                <w:szCs w:val="20"/>
              </w:rPr>
            </w:pPr>
            <w:r w:rsidRPr="00BC724E">
              <w:rPr>
                <w:b/>
                <w:sz w:val="20"/>
                <w:szCs w:val="20"/>
              </w:rPr>
              <w:t>3,828.0</w:t>
            </w:r>
          </w:p>
        </w:tc>
        <w:tc>
          <w:tcPr>
            <w:tcW w:w="1441" w:type="dxa"/>
            <w:tcBorders>
              <w:top w:val="nil"/>
            </w:tcBorders>
          </w:tcPr>
          <w:p w:rsidR="0095650B" w:rsidRPr="00BC724E" w:rsidRDefault="0095650B" w:rsidP="00C05FAA">
            <w:pPr>
              <w:jc w:val="center"/>
              <w:rPr>
                <w:b/>
                <w:sz w:val="20"/>
                <w:szCs w:val="20"/>
              </w:rPr>
            </w:pPr>
            <w:r w:rsidRPr="00BC724E">
              <w:rPr>
                <w:b/>
                <w:sz w:val="20"/>
                <w:szCs w:val="20"/>
              </w:rPr>
              <w:t>3,905.0</w:t>
            </w:r>
          </w:p>
        </w:tc>
        <w:tc>
          <w:tcPr>
            <w:tcW w:w="1520" w:type="dxa"/>
            <w:tcBorders>
              <w:top w:val="nil"/>
            </w:tcBorders>
          </w:tcPr>
          <w:p w:rsidR="0095650B" w:rsidRPr="00BC724E" w:rsidRDefault="0095650B" w:rsidP="00C05FAA">
            <w:pPr>
              <w:jc w:val="center"/>
              <w:rPr>
                <w:b/>
                <w:sz w:val="20"/>
                <w:szCs w:val="20"/>
              </w:rPr>
            </w:pPr>
            <w:r w:rsidRPr="00BC724E">
              <w:rPr>
                <w:b/>
                <w:sz w:val="20"/>
                <w:szCs w:val="20"/>
              </w:rPr>
              <w:t>1,480.4</w:t>
            </w:r>
          </w:p>
        </w:tc>
      </w:tr>
      <w:tr w:rsidR="0095650B" w:rsidTr="006A3CDF">
        <w:trPr>
          <w:jc w:val="center"/>
        </w:trPr>
        <w:tc>
          <w:tcPr>
            <w:tcW w:w="4159" w:type="dxa"/>
            <w:gridSpan w:val="2"/>
            <w:tcBorders>
              <w:bottom w:val="nil"/>
            </w:tcBorders>
          </w:tcPr>
          <w:p w:rsidR="0095650B" w:rsidRPr="00BC724E" w:rsidRDefault="0095650B" w:rsidP="00C05FAA">
            <w:pPr>
              <w:jc w:val="both"/>
              <w:rPr>
                <w:b/>
                <w:sz w:val="20"/>
                <w:szCs w:val="20"/>
              </w:rPr>
            </w:pPr>
            <w:r w:rsidRPr="00BC724E">
              <w:rPr>
                <w:b/>
                <w:sz w:val="20"/>
                <w:szCs w:val="20"/>
              </w:rPr>
              <w:t>Ministry of Youth Development, Sport &amp; Training</w:t>
            </w:r>
          </w:p>
        </w:tc>
        <w:tc>
          <w:tcPr>
            <w:tcW w:w="1385" w:type="dxa"/>
            <w:gridSpan w:val="2"/>
            <w:tcBorders>
              <w:bottom w:val="nil"/>
            </w:tcBorders>
          </w:tcPr>
          <w:p w:rsidR="0095650B" w:rsidRPr="00B65378" w:rsidRDefault="0095650B" w:rsidP="00C05FAA">
            <w:pPr>
              <w:jc w:val="center"/>
              <w:rPr>
                <w:sz w:val="20"/>
                <w:szCs w:val="20"/>
              </w:rPr>
            </w:pPr>
          </w:p>
        </w:tc>
        <w:tc>
          <w:tcPr>
            <w:tcW w:w="1441" w:type="dxa"/>
            <w:tcBorders>
              <w:bottom w:val="nil"/>
            </w:tcBorders>
          </w:tcPr>
          <w:p w:rsidR="0095650B" w:rsidRPr="00B65378" w:rsidRDefault="0095650B" w:rsidP="00C05FAA">
            <w:pPr>
              <w:jc w:val="center"/>
              <w:rPr>
                <w:sz w:val="20"/>
                <w:szCs w:val="20"/>
              </w:rPr>
            </w:pPr>
          </w:p>
        </w:tc>
        <w:tc>
          <w:tcPr>
            <w:tcW w:w="1520" w:type="dxa"/>
            <w:tcBorders>
              <w:bottom w:val="nil"/>
            </w:tcBorders>
          </w:tcPr>
          <w:p w:rsidR="0095650B" w:rsidRPr="00B65378" w:rsidRDefault="0095650B" w:rsidP="00C05FAA">
            <w:pPr>
              <w:jc w:val="center"/>
              <w:rPr>
                <w:sz w:val="20"/>
                <w:szCs w:val="20"/>
              </w:rPr>
            </w:pPr>
          </w:p>
        </w:tc>
      </w:tr>
      <w:tr w:rsidR="0095650B" w:rsidTr="006A3CDF">
        <w:trPr>
          <w:jc w:val="center"/>
        </w:trPr>
        <w:tc>
          <w:tcPr>
            <w:tcW w:w="4159" w:type="dxa"/>
            <w:gridSpan w:val="2"/>
            <w:tcBorders>
              <w:top w:val="nil"/>
              <w:bottom w:val="nil"/>
            </w:tcBorders>
          </w:tcPr>
          <w:p w:rsidR="0095650B" w:rsidRPr="00BC724E" w:rsidRDefault="0095650B" w:rsidP="00501831">
            <w:pPr>
              <w:pStyle w:val="ListParagraph"/>
              <w:numPr>
                <w:ilvl w:val="0"/>
                <w:numId w:val="31"/>
              </w:numPr>
              <w:ind w:left="567" w:hanging="207"/>
              <w:rPr>
                <w:sz w:val="20"/>
                <w:szCs w:val="20"/>
              </w:rPr>
            </w:pPr>
            <w:r>
              <w:rPr>
                <w:sz w:val="20"/>
                <w:szCs w:val="20"/>
              </w:rPr>
              <w:t>Office of Technical Vocational Education, Training and Employment Opportunities</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3.2</w:t>
            </w:r>
          </w:p>
        </w:tc>
        <w:tc>
          <w:tcPr>
            <w:tcW w:w="1441" w:type="dxa"/>
            <w:tcBorders>
              <w:top w:val="nil"/>
              <w:bottom w:val="nil"/>
            </w:tcBorders>
          </w:tcPr>
          <w:p w:rsidR="0095650B" w:rsidRPr="00B65378" w:rsidRDefault="0095650B" w:rsidP="00C05FAA">
            <w:pPr>
              <w:jc w:val="center"/>
              <w:rPr>
                <w:sz w:val="20"/>
                <w:szCs w:val="20"/>
              </w:rPr>
            </w:pPr>
            <w:r>
              <w:rPr>
                <w:sz w:val="20"/>
                <w:szCs w:val="20"/>
              </w:rPr>
              <w:t>5.0</w:t>
            </w:r>
          </w:p>
        </w:tc>
        <w:tc>
          <w:tcPr>
            <w:tcW w:w="1520" w:type="dxa"/>
            <w:tcBorders>
              <w:top w:val="nil"/>
              <w:bottom w:val="nil"/>
            </w:tcBorders>
          </w:tcPr>
          <w:p w:rsidR="0095650B" w:rsidRPr="00B65378" w:rsidRDefault="0095650B" w:rsidP="00C05FAA">
            <w:pPr>
              <w:jc w:val="center"/>
              <w:rPr>
                <w:sz w:val="20"/>
                <w:szCs w:val="20"/>
              </w:rPr>
            </w:pPr>
            <w:r>
              <w:rPr>
                <w:sz w:val="20"/>
                <w:szCs w:val="20"/>
              </w:rPr>
              <w:t>0</w:t>
            </w:r>
          </w:p>
        </w:tc>
      </w:tr>
      <w:tr w:rsidR="0095650B" w:rsidTr="006A3CDF">
        <w:trPr>
          <w:jc w:val="center"/>
        </w:trPr>
        <w:tc>
          <w:tcPr>
            <w:tcW w:w="4159" w:type="dxa"/>
            <w:gridSpan w:val="2"/>
            <w:tcBorders>
              <w:top w:val="nil"/>
              <w:bottom w:val="nil"/>
            </w:tcBorders>
          </w:tcPr>
          <w:p w:rsidR="0095650B" w:rsidRDefault="0095650B" w:rsidP="00501831">
            <w:pPr>
              <w:pStyle w:val="ListParagraph"/>
              <w:numPr>
                <w:ilvl w:val="0"/>
                <w:numId w:val="31"/>
              </w:numPr>
              <w:ind w:left="567" w:hanging="207"/>
              <w:rPr>
                <w:sz w:val="20"/>
                <w:szCs w:val="20"/>
              </w:rPr>
            </w:pPr>
            <w:r>
              <w:rPr>
                <w:sz w:val="20"/>
                <w:szCs w:val="20"/>
              </w:rPr>
              <w:t>Vanuatu National Training Council</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20.0</w:t>
            </w:r>
          </w:p>
        </w:tc>
        <w:tc>
          <w:tcPr>
            <w:tcW w:w="1441" w:type="dxa"/>
            <w:tcBorders>
              <w:top w:val="nil"/>
              <w:bottom w:val="nil"/>
            </w:tcBorders>
          </w:tcPr>
          <w:p w:rsidR="0095650B" w:rsidRPr="00B65378" w:rsidRDefault="0095650B" w:rsidP="00C05FAA">
            <w:pPr>
              <w:jc w:val="center"/>
              <w:rPr>
                <w:sz w:val="20"/>
                <w:szCs w:val="20"/>
              </w:rPr>
            </w:pPr>
            <w:r>
              <w:rPr>
                <w:sz w:val="20"/>
                <w:szCs w:val="20"/>
              </w:rPr>
              <w:t>20.0</w:t>
            </w:r>
          </w:p>
        </w:tc>
        <w:tc>
          <w:tcPr>
            <w:tcW w:w="1520" w:type="dxa"/>
            <w:tcBorders>
              <w:top w:val="nil"/>
              <w:bottom w:val="nil"/>
            </w:tcBorders>
          </w:tcPr>
          <w:p w:rsidR="0095650B" w:rsidRPr="00B65378" w:rsidRDefault="0095650B" w:rsidP="00C05FAA">
            <w:pPr>
              <w:jc w:val="center"/>
              <w:rPr>
                <w:sz w:val="20"/>
                <w:szCs w:val="20"/>
              </w:rPr>
            </w:pPr>
            <w:r>
              <w:rPr>
                <w:sz w:val="20"/>
                <w:szCs w:val="20"/>
              </w:rPr>
              <w:t>17.1</w:t>
            </w:r>
          </w:p>
        </w:tc>
      </w:tr>
      <w:tr w:rsidR="0095650B" w:rsidTr="006A3CDF">
        <w:trPr>
          <w:jc w:val="center"/>
        </w:trPr>
        <w:tc>
          <w:tcPr>
            <w:tcW w:w="4159" w:type="dxa"/>
            <w:gridSpan w:val="2"/>
            <w:tcBorders>
              <w:top w:val="nil"/>
              <w:bottom w:val="nil"/>
            </w:tcBorders>
          </w:tcPr>
          <w:p w:rsidR="0095650B" w:rsidRDefault="0095650B" w:rsidP="00501831">
            <w:pPr>
              <w:pStyle w:val="ListParagraph"/>
              <w:numPr>
                <w:ilvl w:val="0"/>
                <w:numId w:val="31"/>
              </w:numPr>
              <w:ind w:left="567" w:hanging="207"/>
              <w:rPr>
                <w:sz w:val="20"/>
                <w:szCs w:val="20"/>
              </w:rPr>
            </w:pPr>
            <w:r>
              <w:rPr>
                <w:sz w:val="20"/>
                <w:szCs w:val="20"/>
              </w:rPr>
              <w:t>Non and informal education development</w:t>
            </w:r>
          </w:p>
        </w:tc>
        <w:tc>
          <w:tcPr>
            <w:tcW w:w="1385" w:type="dxa"/>
            <w:gridSpan w:val="2"/>
            <w:tcBorders>
              <w:top w:val="nil"/>
              <w:bottom w:val="nil"/>
            </w:tcBorders>
          </w:tcPr>
          <w:p w:rsidR="0095650B" w:rsidRPr="00B65378" w:rsidRDefault="0095650B" w:rsidP="00C05FAA">
            <w:pPr>
              <w:jc w:val="center"/>
              <w:rPr>
                <w:sz w:val="20"/>
                <w:szCs w:val="20"/>
              </w:rPr>
            </w:pPr>
            <w:r>
              <w:rPr>
                <w:sz w:val="20"/>
                <w:szCs w:val="20"/>
              </w:rPr>
              <w:t>2.0</w:t>
            </w:r>
          </w:p>
        </w:tc>
        <w:tc>
          <w:tcPr>
            <w:tcW w:w="1441" w:type="dxa"/>
            <w:tcBorders>
              <w:top w:val="nil"/>
              <w:bottom w:val="nil"/>
            </w:tcBorders>
          </w:tcPr>
          <w:p w:rsidR="0095650B" w:rsidRPr="00B65378" w:rsidRDefault="0095650B" w:rsidP="00C05FAA">
            <w:pPr>
              <w:jc w:val="center"/>
              <w:rPr>
                <w:sz w:val="20"/>
                <w:szCs w:val="20"/>
              </w:rPr>
            </w:pPr>
            <w:r>
              <w:rPr>
                <w:sz w:val="20"/>
                <w:szCs w:val="20"/>
              </w:rPr>
              <w:t>3.8</w:t>
            </w:r>
          </w:p>
        </w:tc>
        <w:tc>
          <w:tcPr>
            <w:tcW w:w="1520" w:type="dxa"/>
            <w:tcBorders>
              <w:top w:val="nil"/>
              <w:bottom w:val="nil"/>
            </w:tcBorders>
          </w:tcPr>
          <w:p w:rsidR="0095650B" w:rsidRPr="00B65378" w:rsidRDefault="0095650B" w:rsidP="00C05FAA">
            <w:pPr>
              <w:jc w:val="center"/>
              <w:rPr>
                <w:sz w:val="20"/>
                <w:szCs w:val="20"/>
              </w:rPr>
            </w:pPr>
            <w:r>
              <w:rPr>
                <w:sz w:val="20"/>
                <w:szCs w:val="20"/>
              </w:rPr>
              <w:t>0</w:t>
            </w:r>
          </w:p>
        </w:tc>
      </w:tr>
      <w:tr w:rsidR="0095650B" w:rsidTr="006A3CDF">
        <w:trPr>
          <w:jc w:val="center"/>
        </w:trPr>
        <w:tc>
          <w:tcPr>
            <w:tcW w:w="4159" w:type="dxa"/>
            <w:gridSpan w:val="2"/>
            <w:tcBorders>
              <w:top w:val="nil"/>
            </w:tcBorders>
          </w:tcPr>
          <w:p w:rsidR="0095650B" w:rsidRPr="00FF5CF7" w:rsidRDefault="0095650B" w:rsidP="00C05FAA">
            <w:pPr>
              <w:jc w:val="right"/>
              <w:rPr>
                <w:b/>
                <w:sz w:val="20"/>
                <w:szCs w:val="20"/>
              </w:rPr>
            </w:pPr>
            <w:r w:rsidRPr="00FF5CF7">
              <w:rPr>
                <w:b/>
                <w:sz w:val="20"/>
                <w:szCs w:val="20"/>
              </w:rPr>
              <w:t>MYDST Totals</w:t>
            </w:r>
          </w:p>
        </w:tc>
        <w:tc>
          <w:tcPr>
            <w:tcW w:w="1385" w:type="dxa"/>
            <w:gridSpan w:val="2"/>
            <w:tcBorders>
              <w:top w:val="nil"/>
            </w:tcBorders>
          </w:tcPr>
          <w:p w:rsidR="0095650B" w:rsidRPr="00FF5CF7" w:rsidRDefault="0095650B" w:rsidP="00C05FAA">
            <w:pPr>
              <w:jc w:val="center"/>
              <w:rPr>
                <w:b/>
                <w:sz w:val="20"/>
                <w:szCs w:val="20"/>
              </w:rPr>
            </w:pPr>
            <w:r w:rsidRPr="00FF5CF7">
              <w:rPr>
                <w:b/>
                <w:sz w:val="20"/>
                <w:szCs w:val="20"/>
              </w:rPr>
              <w:t>25.3</w:t>
            </w:r>
          </w:p>
        </w:tc>
        <w:tc>
          <w:tcPr>
            <w:tcW w:w="1441" w:type="dxa"/>
            <w:tcBorders>
              <w:top w:val="nil"/>
            </w:tcBorders>
          </w:tcPr>
          <w:p w:rsidR="0095650B" w:rsidRPr="00FF5CF7" w:rsidRDefault="0095650B" w:rsidP="00C05FAA">
            <w:pPr>
              <w:jc w:val="center"/>
              <w:rPr>
                <w:b/>
                <w:sz w:val="20"/>
                <w:szCs w:val="20"/>
              </w:rPr>
            </w:pPr>
            <w:r w:rsidRPr="00FF5CF7">
              <w:rPr>
                <w:b/>
                <w:sz w:val="20"/>
                <w:szCs w:val="20"/>
              </w:rPr>
              <w:t>28.8</w:t>
            </w:r>
          </w:p>
        </w:tc>
        <w:tc>
          <w:tcPr>
            <w:tcW w:w="1520" w:type="dxa"/>
            <w:tcBorders>
              <w:top w:val="nil"/>
            </w:tcBorders>
          </w:tcPr>
          <w:p w:rsidR="0095650B" w:rsidRPr="00FF5CF7" w:rsidRDefault="0095650B" w:rsidP="00C05FAA">
            <w:pPr>
              <w:jc w:val="center"/>
              <w:rPr>
                <w:b/>
                <w:sz w:val="20"/>
                <w:szCs w:val="20"/>
              </w:rPr>
            </w:pPr>
            <w:r w:rsidRPr="00FF5CF7">
              <w:rPr>
                <w:b/>
                <w:sz w:val="20"/>
                <w:szCs w:val="20"/>
              </w:rPr>
              <w:t>17.1</w:t>
            </w:r>
          </w:p>
        </w:tc>
      </w:tr>
      <w:tr w:rsidR="0095650B" w:rsidTr="006A3CDF">
        <w:trPr>
          <w:jc w:val="center"/>
        </w:trPr>
        <w:tc>
          <w:tcPr>
            <w:tcW w:w="4148" w:type="dxa"/>
          </w:tcPr>
          <w:p w:rsidR="0095650B" w:rsidRPr="00FF5CF7" w:rsidRDefault="0095650B" w:rsidP="00C05FAA">
            <w:pPr>
              <w:rPr>
                <w:b/>
                <w:sz w:val="20"/>
                <w:szCs w:val="20"/>
              </w:rPr>
            </w:pPr>
            <w:r w:rsidRPr="00FF5CF7">
              <w:rPr>
                <w:b/>
                <w:sz w:val="20"/>
                <w:szCs w:val="20"/>
              </w:rPr>
              <w:t>Ministry of Finance &amp; Economic Management - grants</w:t>
            </w:r>
            <w:r w:rsidRPr="00BC5705">
              <w:rPr>
                <w:rStyle w:val="FootnoteReference"/>
              </w:rPr>
              <w:footnoteReference w:id="9"/>
            </w:r>
          </w:p>
        </w:tc>
        <w:tc>
          <w:tcPr>
            <w:tcW w:w="1387" w:type="dxa"/>
            <w:gridSpan w:val="2"/>
          </w:tcPr>
          <w:p w:rsidR="0095650B" w:rsidRPr="00B65378" w:rsidRDefault="0095650B" w:rsidP="00C05FAA">
            <w:pPr>
              <w:jc w:val="center"/>
              <w:rPr>
                <w:sz w:val="20"/>
                <w:szCs w:val="20"/>
              </w:rPr>
            </w:pPr>
          </w:p>
        </w:tc>
        <w:tc>
          <w:tcPr>
            <w:tcW w:w="1450" w:type="dxa"/>
            <w:gridSpan w:val="2"/>
          </w:tcPr>
          <w:p w:rsidR="0095650B" w:rsidRPr="00B65378" w:rsidRDefault="0095650B" w:rsidP="00C05FAA">
            <w:pPr>
              <w:jc w:val="center"/>
              <w:rPr>
                <w:sz w:val="20"/>
                <w:szCs w:val="20"/>
              </w:rPr>
            </w:pPr>
          </w:p>
        </w:tc>
        <w:tc>
          <w:tcPr>
            <w:tcW w:w="1520" w:type="dxa"/>
          </w:tcPr>
          <w:p w:rsidR="0095650B" w:rsidRPr="00B65378" w:rsidRDefault="0095650B" w:rsidP="00C05FAA">
            <w:pPr>
              <w:jc w:val="center"/>
              <w:rPr>
                <w:sz w:val="20"/>
                <w:szCs w:val="20"/>
              </w:rPr>
            </w:pPr>
          </w:p>
        </w:tc>
      </w:tr>
      <w:tr w:rsidR="0095650B" w:rsidTr="006A3CDF">
        <w:trPr>
          <w:jc w:val="center"/>
        </w:trPr>
        <w:tc>
          <w:tcPr>
            <w:tcW w:w="4148" w:type="dxa"/>
          </w:tcPr>
          <w:p w:rsidR="0095650B" w:rsidRPr="00FF5CF7" w:rsidRDefault="0095650B" w:rsidP="00501831">
            <w:pPr>
              <w:pStyle w:val="ListParagraph"/>
              <w:numPr>
                <w:ilvl w:val="0"/>
                <w:numId w:val="31"/>
              </w:numPr>
              <w:ind w:left="567" w:hanging="207"/>
              <w:rPr>
                <w:sz w:val="20"/>
                <w:szCs w:val="20"/>
              </w:rPr>
            </w:pPr>
            <w:r>
              <w:rPr>
                <w:sz w:val="20"/>
                <w:szCs w:val="20"/>
              </w:rPr>
              <w:t>Vanuatu Agricultural Research &amp; Training Centre</w:t>
            </w:r>
          </w:p>
        </w:tc>
        <w:tc>
          <w:tcPr>
            <w:tcW w:w="1387" w:type="dxa"/>
            <w:gridSpan w:val="2"/>
          </w:tcPr>
          <w:p w:rsidR="0095650B" w:rsidRPr="00B65378" w:rsidRDefault="0095650B" w:rsidP="00C05FAA">
            <w:pPr>
              <w:jc w:val="center"/>
              <w:rPr>
                <w:sz w:val="20"/>
                <w:szCs w:val="20"/>
              </w:rPr>
            </w:pPr>
            <w:r>
              <w:rPr>
                <w:sz w:val="20"/>
                <w:szCs w:val="20"/>
              </w:rPr>
              <w:t>44.4</w:t>
            </w:r>
          </w:p>
        </w:tc>
        <w:tc>
          <w:tcPr>
            <w:tcW w:w="1450" w:type="dxa"/>
            <w:gridSpan w:val="2"/>
          </w:tcPr>
          <w:p w:rsidR="0095650B" w:rsidRPr="00B65378" w:rsidRDefault="0095650B" w:rsidP="00C05FAA">
            <w:pPr>
              <w:jc w:val="center"/>
              <w:rPr>
                <w:sz w:val="20"/>
                <w:szCs w:val="20"/>
              </w:rPr>
            </w:pPr>
            <w:r>
              <w:rPr>
                <w:sz w:val="20"/>
                <w:szCs w:val="20"/>
              </w:rPr>
              <w:t>35.7</w:t>
            </w:r>
          </w:p>
        </w:tc>
        <w:tc>
          <w:tcPr>
            <w:tcW w:w="1520" w:type="dxa"/>
          </w:tcPr>
          <w:p w:rsidR="0095650B" w:rsidRPr="00B65378" w:rsidRDefault="0095650B" w:rsidP="00C05FAA">
            <w:pPr>
              <w:jc w:val="center"/>
              <w:rPr>
                <w:sz w:val="20"/>
                <w:szCs w:val="20"/>
              </w:rPr>
            </w:pPr>
            <w:r>
              <w:rPr>
                <w:sz w:val="20"/>
                <w:szCs w:val="20"/>
              </w:rPr>
              <w:t>0</w:t>
            </w:r>
          </w:p>
        </w:tc>
      </w:tr>
      <w:tr w:rsidR="0095650B" w:rsidTr="006A3CDF">
        <w:trPr>
          <w:jc w:val="center"/>
        </w:trPr>
        <w:tc>
          <w:tcPr>
            <w:tcW w:w="4148" w:type="dxa"/>
          </w:tcPr>
          <w:p w:rsidR="0095650B" w:rsidRDefault="0095650B" w:rsidP="00501831">
            <w:pPr>
              <w:pStyle w:val="ListParagraph"/>
              <w:numPr>
                <w:ilvl w:val="0"/>
                <w:numId w:val="31"/>
              </w:numPr>
              <w:ind w:left="567" w:hanging="207"/>
              <w:rPr>
                <w:sz w:val="20"/>
                <w:szCs w:val="20"/>
              </w:rPr>
            </w:pPr>
            <w:r>
              <w:rPr>
                <w:sz w:val="20"/>
                <w:szCs w:val="20"/>
              </w:rPr>
              <w:t>Vanuatu Chamber of Commerce and Industry</w:t>
            </w:r>
            <w:r>
              <w:rPr>
                <w:rStyle w:val="FootnoteReference"/>
              </w:rPr>
              <w:footnoteReference w:id="10"/>
            </w:r>
          </w:p>
        </w:tc>
        <w:tc>
          <w:tcPr>
            <w:tcW w:w="1387" w:type="dxa"/>
            <w:gridSpan w:val="2"/>
          </w:tcPr>
          <w:p w:rsidR="0095650B" w:rsidRPr="00B65378" w:rsidRDefault="0095650B" w:rsidP="00C05FAA">
            <w:pPr>
              <w:jc w:val="center"/>
              <w:rPr>
                <w:sz w:val="20"/>
                <w:szCs w:val="20"/>
              </w:rPr>
            </w:pPr>
            <w:r>
              <w:rPr>
                <w:sz w:val="20"/>
                <w:szCs w:val="20"/>
              </w:rPr>
              <w:t>30.0</w:t>
            </w:r>
          </w:p>
        </w:tc>
        <w:tc>
          <w:tcPr>
            <w:tcW w:w="1450" w:type="dxa"/>
            <w:gridSpan w:val="2"/>
          </w:tcPr>
          <w:p w:rsidR="0095650B" w:rsidRPr="00B65378" w:rsidRDefault="0095650B" w:rsidP="00C05FAA">
            <w:pPr>
              <w:jc w:val="center"/>
              <w:rPr>
                <w:sz w:val="20"/>
                <w:szCs w:val="20"/>
              </w:rPr>
            </w:pPr>
            <w:r>
              <w:rPr>
                <w:sz w:val="20"/>
                <w:szCs w:val="20"/>
              </w:rPr>
              <w:t>30.0</w:t>
            </w:r>
          </w:p>
        </w:tc>
        <w:tc>
          <w:tcPr>
            <w:tcW w:w="1520" w:type="dxa"/>
          </w:tcPr>
          <w:p w:rsidR="0095650B" w:rsidRPr="00B65378" w:rsidRDefault="0095650B" w:rsidP="00C05FAA">
            <w:pPr>
              <w:jc w:val="center"/>
              <w:rPr>
                <w:sz w:val="20"/>
                <w:szCs w:val="20"/>
              </w:rPr>
            </w:pPr>
            <w:r>
              <w:rPr>
                <w:sz w:val="20"/>
                <w:szCs w:val="20"/>
              </w:rPr>
              <w:t>0</w:t>
            </w:r>
          </w:p>
        </w:tc>
      </w:tr>
      <w:tr w:rsidR="0095650B" w:rsidTr="006A3CDF">
        <w:trPr>
          <w:jc w:val="center"/>
        </w:trPr>
        <w:tc>
          <w:tcPr>
            <w:tcW w:w="4148" w:type="dxa"/>
          </w:tcPr>
          <w:p w:rsidR="0095650B" w:rsidRDefault="0095650B" w:rsidP="00501831">
            <w:pPr>
              <w:pStyle w:val="ListParagraph"/>
              <w:numPr>
                <w:ilvl w:val="0"/>
                <w:numId w:val="31"/>
              </w:numPr>
              <w:ind w:left="567" w:hanging="207"/>
              <w:rPr>
                <w:sz w:val="20"/>
                <w:szCs w:val="20"/>
              </w:rPr>
            </w:pPr>
            <w:r>
              <w:rPr>
                <w:sz w:val="20"/>
                <w:szCs w:val="20"/>
              </w:rPr>
              <w:t>Grant to University of the South Pacific</w:t>
            </w:r>
          </w:p>
        </w:tc>
        <w:tc>
          <w:tcPr>
            <w:tcW w:w="1387" w:type="dxa"/>
            <w:gridSpan w:val="2"/>
          </w:tcPr>
          <w:p w:rsidR="0095650B" w:rsidRPr="00B65378" w:rsidRDefault="0095650B" w:rsidP="00C05FAA">
            <w:pPr>
              <w:jc w:val="center"/>
              <w:rPr>
                <w:sz w:val="20"/>
                <w:szCs w:val="20"/>
              </w:rPr>
            </w:pPr>
            <w:r>
              <w:rPr>
                <w:sz w:val="20"/>
                <w:szCs w:val="20"/>
              </w:rPr>
              <w:t>146.2</w:t>
            </w:r>
          </w:p>
        </w:tc>
        <w:tc>
          <w:tcPr>
            <w:tcW w:w="1450" w:type="dxa"/>
            <w:gridSpan w:val="2"/>
          </w:tcPr>
          <w:p w:rsidR="0095650B" w:rsidRPr="00B65378" w:rsidRDefault="0095650B" w:rsidP="00C05FAA">
            <w:pPr>
              <w:jc w:val="center"/>
              <w:rPr>
                <w:sz w:val="20"/>
                <w:szCs w:val="20"/>
              </w:rPr>
            </w:pPr>
            <w:r>
              <w:rPr>
                <w:sz w:val="20"/>
                <w:szCs w:val="20"/>
              </w:rPr>
              <w:t>146.2</w:t>
            </w:r>
          </w:p>
        </w:tc>
        <w:tc>
          <w:tcPr>
            <w:tcW w:w="1520" w:type="dxa"/>
          </w:tcPr>
          <w:p w:rsidR="0095650B" w:rsidRPr="00B65378" w:rsidRDefault="0095650B" w:rsidP="00C05FAA">
            <w:pPr>
              <w:jc w:val="center"/>
              <w:rPr>
                <w:sz w:val="20"/>
                <w:szCs w:val="20"/>
              </w:rPr>
            </w:pPr>
            <w:r>
              <w:rPr>
                <w:sz w:val="20"/>
                <w:szCs w:val="20"/>
              </w:rPr>
              <w:t>0</w:t>
            </w:r>
          </w:p>
        </w:tc>
      </w:tr>
      <w:tr w:rsidR="0095650B" w:rsidTr="006A3CDF">
        <w:trPr>
          <w:jc w:val="center"/>
        </w:trPr>
        <w:tc>
          <w:tcPr>
            <w:tcW w:w="4148" w:type="dxa"/>
          </w:tcPr>
          <w:p w:rsidR="0095650B" w:rsidRDefault="0095650B" w:rsidP="00501831">
            <w:pPr>
              <w:pStyle w:val="ListParagraph"/>
              <w:numPr>
                <w:ilvl w:val="0"/>
                <w:numId w:val="31"/>
              </w:numPr>
              <w:ind w:left="567" w:hanging="207"/>
              <w:rPr>
                <w:sz w:val="20"/>
                <w:szCs w:val="20"/>
              </w:rPr>
            </w:pPr>
            <w:r>
              <w:rPr>
                <w:sz w:val="20"/>
                <w:szCs w:val="20"/>
              </w:rPr>
              <w:t>Vanuatu Maritime College</w:t>
            </w:r>
          </w:p>
        </w:tc>
        <w:tc>
          <w:tcPr>
            <w:tcW w:w="1387" w:type="dxa"/>
            <w:gridSpan w:val="2"/>
          </w:tcPr>
          <w:p w:rsidR="0095650B" w:rsidRPr="00B65378" w:rsidRDefault="0095650B" w:rsidP="00C05FAA">
            <w:pPr>
              <w:jc w:val="center"/>
              <w:rPr>
                <w:sz w:val="20"/>
                <w:szCs w:val="20"/>
              </w:rPr>
            </w:pPr>
            <w:r>
              <w:rPr>
                <w:sz w:val="20"/>
                <w:szCs w:val="20"/>
              </w:rPr>
              <w:t>41.3</w:t>
            </w:r>
          </w:p>
        </w:tc>
        <w:tc>
          <w:tcPr>
            <w:tcW w:w="1450" w:type="dxa"/>
            <w:gridSpan w:val="2"/>
          </w:tcPr>
          <w:p w:rsidR="0095650B" w:rsidRPr="00B65378" w:rsidRDefault="0095650B" w:rsidP="00C05FAA">
            <w:pPr>
              <w:jc w:val="center"/>
              <w:rPr>
                <w:sz w:val="20"/>
                <w:szCs w:val="20"/>
              </w:rPr>
            </w:pPr>
            <w:r>
              <w:rPr>
                <w:sz w:val="20"/>
                <w:szCs w:val="20"/>
              </w:rPr>
              <w:t>41.3</w:t>
            </w:r>
          </w:p>
        </w:tc>
        <w:tc>
          <w:tcPr>
            <w:tcW w:w="1520" w:type="dxa"/>
          </w:tcPr>
          <w:p w:rsidR="0095650B" w:rsidRPr="00B65378" w:rsidRDefault="0095650B" w:rsidP="00C05FAA">
            <w:pPr>
              <w:jc w:val="center"/>
              <w:rPr>
                <w:sz w:val="20"/>
                <w:szCs w:val="20"/>
              </w:rPr>
            </w:pPr>
            <w:r>
              <w:rPr>
                <w:sz w:val="20"/>
                <w:szCs w:val="20"/>
              </w:rPr>
              <w:t>0</w:t>
            </w:r>
          </w:p>
        </w:tc>
      </w:tr>
      <w:tr w:rsidR="0095650B" w:rsidTr="006A3CDF">
        <w:trPr>
          <w:jc w:val="center"/>
        </w:trPr>
        <w:tc>
          <w:tcPr>
            <w:tcW w:w="4148" w:type="dxa"/>
          </w:tcPr>
          <w:p w:rsidR="0095650B" w:rsidRDefault="0095650B" w:rsidP="00501831">
            <w:pPr>
              <w:pStyle w:val="ListParagraph"/>
              <w:numPr>
                <w:ilvl w:val="0"/>
                <w:numId w:val="31"/>
              </w:numPr>
              <w:ind w:left="567" w:hanging="207"/>
              <w:rPr>
                <w:sz w:val="20"/>
                <w:szCs w:val="20"/>
              </w:rPr>
            </w:pPr>
            <w:r>
              <w:rPr>
                <w:sz w:val="20"/>
                <w:szCs w:val="20"/>
              </w:rPr>
              <w:t>Vanuatu Agricultural College</w:t>
            </w:r>
          </w:p>
        </w:tc>
        <w:tc>
          <w:tcPr>
            <w:tcW w:w="1387" w:type="dxa"/>
            <w:gridSpan w:val="2"/>
          </w:tcPr>
          <w:p w:rsidR="0095650B" w:rsidRPr="00B65378" w:rsidRDefault="0095650B" w:rsidP="00C05FAA">
            <w:pPr>
              <w:jc w:val="center"/>
              <w:rPr>
                <w:sz w:val="20"/>
                <w:szCs w:val="20"/>
              </w:rPr>
            </w:pPr>
            <w:r>
              <w:rPr>
                <w:sz w:val="20"/>
                <w:szCs w:val="20"/>
              </w:rPr>
              <w:t>82.8</w:t>
            </w:r>
          </w:p>
        </w:tc>
        <w:tc>
          <w:tcPr>
            <w:tcW w:w="1450" w:type="dxa"/>
            <w:gridSpan w:val="2"/>
          </w:tcPr>
          <w:p w:rsidR="0095650B" w:rsidRPr="00B65378" w:rsidRDefault="0095650B" w:rsidP="00C05FAA">
            <w:pPr>
              <w:jc w:val="center"/>
              <w:rPr>
                <w:sz w:val="20"/>
                <w:szCs w:val="20"/>
              </w:rPr>
            </w:pPr>
            <w:r>
              <w:rPr>
                <w:sz w:val="20"/>
                <w:szCs w:val="20"/>
              </w:rPr>
              <w:t>82.8</w:t>
            </w:r>
          </w:p>
        </w:tc>
        <w:tc>
          <w:tcPr>
            <w:tcW w:w="1520" w:type="dxa"/>
          </w:tcPr>
          <w:p w:rsidR="0095650B" w:rsidRPr="00B65378" w:rsidRDefault="0095650B" w:rsidP="00C05FAA">
            <w:pPr>
              <w:jc w:val="center"/>
              <w:rPr>
                <w:sz w:val="20"/>
                <w:szCs w:val="20"/>
              </w:rPr>
            </w:pPr>
            <w:r>
              <w:rPr>
                <w:sz w:val="20"/>
                <w:szCs w:val="20"/>
              </w:rPr>
              <w:t>0</w:t>
            </w:r>
          </w:p>
        </w:tc>
      </w:tr>
      <w:tr w:rsidR="0095650B" w:rsidTr="006A3CDF">
        <w:trPr>
          <w:jc w:val="center"/>
        </w:trPr>
        <w:tc>
          <w:tcPr>
            <w:tcW w:w="4148" w:type="dxa"/>
          </w:tcPr>
          <w:p w:rsidR="0095650B" w:rsidRPr="00BC5705" w:rsidRDefault="0095650B" w:rsidP="00C05FAA">
            <w:pPr>
              <w:jc w:val="right"/>
              <w:rPr>
                <w:b/>
                <w:sz w:val="20"/>
                <w:szCs w:val="20"/>
              </w:rPr>
            </w:pPr>
            <w:r w:rsidRPr="00BC5705">
              <w:rPr>
                <w:b/>
                <w:sz w:val="20"/>
                <w:szCs w:val="20"/>
              </w:rPr>
              <w:t>MFEM Totals</w:t>
            </w:r>
          </w:p>
        </w:tc>
        <w:tc>
          <w:tcPr>
            <w:tcW w:w="1387" w:type="dxa"/>
            <w:gridSpan w:val="2"/>
          </w:tcPr>
          <w:p w:rsidR="0095650B" w:rsidRPr="00BC5705" w:rsidRDefault="0095650B" w:rsidP="00C05FAA">
            <w:pPr>
              <w:jc w:val="center"/>
              <w:rPr>
                <w:b/>
                <w:sz w:val="20"/>
                <w:szCs w:val="20"/>
              </w:rPr>
            </w:pPr>
            <w:r>
              <w:rPr>
                <w:b/>
                <w:sz w:val="20"/>
                <w:szCs w:val="20"/>
              </w:rPr>
              <w:t>344.7</w:t>
            </w:r>
          </w:p>
        </w:tc>
        <w:tc>
          <w:tcPr>
            <w:tcW w:w="1450" w:type="dxa"/>
            <w:gridSpan w:val="2"/>
          </w:tcPr>
          <w:p w:rsidR="0095650B" w:rsidRPr="00BC5705" w:rsidRDefault="0095650B" w:rsidP="00C05FAA">
            <w:pPr>
              <w:jc w:val="center"/>
              <w:rPr>
                <w:b/>
                <w:sz w:val="20"/>
                <w:szCs w:val="20"/>
              </w:rPr>
            </w:pPr>
            <w:r w:rsidRPr="00BC5705">
              <w:rPr>
                <w:b/>
                <w:sz w:val="20"/>
                <w:szCs w:val="20"/>
              </w:rPr>
              <w:t>336.0</w:t>
            </w:r>
          </w:p>
        </w:tc>
        <w:tc>
          <w:tcPr>
            <w:tcW w:w="1520" w:type="dxa"/>
          </w:tcPr>
          <w:p w:rsidR="0095650B" w:rsidRPr="00BC5705" w:rsidRDefault="0095650B" w:rsidP="00C05FAA">
            <w:pPr>
              <w:jc w:val="center"/>
              <w:rPr>
                <w:b/>
                <w:sz w:val="20"/>
                <w:szCs w:val="20"/>
              </w:rPr>
            </w:pPr>
            <w:r w:rsidRPr="00BC5705">
              <w:rPr>
                <w:b/>
                <w:sz w:val="20"/>
                <w:szCs w:val="20"/>
              </w:rPr>
              <w:t>0</w:t>
            </w:r>
          </w:p>
        </w:tc>
      </w:tr>
      <w:tr w:rsidR="0095650B" w:rsidTr="006A3CDF">
        <w:trPr>
          <w:jc w:val="center"/>
        </w:trPr>
        <w:tc>
          <w:tcPr>
            <w:tcW w:w="4148" w:type="dxa"/>
          </w:tcPr>
          <w:p w:rsidR="0095650B" w:rsidRPr="00B65378" w:rsidRDefault="0095650B" w:rsidP="00C05FAA">
            <w:pPr>
              <w:rPr>
                <w:sz w:val="20"/>
                <w:szCs w:val="20"/>
              </w:rPr>
            </w:pPr>
            <w:r>
              <w:rPr>
                <w:sz w:val="20"/>
                <w:szCs w:val="20"/>
              </w:rPr>
              <w:t xml:space="preserve">Ministry of </w:t>
            </w:r>
            <w:proofErr w:type="spellStart"/>
            <w:r>
              <w:rPr>
                <w:sz w:val="20"/>
                <w:szCs w:val="20"/>
              </w:rPr>
              <w:t>Heath</w:t>
            </w:r>
            <w:proofErr w:type="spellEnd"/>
            <w:r>
              <w:rPr>
                <w:sz w:val="20"/>
                <w:szCs w:val="20"/>
              </w:rPr>
              <w:t xml:space="preserve"> (Vanuatu College of Nurse Education)</w:t>
            </w:r>
          </w:p>
        </w:tc>
        <w:tc>
          <w:tcPr>
            <w:tcW w:w="4357" w:type="dxa"/>
            <w:gridSpan w:val="5"/>
          </w:tcPr>
          <w:p w:rsidR="0095650B" w:rsidRPr="00B65378" w:rsidRDefault="0095650B" w:rsidP="00C05FAA">
            <w:pPr>
              <w:rPr>
                <w:sz w:val="20"/>
                <w:szCs w:val="20"/>
              </w:rPr>
            </w:pPr>
            <w:r>
              <w:rPr>
                <w:sz w:val="20"/>
                <w:szCs w:val="20"/>
              </w:rPr>
              <w:t>Funding of VCNE not known</w:t>
            </w:r>
          </w:p>
        </w:tc>
      </w:tr>
      <w:tr w:rsidR="0095650B" w:rsidTr="006A3CDF">
        <w:trPr>
          <w:jc w:val="center"/>
        </w:trPr>
        <w:tc>
          <w:tcPr>
            <w:tcW w:w="4148" w:type="dxa"/>
          </w:tcPr>
          <w:p w:rsidR="0095650B" w:rsidRPr="00B65378" w:rsidRDefault="0095650B" w:rsidP="00C05FAA">
            <w:pPr>
              <w:rPr>
                <w:sz w:val="20"/>
                <w:szCs w:val="20"/>
              </w:rPr>
            </w:pPr>
            <w:r>
              <w:rPr>
                <w:sz w:val="20"/>
                <w:szCs w:val="20"/>
              </w:rPr>
              <w:t>Ministry of Internal Affairs (Vanuatu Police College)</w:t>
            </w:r>
          </w:p>
        </w:tc>
        <w:tc>
          <w:tcPr>
            <w:tcW w:w="4357" w:type="dxa"/>
            <w:gridSpan w:val="5"/>
          </w:tcPr>
          <w:p w:rsidR="0095650B" w:rsidRPr="00B65378" w:rsidRDefault="0095650B" w:rsidP="00C05FAA">
            <w:pPr>
              <w:rPr>
                <w:sz w:val="20"/>
                <w:szCs w:val="20"/>
              </w:rPr>
            </w:pPr>
            <w:r>
              <w:rPr>
                <w:sz w:val="20"/>
                <w:szCs w:val="20"/>
              </w:rPr>
              <w:t>Funding of VPC not known</w:t>
            </w:r>
          </w:p>
        </w:tc>
      </w:tr>
      <w:tr w:rsidR="0095650B" w:rsidTr="006A3CDF">
        <w:trPr>
          <w:jc w:val="center"/>
        </w:trPr>
        <w:tc>
          <w:tcPr>
            <w:tcW w:w="4148" w:type="dxa"/>
          </w:tcPr>
          <w:p w:rsidR="0095650B" w:rsidRPr="00B65378" w:rsidRDefault="0095650B" w:rsidP="00C05FAA">
            <w:pPr>
              <w:rPr>
                <w:sz w:val="20"/>
                <w:szCs w:val="20"/>
              </w:rPr>
            </w:pPr>
            <w:r>
              <w:rPr>
                <w:sz w:val="20"/>
                <w:szCs w:val="20"/>
              </w:rPr>
              <w:t>Ministry of Agriculture</w:t>
            </w:r>
          </w:p>
        </w:tc>
        <w:tc>
          <w:tcPr>
            <w:tcW w:w="4357" w:type="dxa"/>
            <w:gridSpan w:val="5"/>
          </w:tcPr>
          <w:p w:rsidR="0095650B" w:rsidRPr="00B65378" w:rsidRDefault="0095650B" w:rsidP="00C05FAA">
            <w:pPr>
              <w:rPr>
                <w:sz w:val="20"/>
                <w:szCs w:val="20"/>
              </w:rPr>
            </w:pPr>
            <w:r>
              <w:rPr>
                <w:sz w:val="20"/>
                <w:szCs w:val="20"/>
              </w:rPr>
              <w:t>Funding of agricultural TVET activities not known</w:t>
            </w:r>
          </w:p>
        </w:tc>
      </w:tr>
      <w:tr w:rsidR="0095650B" w:rsidTr="006A3CDF">
        <w:trPr>
          <w:jc w:val="center"/>
        </w:trPr>
        <w:tc>
          <w:tcPr>
            <w:tcW w:w="4148" w:type="dxa"/>
          </w:tcPr>
          <w:p w:rsidR="0095650B" w:rsidRPr="00B65378" w:rsidRDefault="0095650B" w:rsidP="00C05FAA">
            <w:pPr>
              <w:rPr>
                <w:sz w:val="20"/>
                <w:szCs w:val="20"/>
              </w:rPr>
            </w:pPr>
            <w:r w:rsidRPr="00EB7176">
              <w:rPr>
                <w:sz w:val="20"/>
                <w:szCs w:val="20"/>
                <w:lang w:val="en-US"/>
              </w:rPr>
              <w:t>Ministry of Cooperatives and Ni Vanuatu Business Development.</w:t>
            </w:r>
          </w:p>
        </w:tc>
        <w:tc>
          <w:tcPr>
            <w:tcW w:w="4357" w:type="dxa"/>
            <w:gridSpan w:val="5"/>
          </w:tcPr>
          <w:p w:rsidR="0095650B" w:rsidRPr="00B65378" w:rsidRDefault="0095650B" w:rsidP="00C05FAA">
            <w:pPr>
              <w:rPr>
                <w:sz w:val="20"/>
                <w:szCs w:val="20"/>
              </w:rPr>
            </w:pPr>
            <w:r>
              <w:rPr>
                <w:sz w:val="20"/>
                <w:szCs w:val="20"/>
              </w:rPr>
              <w:t>Funding of small business TVET activities not known.  However, the Ministry’s total budget for 2012 was VT96.5 million (i.e. small).</w:t>
            </w:r>
          </w:p>
        </w:tc>
      </w:tr>
    </w:tbl>
    <w:p w:rsidR="00D339A4" w:rsidRDefault="00D339A4" w:rsidP="0095650B">
      <w:pPr>
        <w:jc w:val="both"/>
        <w:rPr>
          <w:u w:val="single"/>
        </w:rPr>
      </w:pPr>
    </w:p>
    <w:p w:rsidR="0095650B" w:rsidRDefault="0095650B" w:rsidP="0095650B">
      <w:pPr>
        <w:jc w:val="both"/>
        <w:rPr>
          <w:u w:val="single"/>
        </w:rPr>
      </w:pPr>
      <w:r w:rsidRPr="002A2399">
        <w:rPr>
          <w:u w:val="single"/>
        </w:rPr>
        <w:t>Development partner funding</w:t>
      </w:r>
      <w:r>
        <w:rPr>
          <w:rStyle w:val="FootnoteReference"/>
          <w:u w:val="single"/>
        </w:rPr>
        <w:footnoteReference w:id="11"/>
      </w:r>
    </w:p>
    <w:p w:rsidR="0095650B" w:rsidRDefault="0095650B" w:rsidP="0095650B">
      <w:pPr>
        <w:jc w:val="both"/>
      </w:pPr>
    </w:p>
    <w:p w:rsidR="0095650B" w:rsidRDefault="0095650B" w:rsidP="0095650B">
      <w:pPr>
        <w:jc w:val="both"/>
      </w:pPr>
      <w:r>
        <w:t xml:space="preserve">The draft Design for the VESP summarises development partner contributions to those parts of the education sector administered by </w:t>
      </w:r>
      <w:proofErr w:type="spellStart"/>
      <w:r>
        <w:t>MoE</w:t>
      </w:r>
      <w:proofErr w:type="spellEnd"/>
      <w:r>
        <w:t xml:space="preserve"> in the following (abbreviated) terms:</w:t>
      </w:r>
    </w:p>
    <w:p w:rsidR="0095650B" w:rsidRDefault="0095650B" w:rsidP="0095650B">
      <w:pPr>
        <w:jc w:val="both"/>
      </w:pPr>
    </w:p>
    <w:p w:rsidR="0095650B" w:rsidRPr="004D0E9E" w:rsidRDefault="0095650B" w:rsidP="0095650B">
      <w:pPr>
        <w:ind w:left="720"/>
        <w:jc w:val="both"/>
      </w:pPr>
      <w:r w:rsidRPr="004D0E9E">
        <w:t>“Since 2008 the bulk of development partner funding to the education sector has been provided through direct financing</w:t>
      </w:r>
      <w:r>
        <w:t xml:space="preserve"> [through the Development Fund]</w:t>
      </w:r>
      <w:r w:rsidRPr="004D0E9E">
        <w:t xml:space="preserve"> and technical assistance.</w:t>
      </w:r>
      <w:r w:rsidRPr="004D0E9E">
        <w:rPr>
          <w:b/>
        </w:rPr>
        <w:t xml:space="preserve">  </w:t>
      </w:r>
      <w:r w:rsidRPr="004D0E9E">
        <w:t xml:space="preserve">The Joint Partnership Arrangement (JPA) was agreed in 2009 between the Government of Vanuatu and development partners to implement the VERM.  The JPA signatories are categorised in two groups: “Pool Partners” – Government of Vanuatu, </w:t>
      </w:r>
      <w:r w:rsidRPr="004D0E9E">
        <w:lastRenderedPageBreak/>
        <w:t>Australia (AusAID), New Zealand (NZMFAT) and UNICEF –</w:t>
      </w:r>
      <w:r>
        <w:t xml:space="preserve"> </w:t>
      </w:r>
      <w:r w:rsidRPr="004D0E9E">
        <w:t xml:space="preserve">make a financial contribution </w:t>
      </w:r>
      <w:r w:rsidRPr="004D0E9E">
        <w:rPr>
          <w:lang w:val="en-US"/>
        </w:rPr>
        <w:t>through</w:t>
      </w:r>
      <w:r w:rsidRPr="004D0E9E">
        <w:t xml:space="preserve"> a tripartite Grant Financing Arrangement.  “Non-Pool Partners” contribute through separate mechanisms (including the European Union’s General Budget Support)</w:t>
      </w:r>
      <w:r>
        <w:t xml:space="preserve"> ... </w:t>
      </w:r>
      <w:r w:rsidRPr="00A6033A">
        <w:t>Other donors provide technical support</w:t>
      </w:r>
      <w:r>
        <w:t xml:space="preserve"> ... Japan provides funding for classroom construction with France and US Peace Corps providing volunteers and/or in-kind support.  </w:t>
      </w:r>
      <w:r w:rsidRPr="00D17464">
        <w:t xml:space="preserve">The World Bank has provided </w:t>
      </w:r>
      <w:r>
        <w:t xml:space="preserve">[other] </w:t>
      </w:r>
      <w:r w:rsidRPr="00D17464">
        <w:t>technical support</w:t>
      </w:r>
      <w:r>
        <w:t>..</w:t>
      </w:r>
      <w:r w:rsidRPr="004D0E9E">
        <w:t>.</w:t>
      </w:r>
      <w:r>
        <w:t>”</w:t>
      </w:r>
      <w:r>
        <w:rPr>
          <w:rStyle w:val="FootnoteReference"/>
        </w:rPr>
        <w:footnoteReference w:id="12"/>
      </w:r>
    </w:p>
    <w:p w:rsidR="00142AAB" w:rsidRDefault="00142AAB" w:rsidP="0095650B">
      <w:pPr>
        <w:jc w:val="both"/>
      </w:pPr>
    </w:p>
    <w:p w:rsidR="0095650B" w:rsidRDefault="0095650B" w:rsidP="0095650B">
      <w:pPr>
        <w:jc w:val="both"/>
      </w:pPr>
      <w:r>
        <w:t xml:space="preserve">The present review encountered </w:t>
      </w:r>
      <w:r w:rsidR="00B23653">
        <w:t xml:space="preserve">difficulties </w:t>
      </w:r>
      <w:r>
        <w:t xml:space="preserve">in quantifying the funding contributions of individual development partners on a consistent and comprehensive basis.  It is clear, for example, that even for development partner funding channelled through the </w:t>
      </w:r>
      <w:proofErr w:type="spellStart"/>
      <w:r>
        <w:t>GoV</w:t>
      </w:r>
      <w:proofErr w:type="spellEnd"/>
      <w:r>
        <w:t xml:space="preserve"> Development Fund amounts budgeted can bear little relationship to amounts received and expended by the </w:t>
      </w:r>
      <w:proofErr w:type="spellStart"/>
      <w:r>
        <w:t>GoV.</w:t>
      </w:r>
      <w:proofErr w:type="spellEnd"/>
      <w:r>
        <w:rPr>
          <w:rStyle w:val="FootnoteReference"/>
        </w:rPr>
        <w:footnoteReference w:id="13"/>
      </w:r>
      <w:r>
        <w:t xml:space="preserve">  Virtually no data </w:t>
      </w:r>
      <w:r w:rsidR="00B23653">
        <w:t xml:space="preserve">were </w:t>
      </w:r>
      <w:r>
        <w:t>available on the costs of development partner support provided in the form of technical assistance and funding of volunteers.</w:t>
      </w:r>
      <w:r w:rsidR="00BB62B8">
        <w:t xml:space="preserve">  </w:t>
      </w:r>
      <w:r>
        <w:t xml:space="preserve">Table </w:t>
      </w:r>
      <w:r w:rsidR="000F65C3">
        <w:t>7</w:t>
      </w:r>
      <w:r>
        <w:t xml:space="preserve"> reproduces data compiled by </w:t>
      </w:r>
      <w:proofErr w:type="spellStart"/>
      <w:r>
        <w:t>MoE</w:t>
      </w:r>
      <w:proofErr w:type="spellEnd"/>
      <w:r>
        <w:t xml:space="preserve"> on its development partner funding sources in 2011.</w:t>
      </w:r>
    </w:p>
    <w:p w:rsidR="0095650B" w:rsidRDefault="0095650B" w:rsidP="0095650B">
      <w:pPr>
        <w:jc w:val="both"/>
      </w:pPr>
    </w:p>
    <w:tbl>
      <w:tblPr>
        <w:tblStyle w:val="TableGrid"/>
        <w:tblW w:w="8505" w:type="dxa"/>
        <w:jc w:val="center"/>
        <w:tblLook w:val="04A0" w:firstRow="1" w:lastRow="0" w:firstColumn="1" w:lastColumn="0" w:noHBand="0" w:noVBand="1"/>
        <w:tblCaption w:val="MoE estimates of development partner funding sources, 2011"/>
        <w:tblDescription w:val="Includes Australia, New Zealand, UNICEF, Japan, France"/>
      </w:tblPr>
      <w:tblGrid>
        <w:gridCol w:w="3094"/>
        <w:gridCol w:w="2390"/>
        <w:gridCol w:w="1473"/>
        <w:gridCol w:w="1548"/>
      </w:tblGrid>
      <w:tr w:rsidR="0095650B" w:rsidTr="00D339A4">
        <w:trPr>
          <w:tblHeader/>
          <w:jc w:val="center"/>
        </w:trPr>
        <w:tc>
          <w:tcPr>
            <w:tcW w:w="9570" w:type="dxa"/>
            <w:gridSpan w:val="4"/>
            <w:shd w:val="clear" w:color="auto" w:fill="BFBFBF" w:themeFill="background1" w:themeFillShade="BF"/>
          </w:tcPr>
          <w:p w:rsidR="0095650B" w:rsidRDefault="0095650B" w:rsidP="000F65C3">
            <w:pPr>
              <w:jc w:val="both"/>
            </w:pPr>
            <w:r>
              <w:t xml:space="preserve">Table </w:t>
            </w:r>
            <w:r w:rsidR="000F65C3">
              <w:t>7</w:t>
            </w:r>
            <w:r>
              <w:t xml:space="preserve">: </w:t>
            </w:r>
            <w:proofErr w:type="spellStart"/>
            <w:r>
              <w:t>MoE</w:t>
            </w:r>
            <w:proofErr w:type="spellEnd"/>
            <w:r>
              <w:t xml:space="preserve"> estimates of development partner funding sources, 2011</w:t>
            </w:r>
          </w:p>
        </w:tc>
      </w:tr>
      <w:tr w:rsidR="0095650B" w:rsidTr="009B54F6">
        <w:trPr>
          <w:jc w:val="center"/>
        </w:trPr>
        <w:tc>
          <w:tcPr>
            <w:tcW w:w="3652" w:type="dxa"/>
          </w:tcPr>
          <w:p w:rsidR="0095650B" w:rsidRDefault="0095650B" w:rsidP="00C05FAA">
            <w:pPr>
              <w:jc w:val="center"/>
            </w:pPr>
          </w:p>
        </w:tc>
        <w:tc>
          <w:tcPr>
            <w:tcW w:w="2728" w:type="dxa"/>
          </w:tcPr>
          <w:p w:rsidR="0095650B" w:rsidRDefault="0095650B" w:rsidP="00C05FAA">
            <w:pPr>
              <w:jc w:val="center"/>
            </w:pPr>
            <w:proofErr w:type="spellStart"/>
            <w:r>
              <w:t>D.Partners</w:t>
            </w:r>
            <w:proofErr w:type="spellEnd"/>
          </w:p>
        </w:tc>
        <w:tc>
          <w:tcPr>
            <w:tcW w:w="1595" w:type="dxa"/>
          </w:tcPr>
          <w:p w:rsidR="0095650B" w:rsidRDefault="0095650B" w:rsidP="00C05FAA">
            <w:pPr>
              <w:jc w:val="center"/>
            </w:pPr>
            <w:r>
              <w:t>Revenue</w:t>
            </w:r>
          </w:p>
          <w:p w:rsidR="0095650B" w:rsidRDefault="0095650B" w:rsidP="00C05FAA">
            <w:pPr>
              <w:jc w:val="center"/>
            </w:pPr>
            <w:r>
              <w:t>(VT million)</w:t>
            </w:r>
          </w:p>
        </w:tc>
        <w:tc>
          <w:tcPr>
            <w:tcW w:w="1595" w:type="dxa"/>
          </w:tcPr>
          <w:p w:rsidR="0095650B" w:rsidRDefault="0095650B" w:rsidP="00C05FAA">
            <w:pPr>
              <w:jc w:val="center"/>
            </w:pPr>
            <w:r>
              <w:t>Expenditure</w:t>
            </w:r>
          </w:p>
          <w:p w:rsidR="0095650B" w:rsidRDefault="0095650B" w:rsidP="00C05FAA">
            <w:pPr>
              <w:jc w:val="center"/>
            </w:pPr>
            <w:r>
              <w:t>(VT million)</w:t>
            </w:r>
          </w:p>
        </w:tc>
      </w:tr>
      <w:tr w:rsidR="0095650B" w:rsidTr="009B54F6">
        <w:trPr>
          <w:jc w:val="center"/>
        </w:trPr>
        <w:tc>
          <w:tcPr>
            <w:tcW w:w="3652" w:type="dxa"/>
          </w:tcPr>
          <w:p w:rsidR="0095650B" w:rsidRDefault="0095650B" w:rsidP="00C05FAA">
            <w:r>
              <w:t>Vanuatu Education Road Map</w:t>
            </w:r>
          </w:p>
        </w:tc>
        <w:tc>
          <w:tcPr>
            <w:tcW w:w="2728" w:type="dxa"/>
          </w:tcPr>
          <w:p w:rsidR="0095650B" w:rsidRDefault="0095650B" w:rsidP="00681BBB">
            <w:r>
              <w:t>Australia, New Zealand, U</w:t>
            </w:r>
            <w:r w:rsidR="00681BBB">
              <w:t>NICEF</w:t>
            </w:r>
          </w:p>
        </w:tc>
        <w:tc>
          <w:tcPr>
            <w:tcW w:w="1595" w:type="dxa"/>
          </w:tcPr>
          <w:p w:rsidR="0095650B" w:rsidRDefault="0095650B" w:rsidP="00C05FAA">
            <w:pPr>
              <w:jc w:val="center"/>
            </w:pPr>
            <w:r>
              <w:t>470</w:t>
            </w:r>
          </w:p>
        </w:tc>
        <w:tc>
          <w:tcPr>
            <w:tcW w:w="1595" w:type="dxa"/>
          </w:tcPr>
          <w:p w:rsidR="0095650B" w:rsidRDefault="0095650B" w:rsidP="00C05FAA">
            <w:pPr>
              <w:jc w:val="center"/>
            </w:pPr>
            <w:r>
              <w:t>448</w:t>
            </w:r>
          </w:p>
        </w:tc>
      </w:tr>
      <w:tr w:rsidR="0095650B" w:rsidTr="009B54F6">
        <w:trPr>
          <w:jc w:val="center"/>
        </w:trPr>
        <w:tc>
          <w:tcPr>
            <w:tcW w:w="3652" w:type="dxa"/>
            <w:vMerge w:val="restart"/>
          </w:tcPr>
          <w:p w:rsidR="0095650B" w:rsidRDefault="0095650B" w:rsidP="00C05FAA">
            <w:r>
              <w:t>Other:</w:t>
            </w:r>
          </w:p>
        </w:tc>
        <w:tc>
          <w:tcPr>
            <w:tcW w:w="2728" w:type="dxa"/>
          </w:tcPr>
          <w:p w:rsidR="0095650B" w:rsidRDefault="0095650B" w:rsidP="00681BBB">
            <w:r>
              <w:t>U</w:t>
            </w:r>
            <w:r w:rsidR="00681BBB">
              <w:t>NICEF</w:t>
            </w:r>
          </w:p>
        </w:tc>
        <w:tc>
          <w:tcPr>
            <w:tcW w:w="1595" w:type="dxa"/>
          </w:tcPr>
          <w:p w:rsidR="0095650B" w:rsidRDefault="0095650B" w:rsidP="00C05FAA">
            <w:pPr>
              <w:jc w:val="center"/>
            </w:pPr>
            <w:r>
              <w:t>3</w:t>
            </w:r>
          </w:p>
        </w:tc>
        <w:tc>
          <w:tcPr>
            <w:tcW w:w="1595" w:type="dxa"/>
          </w:tcPr>
          <w:p w:rsidR="0095650B" w:rsidRDefault="0095650B" w:rsidP="00C05FAA">
            <w:pPr>
              <w:jc w:val="center"/>
            </w:pPr>
            <w:r>
              <w:t>3</w:t>
            </w:r>
          </w:p>
        </w:tc>
      </w:tr>
      <w:tr w:rsidR="0095650B" w:rsidTr="009B54F6">
        <w:trPr>
          <w:jc w:val="center"/>
        </w:trPr>
        <w:tc>
          <w:tcPr>
            <w:tcW w:w="3652" w:type="dxa"/>
            <w:vMerge/>
          </w:tcPr>
          <w:p w:rsidR="0095650B" w:rsidRDefault="0095650B" w:rsidP="00C05FAA"/>
        </w:tc>
        <w:tc>
          <w:tcPr>
            <w:tcW w:w="2728" w:type="dxa"/>
          </w:tcPr>
          <w:p w:rsidR="0095650B" w:rsidRDefault="0095650B" w:rsidP="00C05FAA">
            <w:r>
              <w:t>Japan</w:t>
            </w:r>
          </w:p>
        </w:tc>
        <w:tc>
          <w:tcPr>
            <w:tcW w:w="1595" w:type="dxa"/>
          </w:tcPr>
          <w:p w:rsidR="0095650B" w:rsidRDefault="0095650B" w:rsidP="00C05FAA">
            <w:pPr>
              <w:jc w:val="center"/>
            </w:pPr>
            <w:r>
              <w:t>35</w:t>
            </w:r>
          </w:p>
        </w:tc>
        <w:tc>
          <w:tcPr>
            <w:tcW w:w="1595" w:type="dxa"/>
          </w:tcPr>
          <w:p w:rsidR="0095650B" w:rsidRDefault="0095650B" w:rsidP="00C05FAA">
            <w:pPr>
              <w:jc w:val="center"/>
            </w:pPr>
            <w:r>
              <w:t>29</w:t>
            </w:r>
          </w:p>
        </w:tc>
      </w:tr>
      <w:tr w:rsidR="0095650B" w:rsidTr="009B54F6">
        <w:trPr>
          <w:jc w:val="center"/>
        </w:trPr>
        <w:tc>
          <w:tcPr>
            <w:tcW w:w="3652" w:type="dxa"/>
            <w:vMerge/>
          </w:tcPr>
          <w:p w:rsidR="0095650B" w:rsidRDefault="0095650B" w:rsidP="00C05FAA"/>
        </w:tc>
        <w:tc>
          <w:tcPr>
            <w:tcW w:w="2728" w:type="dxa"/>
          </w:tcPr>
          <w:p w:rsidR="0095650B" w:rsidRDefault="0095650B" w:rsidP="00C05FAA">
            <w:r>
              <w:t>New Zealand</w:t>
            </w:r>
          </w:p>
        </w:tc>
        <w:tc>
          <w:tcPr>
            <w:tcW w:w="1595" w:type="dxa"/>
          </w:tcPr>
          <w:p w:rsidR="0095650B" w:rsidRDefault="0095650B" w:rsidP="00C05FAA">
            <w:pPr>
              <w:jc w:val="center"/>
            </w:pPr>
            <w:r>
              <w:t>3</w:t>
            </w:r>
          </w:p>
        </w:tc>
        <w:tc>
          <w:tcPr>
            <w:tcW w:w="1595" w:type="dxa"/>
          </w:tcPr>
          <w:p w:rsidR="0095650B" w:rsidRDefault="0095650B" w:rsidP="00C05FAA">
            <w:pPr>
              <w:jc w:val="center"/>
            </w:pPr>
            <w:r>
              <w:t>3</w:t>
            </w:r>
          </w:p>
        </w:tc>
      </w:tr>
      <w:tr w:rsidR="0095650B" w:rsidTr="009B54F6">
        <w:trPr>
          <w:jc w:val="center"/>
        </w:trPr>
        <w:tc>
          <w:tcPr>
            <w:tcW w:w="3652" w:type="dxa"/>
            <w:vMerge/>
          </w:tcPr>
          <w:p w:rsidR="0095650B" w:rsidRDefault="0095650B" w:rsidP="00C05FAA"/>
        </w:tc>
        <w:tc>
          <w:tcPr>
            <w:tcW w:w="2728" w:type="dxa"/>
          </w:tcPr>
          <w:p w:rsidR="0095650B" w:rsidRDefault="0095650B" w:rsidP="00C05FAA">
            <w:r>
              <w:t>France</w:t>
            </w:r>
          </w:p>
        </w:tc>
        <w:tc>
          <w:tcPr>
            <w:tcW w:w="1595" w:type="dxa"/>
          </w:tcPr>
          <w:p w:rsidR="0095650B" w:rsidRDefault="0095650B" w:rsidP="00C05FAA">
            <w:pPr>
              <w:jc w:val="center"/>
            </w:pPr>
            <w:r>
              <w:t>6</w:t>
            </w:r>
          </w:p>
        </w:tc>
        <w:tc>
          <w:tcPr>
            <w:tcW w:w="1595" w:type="dxa"/>
          </w:tcPr>
          <w:p w:rsidR="0095650B" w:rsidRDefault="0095650B" w:rsidP="00C05FAA">
            <w:pPr>
              <w:jc w:val="center"/>
            </w:pPr>
            <w:r>
              <w:t>5</w:t>
            </w:r>
          </w:p>
        </w:tc>
      </w:tr>
      <w:tr w:rsidR="0095650B" w:rsidTr="009B54F6">
        <w:trPr>
          <w:jc w:val="center"/>
        </w:trPr>
        <w:tc>
          <w:tcPr>
            <w:tcW w:w="9570" w:type="dxa"/>
            <w:gridSpan w:val="4"/>
          </w:tcPr>
          <w:p w:rsidR="0095650B" w:rsidRDefault="0095650B" w:rsidP="00BB62B8">
            <w:r>
              <w:t xml:space="preserve">Source: </w:t>
            </w:r>
            <w:r w:rsidR="00BB62B8">
              <w:t>Ministry of Education Financial Statements for Recurrent and Development Fund 2009-2012.</w:t>
            </w:r>
          </w:p>
        </w:tc>
      </w:tr>
    </w:tbl>
    <w:p w:rsidR="0095650B" w:rsidRDefault="0095650B" w:rsidP="0095650B">
      <w:pPr>
        <w:jc w:val="both"/>
      </w:pPr>
    </w:p>
    <w:p w:rsidR="0095650B" w:rsidRDefault="0095650B" w:rsidP="0095650B">
      <w:pPr>
        <w:jc w:val="both"/>
        <w:rPr>
          <w:u w:val="single"/>
        </w:rPr>
      </w:pPr>
      <w:r w:rsidRPr="002A2399">
        <w:rPr>
          <w:u w:val="single"/>
        </w:rPr>
        <w:t>Other sources of funding</w:t>
      </w:r>
    </w:p>
    <w:p w:rsidR="0095650B" w:rsidRDefault="0095650B" w:rsidP="0095650B">
      <w:pPr>
        <w:jc w:val="both"/>
      </w:pPr>
    </w:p>
    <w:p w:rsidR="0095650B" w:rsidRDefault="0095650B" w:rsidP="0095650B">
      <w:pPr>
        <w:jc w:val="both"/>
      </w:pPr>
      <w:r>
        <w:t xml:space="preserve">As noted earlier (Section 1) a wide range of other institutions contribute to funding of Vanuatu’s education sector including, principally and at different sub-sector levels, the Churches, other </w:t>
      </w:r>
      <w:proofErr w:type="spellStart"/>
      <w:r>
        <w:t>non government</w:t>
      </w:r>
      <w:proofErr w:type="spellEnd"/>
      <w:r>
        <w:t xml:space="preserve"> organisations, communities (especially at ECE and primary school levels) and individual households by way of fees and other contributions in cash and kind.  </w:t>
      </w:r>
      <w:r w:rsidR="00BB62B8">
        <w:t xml:space="preserve">Little </w:t>
      </w:r>
      <w:r>
        <w:t>is known at an aggregate level as to the quantitative significance of these other funding sources</w:t>
      </w:r>
      <w:r w:rsidR="00BB62B8">
        <w:t xml:space="preserve">.  </w:t>
      </w:r>
      <w:r>
        <w:t xml:space="preserve">The review has, however, sought to quantify in broad terms the significance of school grants relative to other sources of (banked) school income for </w:t>
      </w:r>
      <w:proofErr w:type="spellStart"/>
      <w:r>
        <w:t>GoV</w:t>
      </w:r>
      <w:proofErr w:type="spellEnd"/>
      <w:r>
        <w:t>-funded and Government Assisted primary and secondary schools.</w:t>
      </w:r>
    </w:p>
    <w:p w:rsidR="0095650B" w:rsidRDefault="0095650B" w:rsidP="0095650B">
      <w:pPr>
        <w:jc w:val="both"/>
      </w:pPr>
    </w:p>
    <w:p w:rsidR="0095650B" w:rsidRDefault="0095650B" w:rsidP="0095650B">
      <w:pPr>
        <w:jc w:val="both"/>
      </w:pPr>
      <w:r>
        <w:t xml:space="preserve">The review drew a sample representing some 12% of all </w:t>
      </w:r>
      <w:proofErr w:type="spellStart"/>
      <w:r>
        <w:t>GoV</w:t>
      </w:r>
      <w:proofErr w:type="spellEnd"/>
      <w:r>
        <w:t xml:space="preserve">/GA primary and secondary schools and examined school bank account data for 2011 held for each by the </w:t>
      </w:r>
      <w:proofErr w:type="spellStart"/>
      <w:r>
        <w:t>MoE’s</w:t>
      </w:r>
      <w:proofErr w:type="spellEnd"/>
      <w:r>
        <w:t xml:space="preserve"> Internal Audit Unit.</w:t>
      </w:r>
      <w:r>
        <w:rPr>
          <w:rStyle w:val="FootnoteReference"/>
        </w:rPr>
        <w:footnoteReference w:id="14"/>
      </w:r>
      <w:r>
        <w:t xml:space="preserve">  The aim was to quantify the relative importance of school grants versus other </w:t>
      </w:r>
      <w:r>
        <w:lastRenderedPageBreak/>
        <w:t xml:space="preserve">sources of school income flowing through school bank accounts established with the National Bank of Vanuatu in parallel with the introduction of increased primary school grants in 2010.  Table </w:t>
      </w:r>
      <w:r w:rsidR="000F65C3">
        <w:t>8</w:t>
      </w:r>
      <w:r>
        <w:t xml:space="preserve"> summarises the results.</w:t>
      </w:r>
    </w:p>
    <w:p w:rsidR="0095650B" w:rsidRDefault="0095650B" w:rsidP="0095650B"/>
    <w:tbl>
      <w:tblPr>
        <w:tblStyle w:val="TableGrid"/>
        <w:tblW w:w="8505" w:type="dxa"/>
        <w:jc w:val="center"/>
        <w:tblLook w:val="04A0" w:firstRow="1" w:lastRow="0" w:firstColumn="1" w:lastColumn="0" w:noHBand="0" w:noVBand="1"/>
        <w:tblCaption w:val="School Grants as a proportion of total credits to a sample of school bank accounts, 2011"/>
        <w:tblDescription w:val="Broken down by primary/secondary schools, GoV/GA, and by province averages"/>
      </w:tblPr>
      <w:tblGrid>
        <w:gridCol w:w="2823"/>
        <w:gridCol w:w="1423"/>
        <w:gridCol w:w="1417"/>
        <w:gridCol w:w="1424"/>
        <w:gridCol w:w="1418"/>
      </w:tblGrid>
      <w:tr w:rsidR="0095650B" w:rsidTr="00D339A4">
        <w:trPr>
          <w:tblHeader/>
          <w:jc w:val="center"/>
        </w:trPr>
        <w:tc>
          <w:tcPr>
            <w:tcW w:w="9242" w:type="dxa"/>
            <w:gridSpan w:val="5"/>
            <w:shd w:val="clear" w:color="auto" w:fill="BFBFBF" w:themeFill="background1" w:themeFillShade="BF"/>
          </w:tcPr>
          <w:p w:rsidR="0095650B" w:rsidRDefault="0095650B" w:rsidP="000F65C3">
            <w:r>
              <w:t xml:space="preserve">Table </w:t>
            </w:r>
            <w:r w:rsidR="000F65C3">
              <w:t>8</w:t>
            </w:r>
            <w:r>
              <w:t>:  School Grants as a proportion of total credits to a sample of school bank accounts, 2011</w:t>
            </w:r>
          </w:p>
        </w:tc>
      </w:tr>
      <w:tr w:rsidR="0095650B" w:rsidTr="009B54F6">
        <w:trPr>
          <w:jc w:val="center"/>
        </w:trPr>
        <w:tc>
          <w:tcPr>
            <w:tcW w:w="3080" w:type="dxa"/>
            <w:vMerge w:val="restart"/>
          </w:tcPr>
          <w:p w:rsidR="0095650B" w:rsidRDefault="0095650B" w:rsidP="00C05FAA"/>
        </w:tc>
        <w:tc>
          <w:tcPr>
            <w:tcW w:w="3080" w:type="dxa"/>
            <w:gridSpan w:val="2"/>
          </w:tcPr>
          <w:p w:rsidR="0095650B" w:rsidRDefault="0095650B" w:rsidP="00C05FAA">
            <w:pPr>
              <w:jc w:val="center"/>
            </w:pPr>
            <w:r>
              <w:t>Primary schools</w:t>
            </w:r>
          </w:p>
        </w:tc>
        <w:tc>
          <w:tcPr>
            <w:tcW w:w="3082" w:type="dxa"/>
            <w:gridSpan w:val="2"/>
          </w:tcPr>
          <w:p w:rsidR="0095650B" w:rsidRDefault="0095650B" w:rsidP="00C05FAA">
            <w:pPr>
              <w:jc w:val="center"/>
            </w:pPr>
            <w:r>
              <w:t>Secondary schools</w:t>
            </w:r>
          </w:p>
        </w:tc>
      </w:tr>
      <w:tr w:rsidR="0095650B" w:rsidTr="009B54F6">
        <w:trPr>
          <w:jc w:val="center"/>
        </w:trPr>
        <w:tc>
          <w:tcPr>
            <w:tcW w:w="3080" w:type="dxa"/>
            <w:vMerge/>
          </w:tcPr>
          <w:p w:rsidR="0095650B" w:rsidRDefault="0095650B" w:rsidP="00C05FAA"/>
        </w:tc>
        <w:tc>
          <w:tcPr>
            <w:tcW w:w="1540" w:type="dxa"/>
          </w:tcPr>
          <w:p w:rsidR="0095650B" w:rsidRDefault="0095650B" w:rsidP="00C05FAA">
            <w:pPr>
              <w:jc w:val="center"/>
            </w:pPr>
            <w:proofErr w:type="spellStart"/>
            <w:r>
              <w:t>GoV</w:t>
            </w:r>
            <w:proofErr w:type="spellEnd"/>
          </w:p>
        </w:tc>
        <w:tc>
          <w:tcPr>
            <w:tcW w:w="1540" w:type="dxa"/>
          </w:tcPr>
          <w:p w:rsidR="0095650B" w:rsidRDefault="0095650B" w:rsidP="00C05FAA">
            <w:pPr>
              <w:jc w:val="center"/>
            </w:pPr>
            <w:r>
              <w:t>GA</w:t>
            </w:r>
          </w:p>
        </w:tc>
        <w:tc>
          <w:tcPr>
            <w:tcW w:w="1541" w:type="dxa"/>
          </w:tcPr>
          <w:p w:rsidR="0095650B" w:rsidRDefault="0095650B" w:rsidP="00C05FAA">
            <w:pPr>
              <w:jc w:val="center"/>
            </w:pPr>
            <w:proofErr w:type="spellStart"/>
            <w:r>
              <w:t>GoV</w:t>
            </w:r>
            <w:proofErr w:type="spellEnd"/>
          </w:p>
        </w:tc>
        <w:tc>
          <w:tcPr>
            <w:tcW w:w="1541" w:type="dxa"/>
          </w:tcPr>
          <w:p w:rsidR="0095650B" w:rsidRDefault="0095650B" w:rsidP="00C05FAA">
            <w:pPr>
              <w:jc w:val="center"/>
            </w:pPr>
            <w:r>
              <w:t>GA</w:t>
            </w:r>
          </w:p>
        </w:tc>
      </w:tr>
      <w:tr w:rsidR="0095650B" w:rsidTr="009B54F6">
        <w:trPr>
          <w:jc w:val="center"/>
        </w:trPr>
        <w:tc>
          <w:tcPr>
            <w:tcW w:w="3080" w:type="dxa"/>
            <w:vMerge/>
          </w:tcPr>
          <w:p w:rsidR="0095650B" w:rsidRDefault="0095650B" w:rsidP="00C05FAA"/>
        </w:tc>
        <w:tc>
          <w:tcPr>
            <w:tcW w:w="1540" w:type="dxa"/>
          </w:tcPr>
          <w:p w:rsidR="0095650B" w:rsidRDefault="0095650B" w:rsidP="00C05FAA">
            <w:pPr>
              <w:jc w:val="center"/>
            </w:pPr>
            <w:r>
              <w:t>(%)</w:t>
            </w:r>
          </w:p>
        </w:tc>
        <w:tc>
          <w:tcPr>
            <w:tcW w:w="1540" w:type="dxa"/>
          </w:tcPr>
          <w:p w:rsidR="0095650B" w:rsidRDefault="0095650B" w:rsidP="00C05FAA">
            <w:pPr>
              <w:jc w:val="center"/>
            </w:pPr>
            <w:r>
              <w:t>(%)</w:t>
            </w:r>
          </w:p>
        </w:tc>
        <w:tc>
          <w:tcPr>
            <w:tcW w:w="1541" w:type="dxa"/>
          </w:tcPr>
          <w:p w:rsidR="0095650B" w:rsidRDefault="0095650B" w:rsidP="00C05FAA">
            <w:pPr>
              <w:jc w:val="center"/>
            </w:pPr>
            <w:r>
              <w:t>(%)</w:t>
            </w:r>
          </w:p>
        </w:tc>
        <w:tc>
          <w:tcPr>
            <w:tcW w:w="1541" w:type="dxa"/>
          </w:tcPr>
          <w:p w:rsidR="0095650B" w:rsidRDefault="0095650B" w:rsidP="00C05FAA">
            <w:pPr>
              <w:jc w:val="center"/>
            </w:pPr>
            <w:r>
              <w:t>(%)</w:t>
            </w:r>
          </w:p>
        </w:tc>
      </w:tr>
      <w:tr w:rsidR="0095650B" w:rsidTr="009B54F6">
        <w:trPr>
          <w:jc w:val="center"/>
        </w:trPr>
        <w:tc>
          <w:tcPr>
            <w:tcW w:w="3080" w:type="dxa"/>
          </w:tcPr>
          <w:p w:rsidR="0095650B" w:rsidRDefault="0095650B" w:rsidP="00C05FAA">
            <w:r>
              <w:t xml:space="preserve">Averages: </w:t>
            </w:r>
            <w:proofErr w:type="spellStart"/>
            <w:r>
              <w:t>Torba</w:t>
            </w:r>
            <w:proofErr w:type="spellEnd"/>
            <w:r>
              <w:t xml:space="preserve">; </w:t>
            </w:r>
            <w:proofErr w:type="spellStart"/>
            <w:r>
              <w:t>Penama</w:t>
            </w:r>
            <w:proofErr w:type="spellEnd"/>
            <w:r>
              <w:t xml:space="preserve">; </w:t>
            </w:r>
            <w:proofErr w:type="spellStart"/>
            <w:r>
              <w:t>Malampa</w:t>
            </w:r>
            <w:proofErr w:type="spellEnd"/>
            <w:r>
              <w:t xml:space="preserve">; </w:t>
            </w:r>
            <w:proofErr w:type="spellStart"/>
            <w:r>
              <w:t>Tafea</w:t>
            </w:r>
            <w:proofErr w:type="spellEnd"/>
          </w:p>
        </w:tc>
        <w:tc>
          <w:tcPr>
            <w:tcW w:w="1540" w:type="dxa"/>
          </w:tcPr>
          <w:p w:rsidR="0095650B" w:rsidRDefault="0095650B" w:rsidP="00C05FAA">
            <w:pPr>
              <w:jc w:val="center"/>
            </w:pPr>
            <w:r>
              <w:t>85.8</w:t>
            </w:r>
          </w:p>
        </w:tc>
        <w:tc>
          <w:tcPr>
            <w:tcW w:w="1540" w:type="dxa"/>
          </w:tcPr>
          <w:p w:rsidR="0095650B" w:rsidRDefault="0095650B" w:rsidP="00C05FAA">
            <w:pPr>
              <w:jc w:val="center"/>
            </w:pPr>
            <w:r>
              <w:t>82.7</w:t>
            </w:r>
          </w:p>
        </w:tc>
        <w:tc>
          <w:tcPr>
            <w:tcW w:w="1541" w:type="dxa"/>
          </w:tcPr>
          <w:p w:rsidR="0095650B" w:rsidRDefault="0095650B" w:rsidP="00C05FAA">
            <w:pPr>
              <w:jc w:val="center"/>
            </w:pPr>
            <w:r>
              <w:t>34.2</w:t>
            </w:r>
          </w:p>
        </w:tc>
        <w:tc>
          <w:tcPr>
            <w:tcW w:w="1541" w:type="dxa"/>
          </w:tcPr>
          <w:p w:rsidR="0095650B" w:rsidRDefault="0095650B" w:rsidP="00C05FAA">
            <w:pPr>
              <w:jc w:val="center"/>
            </w:pPr>
            <w:r>
              <w:t>39.3</w:t>
            </w:r>
          </w:p>
        </w:tc>
      </w:tr>
      <w:tr w:rsidR="0095650B" w:rsidTr="009B54F6">
        <w:trPr>
          <w:jc w:val="center"/>
        </w:trPr>
        <w:tc>
          <w:tcPr>
            <w:tcW w:w="3080" w:type="dxa"/>
          </w:tcPr>
          <w:p w:rsidR="0095650B" w:rsidRDefault="0095650B" w:rsidP="00C05FAA">
            <w:r>
              <w:t xml:space="preserve">Averages: </w:t>
            </w:r>
            <w:proofErr w:type="spellStart"/>
            <w:r>
              <w:t>Sanma</w:t>
            </w:r>
            <w:proofErr w:type="spellEnd"/>
            <w:r>
              <w:t xml:space="preserve">; </w:t>
            </w:r>
            <w:proofErr w:type="spellStart"/>
            <w:r>
              <w:t>Shefa</w:t>
            </w:r>
            <w:proofErr w:type="spellEnd"/>
          </w:p>
        </w:tc>
        <w:tc>
          <w:tcPr>
            <w:tcW w:w="1540" w:type="dxa"/>
          </w:tcPr>
          <w:p w:rsidR="0095650B" w:rsidRDefault="0095650B" w:rsidP="00C05FAA">
            <w:pPr>
              <w:jc w:val="center"/>
            </w:pPr>
            <w:r>
              <w:t>73.0</w:t>
            </w:r>
          </w:p>
        </w:tc>
        <w:tc>
          <w:tcPr>
            <w:tcW w:w="1540" w:type="dxa"/>
          </w:tcPr>
          <w:p w:rsidR="0095650B" w:rsidRDefault="0095650B" w:rsidP="00C05FAA">
            <w:pPr>
              <w:jc w:val="center"/>
            </w:pPr>
            <w:r>
              <w:t>77.8</w:t>
            </w:r>
          </w:p>
        </w:tc>
        <w:tc>
          <w:tcPr>
            <w:tcW w:w="1541" w:type="dxa"/>
          </w:tcPr>
          <w:p w:rsidR="0095650B" w:rsidRDefault="0095650B" w:rsidP="00C05FAA">
            <w:pPr>
              <w:jc w:val="center"/>
            </w:pPr>
            <w:r>
              <w:t>25.8</w:t>
            </w:r>
          </w:p>
        </w:tc>
        <w:tc>
          <w:tcPr>
            <w:tcW w:w="1541" w:type="dxa"/>
          </w:tcPr>
          <w:p w:rsidR="0095650B" w:rsidRDefault="0095650B" w:rsidP="00C05FAA">
            <w:pPr>
              <w:jc w:val="center"/>
            </w:pPr>
            <w:r>
              <w:t>11.6</w:t>
            </w:r>
          </w:p>
        </w:tc>
      </w:tr>
      <w:tr w:rsidR="0095650B" w:rsidTr="009B54F6">
        <w:trPr>
          <w:jc w:val="center"/>
        </w:trPr>
        <w:tc>
          <w:tcPr>
            <w:tcW w:w="3080" w:type="dxa"/>
          </w:tcPr>
          <w:p w:rsidR="0095650B" w:rsidRDefault="0095650B" w:rsidP="00C05FAA">
            <w:r>
              <w:t>Averages, all Provinces</w:t>
            </w:r>
          </w:p>
        </w:tc>
        <w:tc>
          <w:tcPr>
            <w:tcW w:w="1540" w:type="dxa"/>
          </w:tcPr>
          <w:p w:rsidR="0095650B" w:rsidRDefault="0095650B" w:rsidP="00C05FAA">
            <w:pPr>
              <w:jc w:val="center"/>
            </w:pPr>
            <w:r>
              <w:t>81.4</w:t>
            </w:r>
          </w:p>
        </w:tc>
        <w:tc>
          <w:tcPr>
            <w:tcW w:w="1540" w:type="dxa"/>
          </w:tcPr>
          <w:p w:rsidR="0095650B" w:rsidRDefault="0095650B" w:rsidP="00C05FAA">
            <w:pPr>
              <w:jc w:val="center"/>
            </w:pPr>
            <w:r>
              <w:t>80.1</w:t>
            </w:r>
          </w:p>
        </w:tc>
        <w:tc>
          <w:tcPr>
            <w:tcW w:w="1541" w:type="dxa"/>
          </w:tcPr>
          <w:p w:rsidR="0095650B" w:rsidRDefault="0095650B" w:rsidP="00C05FAA">
            <w:pPr>
              <w:jc w:val="center"/>
            </w:pPr>
            <w:r>
              <w:t>30.7</w:t>
            </w:r>
          </w:p>
        </w:tc>
        <w:tc>
          <w:tcPr>
            <w:tcW w:w="1541" w:type="dxa"/>
          </w:tcPr>
          <w:p w:rsidR="0095650B" w:rsidRDefault="0095650B" w:rsidP="00C05FAA">
            <w:pPr>
              <w:jc w:val="center"/>
            </w:pPr>
            <w:r>
              <w:t>28.9</w:t>
            </w:r>
          </w:p>
        </w:tc>
      </w:tr>
      <w:tr w:rsidR="0095650B" w:rsidTr="009B54F6">
        <w:trPr>
          <w:jc w:val="center"/>
        </w:trPr>
        <w:tc>
          <w:tcPr>
            <w:tcW w:w="9242" w:type="dxa"/>
            <w:gridSpan w:val="5"/>
          </w:tcPr>
          <w:p w:rsidR="0095650B" w:rsidRDefault="0095650B" w:rsidP="00C05FAA">
            <w:r>
              <w:t xml:space="preserve">Source: Derived from 2011 school bank account data for the sample schools drawn from the school bank account Master File maintained by the Internal Audit Unit, </w:t>
            </w:r>
            <w:proofErr w:type="spellStart"/>
            <w:r>
              <w:t>MoE</w:t>
            </w:r>
            <w:proofErr w:type="spellEnd"/>
          </w:p>
        </w:tc>
      </w:tr>
    </w:tbl>
    <w:p w:rsidR="0095650B" w:rsidRDefault="0095650B" w:rsidP="0095650B">
      <w:pPr>
        <w:jc w:val="both"/>
      </w:pPr>
    </w:p>
    <w:p w:rsidR="0095650B" w:rsidRDefault="0095650B" w:rsidP="0095650B">
      <w:pPr>
        <w:jc w:val="both"/>
      </w:pPr>
      <w:r>
        <w:t xml:space="preserve">Key features emerging from Table </w:t>
      </w:r>
      <w:r w:rsidR="000F65C3">
        <w:t>8</w:t>
      </w:r>
      <w:r>
        <w:t xml:space="preserve"> are:</w:t>
      </w:r>
    </w:p>
    <w:p w:rsidR="0095650B" w:rsidRDefault="0095650B" w:rsidP="0095650B">
      <w:pPr>
        <w:jc w:val="both"/>
      </w:pPr>
    </w:p>
    <w:p w:rsidR="0095650B" w:rsidRDefault="0095650B" w:rsidP="00501831">
      <w:pPr>
        <w:pStyle w:val="ListParagraph"/>
        <w:numPr>
          <w:ilvl w:val="0"/>
          <w:numId w:val="30"/>
        </w:numPr>
        <w:jc w:val="both"/>
      </w:pPr>
      <w:r>
        <w:t>School grants constitute the primary source of (banked) income for primary schools, as would be expected following the substantial increases in the per-student grant commencing 2010.</w:t>
      </w:r>
    </w:p>
    <w:p w:rsidR="0095650B" w:rsidRDefault="0095650B" w:rsidP="00501831">
      <w:pPr>
        <w:pStyle w:val="ListParagraph"/>
        <w:numPr>
          <w:ilvl w:val="0"/>
          <w:numId w:val="30"/>
        </w:numPr>
        <w:jc w:val="both"/>
      </w:pPr>
      <w:r>
        <w:t>Across all Provinces there is no significant difference in the contributions made by school grants to total (banked) school income as between Government and Government Assisted schools at either the primary or secondary levels.</w:t>
      </w:r>
    </w:p>
    <w:p w:rsidR="0095650B" w:rsidRDefault="0095650B" w:rsidP="00501831">
      <w:pPr>
        <w:pStyle w:val="ListParagraph"/>
        <w:numPr>
          <w:ilvl w:val="0"/>
          <w:numId w:val="30"/>
        </w:numPr>
        <w:jc w:val="both"/>
      </w:pPr>
      <w:r>
        <w:t>School grants account for less than one-third of (banked) school income at the secondary level.</w:t>
      </w:r>
    </w:p>
    <w:p w:rsidR="0095650B" w:rsidRDefault="0095650B" w:rsidP="00501831">
      <w:pPr>
        <w:pStyle w:val="ListParagraph"/>
        <w:numPr>
          <w:ilvl w:val="0"/>
          <w:numId w:val="30"/>
        </w:numPr>
        <w:jc w:val="both"/>
      </w:pPr>
      <w:r>
        <w:t>School grants in the Provinces</w:t>
      </w:r>
      <w:r w:rsidR="007A5572">
        <w:t xml:space="preserve"> of </w:t>
      </w:r>
      <w:proofErr w:type="spellStart"/>
      <w:r w:rsidR="007A5572">
        <w:t>Sanma</w:t>
      </w:r>
      <w:proofErr w:type="spellEnd"/>
      <w:r w:rsidR="007A5572">
        <w:t xml:space="preserve"> and </w:t>
      </w:r>
      <w:proofErr w:type="spellStart"/>
      <w:r w:rsidR="007A5572">
        <w:t>Shefa</w:t>
      </w:r>
      <w:proofErr w:type="spellEnd"/>
      <w:r w:rsidR="007A5572">
        <w:t xml:space="preserve">, </w:t>
      </w:r>
      <w:r>
        <w:t xml:space="preserve">containing the urban areas of Port Vila and </w:t>
      </w:r>
      <w:proofErr w:type="spellStart"/>
      <w:r>
        <w:t>Luganville</w:t>
      </w:r>
      <w:proofErr w:type="spellEnd"/>
      <w:r>
        <w:t>, account for a lower proportion of (banked) school income than in other Provinces.  This tentatively suggests that school fees at both primary and secondary levels continue to be a relatively more important source of school income in urban areas.</w:t>
      </w:r>
    </w:p>
    <w:p w:rsidR="0095650B" w:rsidRDefault="0095650B" w:rsidP="0095650B">
      <w:pPr>
        <w:jc w:val="both"/>
      </w:pPr>
    </w:p>
    <w:p w:rsidR="0095650B" w:rsidRDefault="0095650B" w:rsidP="0095650B">
      <w:pPr>
        <w:jc w:val="both"/>
      </w:pPr>
      <w:r>
        <w:t>The (draft) 2010 Household Income and Expenditure Survey results confirm in a wider sense the scale of household contributions to funding of the education sector.</w:t>
      </w:r>
      <w:r>
        <w:rPr>
          <w:rStyle w:val="FootnoteReference"/>
        </w:rPr>
        <w:footnoteReference w:id="15"/>
      </w:r>
      <w:r>
        <w:t xml:space="preserve">  The Survey has estimated total monthly expenditure by Vanuatu households on all forms of education expenditure items in 2010 at some VT114 million a month (</w:t>
      </w:r>
      <w:r w:rsidR="007A5572">
        <w:t xml:space="preserve">i.e. </w:t>
      </w:r>
      <w:r>
        <w:t>approaching VT1.4 billion in 2010 as a whole).</w:t>
      </w:r>
      <w:r w:rsidR="007A5572">
        <w:t xml:space="preserve">  Of this, 69% was direct expenditure on early childhood, primary and secondary school fees.  </w:t>
      </w:r>
      <w:r>
        <w:t xml:space="preserve">It is clear that, in addition to general taxation, households contribute directly and substantially to funding of the sector as a whole.  The draft 2010 HIES results are also consistent with the school bank account analysis insofar as they show urban households spending more on both primary and secondary school fees than households in rural areas - see Table </w:t>
      </w:r>
      <w:r w:rsidR="000F65C3">
        <w:t>9</w:t>
      </w:r>
      <w:r w:rsidR="0014712A">
        <w:t xml:space="preserve"> (next page)</w:t>
      </w:r>
      <w:r>
        <w:t xml:space="preserve">. </w:t>
      </w:r>
    </w:p>
    <w:p w:rsidR="00D339A4" w:rsidRDefault="00D339A4" w:rsidP="0095650B">
      <w:pPr>
        <w:jc w:val="both"/>
      </w:pPr>
    </w:p>
    <w:p w:rsidR="00D339A4" w:rsidRDefault="00D339A4">
      <w:r>
        <w:br w:type="page"/>
      </w:r>
    </w:p>
    <w:tbl>
      <w:tblPr>
        <w:tblStyle w:val="TableGrid"/>
        <w:tblW w:w="8505" w:type="dxa"/>
        <w:jc w:val="center"/>
        <w:tblLook w:val="04A0" w:firstRow="1" w:lastRow="0" w:firstColumn="1" w:lastColumn="0" w:noHBand="0" w:noVBand="1"/>
        <w:tblCaption w:val="Average monthly expenditure per household on school fees, 2010 (Vatu)"/>
        <w:tblDescription w:val="by primary school/secondary school fees, and by rural/urban"/>
      </w:tblPr>
      <w:tblGrid>
        <w:gridCol w:w="4360"/>
        <w:gridCol w:w="4145"/>
      </w:tblGrid>
      <w:tr w:rsidR="0095650B" w:rsidTr="00D339A4">
        <w:trPr>
          <w:tblHeader/>
          <w:jc w:val="center"/>
        </w:trPr>
        <w:tc>
          <w:tcPr>
            <w:tcW w:w="8505" w:type="dxa"/>
            <w:gridSpan w:val="2"/>
            <w:shd w:val="clear" w:color="auto" w:fill="BFBFBF" w:themeFill="background1" w:themeFillShade="BF"/>
          </w:tcPr>
          <w:p w:rsidR="0095650B" w:rsidRDefault="0095650B" w:rsidP="000F65C3">
            <w:pPr>
              <w:jc w:val="both"/>
            </w:pPr>
            <w:r>
              <w:lastRenderedPageBreak/>
              <w:t xml:space="preserve">Table </w:t>
            </w:r>
            <w:r w:rsidR="000F65C3">
              <w:t>9</w:t>
            </w:r>
            <w:r>
              <w:t>: Average monthly expenditure per household on school fees, 2010 (Vatu)</w:t>
            </w:r>
          </w:p>
        </w:tc>
      </w:tr>
      <w:tr w:rsidR="0095650B" w:rsidTr="003132B9">
        <w:trPr>
          <w:jc w:val="center"/>
        </w:trPr>
        <w:tc>
          <w:tcPr>
            <w:tcW w:w="4360" w:type="dxa"/>
            <w:tcBorders>
              <w:bottom w:val="nil"/>
            </w:tcBorders>
          </w:tcPr>
          <w:p w:rsidR="0095650B" w:rsidRDefault="0095650B" w:rsidP="00C05FAA">
            <w:pPr>
              <w:jc w:val="both"/>
            </w:pPr>
            <w:r>
              <w:t>Primary school fees:</w:t>
            </w:r>
          </w:p>
        </w:tc>
        <w:tc>
          <w:tcPr>
            <w:tcW w:w="4145" w:type="dxa"/>
            <w:tcBorders>
              <w:bottom w:val="nil"/>
            </w:tcBorders>
          </w:tcPr>
          <w:p w:rsidR="0095650B" w:rsidRDefault="0095650B" w:rsidP="00C05FAA">
            <w:pPr>
              <w:jc w:val="center"/>
            </w:pPr>
          </w:p>
        </w:tc>
      </w:tr>
      <w:tr w:rsidR="0095650B" w:rsidTr="003132B9">
        <w:trPr>
          <w:jc w:val="center"/>
        </w:trPr>
        <w:tc>
          <w:tcPr>
            <w:tcW w:w="4360" w:type="dxa"/>
            <w:tcBorders>
              <w:top w:val="nil"/>
              <w:bottom w:val="nil"/>
            </w:tcBorders>
          </w:tcPr>
          <w:p w:rsidR="0095650B" w:rsidRDefault="0095650B" w:rsidP="00501831">
            <w:pPr>
              <w:pStyle w:val="ListParagraph"/>
              <w:numPr>
                <w:ilvl w:val="0"/>
                <w:numId w:val="32"/>
              </w:numPr>
              <w:jc w:val="both"/>
            </w:pPr>
            <w:r>
              <w:t>Rural</w:t>
            </w:r>
          </w:p>
        </w:tc>
        <w:tc>
          <w:tcPr>
            <w:tcW w:w="4145" w:type="dxa"/>
            <w:tcBorders>
              <w:top w:val="nil"/>
              <w:bottom w:val="nil"/>
            </w:tcBorders>
          </w:tcPr>
          <w:p w:rsidR="0095650B" w:rsidRDefault="0095650B" w:rsidP="00C05FAA">
            <w:pPr>
              <w:jc w:val="center"/>
            </w:pPr>
            <w:r>
              <w:t>800</w:t>
            </w:r>
          </w:p>
        </w:tc>
      </w:tr>
      <w:tr w:rsidR="0095650B" w:rsidTr="003132B9">
        <w:trPr>
          <w:jc w:val="center"/>
        </w:trPr>
        <w:tc>
          <w:tcPr>
            <w:tcW w:w="4360" w:type="dxa"/>
            <w:tcBorders>
              <w:top w:val="nil"/>
              <w:bottom w:val="nil"/>
            </w:tcBorders>
          </w:tcPr>
          <w:p w:rsidR="0095650B" w:rsidRDefault="0095650B" w:rsidP="00501831">
            <w:pPr>
              <w:pStyle w:val="ListParagraph"/>
              <w:numPr>
                <w:ilvl w:val="0"/>
                <w:numId w:val="32"/>
              </w:numPr>
              <w:jc w:val="both"/>
            </w:pPr>
            <w:r>
              <w:t>Urban</w:t>
            </w:r>
          </w:p>
        </w:tc>
        <w:tc>
          <w:tcPr>
            <w:tcW w:w="4145" w:type="dxa"/>
            <w:tcBorders>
              <w:top w:val="nil"/>
              <w:bottom w:val="nil"/>
            </w:tcBorders>
          </w:tcPr>
          <w:p w:rsidR="0095650B" w:rsidRDefault="0095650B" w:rsidP="00C05FAA">
            <w:pPr>
              <w:jc w:val="center"/>
            </w:pPr>
            <w:r>
              <w:t>2,000</w:t>
            </w:r>
          </w:p>
        </w:tc>
      </w:tr>
      <w:tr w:rsidR="0095650B" w:rsidTr="003132B9">
        <w:trPr>
          <w:jc w:val="center"/>
        </w:trPr>
        <w:tc>
          <w:tcPr>
            <w:tcW w:w="4360" w:type="dxa"/>
            <w:tcBorders>
              <w:top w:val="nil"/>
            </w:tcBorders>
          </w:tcPr>
          <w:p w:rsidR="0095650B" w:rsidRDefault="0095650B" w:rsidP="00501831">
            <w:pPr>
              <w:pStyle w:val="ListParagraph"/>
              <w:numPr>
                <w:ilvl w:val="0"/>
                <w:numId w:val="32"/>
              </w:numPr>
              <w:jc w:val="both"/>
            </w:pPr>
            <w:r>
              <w:t>Vanuatu total</w:t>
            </w:r>
          </w:p>
        </w:tc>
        <w:tc>
          <w:tcPr>
            <w:tcW w:w="4145" w:type="dxa"/>
            <w:tcBorders>
              <w:top w:val="nil"/>
            </w:tcBorders>
          </w:tcPr>
          <w:p w:rsidR="0095650B" w:rsidRDefault="0095650B" w:rsidP="00C05FAA">
            <w:pPr>
              <w:jc w:val="center"/>
            </w:pPr>
            <w:r>
              <w:t>1,200</w:t>
            </w:r>
          </w:p>
        </w:tc>
      </w:tr>
      <w:tr w:rsidR="0095650B" w:rsidTr="003132B9">
        <w:trPr>
          <w:jc w:val="center"/>
        </w:trPr>
        <w:tc>
          <w:tcPr>
            <w:tcW w:w="4360" w:type="dxa"/>
            <w:tcBorders>
              <w:bottom w:val="nil"/>
            </w:tcBorders>
          </w:tcPr>
          <w:p w:rsidR="0095650B" w:rsidRDefault="0095650B" w:rsidP="00C05FAA">
            <w:pPr>
              <w:jc w:val="both"/>
            </w:pPr>
            <w:r>
              <w:t>Secondary school fees:</w:t>
            </w:r>
          </w:p>
        </w:tc>
        <w:tc>
          <w:tcPr>
            <w:tcW w:w="4145" w:type="dxa"/>
            <w:tcBorders>
              <w:bottom w:val="nil"/>
            </w:tcBorders>
          </w:tcPr>
          <w:p w:rsidR="0095650B" w:rsidRDefault="0095650B" w:rsidP="00C05FAA">
            <w:pPr>
              <w:jc w:val="center"/>
            </w:pPr>
          </w:p>
        </w:tc>
      </w:tr>
      <w:tr w:rsidR="0095650B" w:rsidTr="003132B9">
        <w:trPr>
          <w:jc w:val="center"/>
        </w:trPr>
        <w:tc>
          <w:tcPr>
            <w:tcW w:w="4360" w:type="dxa"/>
            <w:tcBorders>
              <w:top w:val="nil"/>
              <w:bottom w:val="nil"/>
            </w:tcBorders>
          </w:tcPr>
          <w:p w:rsidR="0095650B" w:rsidRDefault="0095650B" w:rsidP="00501831">
            <w:pPr>
              <w:pStyle w:val="ListParagraph"/>
              <w:numPr>
                <w:ilvl w:val="0"/>
                <w:numId w:val="33"/>
              </w:numPr>
              <w:jc w:val="both"/>
            </w:pPr>
            <w:r>
              <w:t>Rural</w:t>
            </w:r>
          </w:p>
        </w:tc>
        <w:tc>
          <w:tcPr>
            <w:tcW w:w="4145" w:type="dxa"/>
            <w:tcBorders>
              <w:top w:val="nil"/>
              <w:bottom w:val="nil"/>
            </w:tcBorders>
          </w:tcPr>
          <w:p w:rsidR="0095650B" w:rsidRDefault="0095650B" w:rsidP="00C05FAA">
            <w:pPr>
              <w:jc w:val="center"/>
            </w:pPr>
            <w:r>
              <w:t>4,300</w:t>
            </w:r>
          </w:p>
        </w:tc>
      </w:tr>
      <w:tr w:rsidR="0095650B" w:rsidTr="003132B9">
        <w:trPr>
          <w:jc w:val="center"/>
        </w:trPr>
        <w:tc>
          <w:tcPr>
            <w:tcW w:w="4360" w:type="dxa"/>
            <w:tcBorders>
              <w:top w:val="nil"/>
              <w:bottom w:val="nil"/>
            </w:tcBorders>
          </w:tcPr>
          <w:p w:rsidR="0095650B" w:rsidRDefault="0095650B" w:rsidP="00501831">
            <w:pPr>
              <w:pStyle w:val="ListParagraph"/>
              <w:numPr>
                <w:ilvl w:val="0"/>
                <w:numId w:val="33"/>
              </w:numPr>
              <w:jc w:val="both"/>
            </w:pPr>
            <w:r>
              <w:t>Urban</w:t>
            </w:r>
          </w:p>
        </w:tc>
        <w:tc>
          <w:tcPr>
            <w:tcW w:w="4145" w:type="dxa"/>
            <w:tcBorders>
              <w:top w:val="nil"/>
              <w:bottom w:val="nil"/>
            </w:tcBorders>
          </w:tcPr>
          <w:p w:rsidR="0095650B" w:rsidRDefault="0095650B" w:rsidP="00C05FAA">
            <w:pPr>
              <w:jc w:val="center"/>
            </w:pPr>
            <w:r>
              <w:t>5,800</w:t>
            </w:r>
          </w:p>
        </w:tc>
      </w:tr>
      <w:tr w:rsidR="0095650B" w:rsidTr="003132B9">
        <w:trPr>
          <w:jc w:val="center"/>
        </w:trPr>
        <w:tc>
          <w:tcPr>
            <w:tcW w:w="4360" w:type="dxa"/>
            <w:tcBorders>
              <w:top w:val="nil"/>
            </w:tcBorders>
          </w:tcPr>
          <w:p w:rsidR="0095650B" w:rsidRDefault="0095650B" w:rsidP="00501831">
            <w:pPr>
              <w:pStyle w:val="ListParagraph"/>
              <w:numPr>
                <w:ilvl w:val="0"/>
                <w:numId w:val="33"/>
              </w:numPr>
              <w:jc w:val="both"/>
            </w:pPr>
            <w:r>
              <w:t>Vanuatu total</w:t>
            </w:r>
          </w:p>
        </w:tc>
        <w:tc>
          <w:tcPr>
            <w:tcW w:w="4145" w:type="dxa"/>
            <w:tcBorders>
              <w:top w:val="nil"/>
            </w:tcBorders>
          </w:tcPr>
          <w:p w:rsidR="0095650B" w:rsidRDefault="0095650B" w:rsidP="00C05FAA">
            <w:pPr>
              <w:jc w:val="center"/>
            </w:pPr>
            <w:r>
              <w:t>4,800</w:t>
            </w:r>
          </w:p>
        </w:tc>
      </w:tr>
      <w:tr w:rsidR="0095650B" w:rsidTr="003132B9">
        <w:trPr>
          <w:jc w:val="center"/>
        </w:trPr>
        <w:tc>
          <w:tcPr>
            <w:tcW w:w="8505" w:type="dxa"/>
            <w:gridSpan w:val="2"/>
          </w:tcPr>
          <w:p w:rsidR="0095650B" w:rsidRDefault="0095650B" w:rsidP="00C05FAA">
            <w:pPr>
              <w:jc w:val="both"/>
            </w:pPr>
            <w:r>
              <w:t>Source: Draft 2010 HIES, Table 5-7.</w:t>
            </w:r>
          </w:p>
        </w:tc>
      </w:tr>
    </w:tbl>
    <w:p w:rsidR="0095650B" w:rsidRPr="00BC2E64" w:rsidRDefault="0095650B" w:rsidP="00160C19">
      <w:pPr>
        <w:pStyle w:val="Heading2"/>
      </w:pPr>
      <w:bookmarkStart w:id="75" w:name="_Toc341210787"/>
      <w:bookmarkStart w:id="76" w:name="_Toc341210907"/>
      <w:bookmarkStart w:id="77" w:name="_Toc341265725"/>
      <w:bookmarkStart w:id="78" w:name="_Toc343257287"/>
      <w:bookmarkStart w:id="79" w:name="_Toc343257401"/>
      <w:bookmarkStart w:id="80" w:name="_Toc348711322"/>
      <w:r w:rsidRPr="00BC2E64">
        <w:t xml:space="preserve">2.1.2 Aggregate </w:t>
      </w:r>
      <w:proofErr w:type="spellStart"/>
      <w:r w:rsidRPr="00BC2E64">
        <w:t>MoE</w:t>
      </w:r>
      <w:proofErr w:type="spellEnd"/>
      <w:r w:rsidRPr="00BC2E64">
        <w:t xml:space="preserve"> budgets and expenditure</w:t>
      </w:r>
      <w:bookmarkEnd w:id="75"/>
      <w:bookmarkEnd w:id="76"/>
      <w:bookmarkEnd w:id="77"/>
      <w:bookmarkEnd w:id="78"/>
      <w:bookmarkEnd w:id="79"/>
      <w:bookmarkEnd w:id="80"/>
    </w:p>
    <w:p w:rsidR="0095650B" w:rsidRDefault="0095650B" w:rsidP="0095650B">
      <w:pPr>
        <w:jc w:val="both"/>
      </w:pPr>
    </w:p>
    <w:p w:rsidR="0095650B" w:rsidRDefault="0095650B" w:rsidP="0095650B">
      <w:pPr>
        <w:jc w:val="both"/>
      </w:pPr>
      <w:r>
        <w:t xml:space="preserve">The analysis of this and subsequent sections draws on two main sources of data: the original annual budgets set for </w:t>
      </w:r>
      <w:proofErr w:type="spellStart"/>
      <w:r>
        <w:t>MoE</w:t>
      </w:r>
      <w:proofErr w:type="spellEnd"/>
      <w:r>
        <w:t xml:space="preserve"> as appropriated by the Parliament; and </w:t>
      </w:r>
      <w:proofErr w:type="spellStart"/>
      <w:r>
        <w:t>MoE’s</w:t>
      </w:r>
      <w:proofErr w:type="spellEnd"/>
      <w:r>
        <w:t xml:space="preserve"> actual annual expenditures.</w:t>
      </w:r>
      <w:r>
        <w:rPr>
          <w:rStyle w:val="FootnoteReference"/>
        </w:rPr>
        <w:footnoteReference w:id="16"/>
      </w:r>
    </w:p>
    <w:p w:rsidR="0095650B" w:rsidRDefault="0095650B" w:rsidP="0095650B">
      <w:pPr>
        <w:jc w:val="both"/>
      </w:pPr>
    </w:p>
    <w:p w:rsidR="006A3CDF" w:rsidRDefault="0095650B" w:rsidP="006A3CDF">
      <w:pPr>
        <w:jc w:val="both"/>
      </w:pPr>
      <w:r>
        <w:t xml:space="preserve">Over the 10 years to 2011 both </w:t>
      </w:r>
      <w:proofErr w:type="spellStart"/>
      <w:r>
        <w:t>MoE’s</w:t>
      </w:r>
      <w:proofErr w:type="spellEnd"/>
      <w:r>
        <w:t xml:space="preserve"> original budgets and actual aggregate expenditures were on an upward trend as a proportion of total </w:t>
      </w:r>
      <w:proofErr w:type="spellStart"/>
      <w:r>
        <w:t>GoV</w:t>
      </w:r>
      <w:proofErr w:type="spellEnd"/>
      <w:r>
        <w:t xml:space="preserve"> budgets and expenditure (see Figure </w:t>
      </w:r>
      <w:r w:rsidR="000F65C3">
        <w:t>1</w:t>
      </w:r>
      <w:r>
        <w:t>).</w:t>
      </w:r>
      <w:r w:rsidR="006F162E">
        <w:t xml:space="preserve">  </w:t>
      </w:r>
      <w:r w:rsidR="006A3CDF">
        <w:t xml:space="preserve">With the exception of 2006 and 2007, </w:t>
      </w:r>
      <w:proofErr w:type="spellStart"/>
      <w:r w:rsidR="006A3CDF">
        <w:t>MoE’s</w:t>
      </w:r>
      <w:proofErr w:type="spellEnd"/>
      <w:r w:rsidR="006A3CDF">
        <w:t xml:space="preserve"> original annual budgets fluctuated within the range of 21-25% of the </w:t>
      </w:r>
      <w:proofErr w:type="spellStart"/>
      <w:r w:rsidR="006A3CDF">
        <w:t>GoV’s</w:t>
      </w:r>
      <w:proofErr w:type="spellEnd"/>
      <w:r w:rsidR="006A3CDF">
        <w:t xml:space="preserve"> total </w:t>
      </w:r>
      <w:proofErr w:type="spellStart"/>
      <w:r w:rsidR="006A3CDF">
        <w:t>GoV</w:t>
      </w:r>
      <w:proofErr w:type="spellEnd"/>
      <w:r w:rsidR="006A3CDF">
        <w:t>-funded budgets while actual expenditures fluctuated within the range 22-26%.</w:t>
      </w:r>
    </w:p>
    <w:p w:rsidR="006A3CDF" w:rsidRDefault="006A3CDF" w:rsidP="006A3CDF">
      <w:pPr>
        <w:jc w:val="both"/>
      </w:pPr>
    </w:p>
    <w:tbl>
      <w:tblPr>
        <w:tblStyle w:val="TableGrid"/>
        <w:tblW w:w="8505" w:type="dxa"/>
        <w:jc w:val="center"/>
        <w:tblLook w:val="04A0" w:firstRow="1" w:lastRow="0" w:firstColumn="1" w:lastColumn="0" w:noHBand="0" w:noVBand="1"/>
        <w:tblCaption w:val="MoE budgets and expenditures as a proportion of total GoV-funded expenditure"/>
        <w:tblDescription w:val="graph"/>
      </w:tblPr>
      <w:tblGrid>
        <w:gridCol w:w="8505"/>
      </w:tblGrid>
      <w:tr w:rsidR="0095650B" w:rsidTr="00D339A4">
        <w:trPr>
          <w:tblHeader/>
          <w:jc w:val="center"/>
        </w:trPr>
        <w:tc>
          <w:tcPr>
            <w:tcW w:w="8505" w:type="dxa"/>
            <w:shd w:val="clear" w:color="auto" w:fill="BFBFBF" w:themeFill="background1" w:themeFillShade="BF"/>
          </w:tcPr>
          <w:p w:rsidR="0095650B" w:rsidRDefault="0095650B" w:rsidP="000F65C3">
            <w:pPr>
              <w:jc w:val="both"/>
            </w:pPr>
            <w:r>
              <w:t xml:space="preserve">Figure </w:t>
            </w:r>
            <w:r w:rsidR="000F65C3">
              <w:t>1</w:t>
            </w:r>
            <w:r>
              <w:t xml:space="preserve">: </w:t>
            </w:r>
            <w:proofErr w:type="spellStart"/>
            <w:r>
              <w:t>MoE</w:t>
            </w:r>
            <w:proofErr w:type="spellEnd"/>
            <w:r>
              <w:t xml:space="preserve"> budgets and expenditures as a proportion of total </w:t>
            </w:r>
            <w:proofErr w:type="spellStart"/>
            <w:r>
              <w:t>GoV</w:t>
            </w:r>
            <w:proofErr w:type="spellEnd"/>
            <w:r>
              <w:t>-funded expenditure</w:t>
            </w:r>
          </w:p>
        </w:tc>
      </w:tr>
      <w:tr w:rsidR="0095650B" w:rsidTr="006A3CDF">
        <w:trPr>
          <w:jc w:val="center"/>
        </w:trPr>
        <w:tc>
          <w:tcPr>
            <w:tcW w:w="8505" w:type="dxa"/>
          </w:tcPr>
          <w:p w:rsidR="0095650B" w:rsidRDefault="0095650B" w:rsidP="00C05FAA">
            <w:pPr>
              <w:jc w:val="center"/>
            </w:pPr>
          </w:p>
          <w:p w:rsidR="0095650B" w:rsidRDefault="0095650B" w:rsidP="00C05FAA">
            <w:pPr>
              <w:jc w:val="center"/>
            </w:pPr>
            <w:r w:rsidRPr="00E17735">
              <w:rPr>
                <w:noProof/>
                <w:lang w:eastAsia="en-AU"/>
              </w:rPr>
              <w:drawing>
                <wp:inline distT="0" distB="0" distL="0" distR="0" wp14:anchorId="3DF4A63E" wp14:editId="6D9A7236">
                  <wp:extent cx="4086225" cy="2857500"/>
                  <wp:effectExtent l="0" t="0" r="9525" b="0"/>
                  <wp:docPr id="2" name="Picture 7" descr="graph" title="MoE budgets and expenditures as a proportion of total GoV-funde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086225" cy="2857500"/>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6A3CDF">
        <w:trPr>
          <w:jc w:val="center"/>
        </w:trPr>
        <w:tc>
          <w:tcPr>
            <w:tcW w:w="8505" w:type="dxa"/>
          </w:tcPr>
          <w:p w:rsidR="0095650B" w:rsidRDefault="0095650B" w:rsidP="00C05FAA">
            <w:pPr>
              <w:jc w:val="both"/>
            </w:pPr>
            <w:r>
              <w:t>Source: MFEM</w:t>
            </w:r>
          </w:p>
        </w:tc>
      </w:tr>
    </w:tbl>
    <w:p w:rsidR="0095650B" w:rsidRDefault="0095650B" w:rsidP="0095650B">
      <w:pPr>
        <w:jc w:val="both"/>
      </w:pPr>
    </w:p>
    <w:p w:rsidR="0095650B" w:rsidRDefault="0095650B" w:rsidP="0095650B">
      <w:pPr>
        <w:jc w:val="both"/>
      </w:pPr>
    </w:p>
    <w:p w:rsidR="006F162E" w:rsidRDefault="006F162E" w:rsidP="006F162E">
      <w:pPr>
        <w:jc w:val="both"/>
      </w:pPr>
      <w:r>
        <w:lastRenderedPageBreak/>
        <w:t xml:space="preserve">Budget and expenditure patterns for 2006 and 2007 were primarily influenced by a Government Remuneration Tribunal determination in 2006 awarding public servants (including teachers) significant pay increases.  Given that the greater part of </w:t>
      </w:r>
      <w:proofErr w:type="spellStart"/>
      <w:r>
        <w:t>MoE’s</w:t>
      </w:r>
      <w:proofErr w:type="spellEnd"/>
      <w:r>
        <w:t xml:space="preserve"> spending is devoted to the payment of teachers the full-year effect of this pay determination had a particularly marked impact on </w:t>
      </w:r>
      <w:proofErr w:type="spellStart"/>
      <w:r>
        <w:t>MoE’s</w:t>
      </w:r>
      <w:proofErr w:type="spellEnd"/>
      <w:r>
        <w:t xml:space="preserve"> original budget and spending in 2007.  However, if the years 2006 and 2007 are removed from the time series </w:t>
      </w:r>
      <w:proofErr w:type="spellStart"/>
      <w:r>
        <w:t>MoE</w:t>
      </w:r>
      <w:proofErr w:type="spellEnd"/>
      <w:r>
        <w:t xml:space="preserve"> shares of </w:t>
      </w:r>
      <w:proofErr w:type="spellStart"/>
      <w:r>
        <w:t>GoV</w:t>
      </w:r>
      <w:proofErr w:type="spellEnd"/>
      <w:r>
        <w:t xml:space="preserve"> original budgets and actual expenditures continue to exhibit an upward trend over the period 2002-2011.</w:t>
      </w:r>
    </w:p>
    <w:p w:rsidR="006F162E" w:rsidRDefault="006F162E" w:rsidP="0095650B">
      <w:pPr>
        <w:jc w:val="both"/>
      </w:pPr>
    </w:p>
    <w:p w:rsidR="0095650B" w:rsidRDefault="0095650B" w:rsidP="0095650B">
      <w:pPr>
        <w:jc w:val="both"/>
      </w:pPr>
      <w:r>
        <w:t xml:space="preserve">In most years 2002-2011 </w:t>
      </w:r>
      <w:proofErr w:type="spellStart"/>
      <w:r>
        <w:t>GoV</w:t>
      </w:r>
      <w:proofErr w:type="spellEnd"/>
      <w:r>
        <w:t xml:space="preserve"> funding of </w:t>
      </w:r>
      <w:proofErr w:type="spellStart"/>
      <w:r>
        <w:t>MoE</w:t>
      </w:r>
      <w:proofErr w:type="spellEnd"/>
      <w:r>
        <w:t xml:space="preserve"> has represented 5-6% of Vanuatu’s Gross Domestic Product on a (slightly) upward trend - see Figure </w:t>
      </w:r>
      <w:r w:rsidR="000F65C3">
        <w:t>2</w:t>
      </w:r>
      <w:r>
        <w:t>.</w:t>
      </w:r>
    </w:p>
    <w:p w:rsidR="0095650B" w:rsidRDefault="0095650B" w:rsidP="0095650B">
      <w:pPr>
        <w:jc w:val="both"/>
      </w:pPr>
    </w:p>
    <w:tbl>
      <w:tblPr>
        <w:tblStyle w:val="TableGrid"/>
        <w:tblW w:w="8505" w:type="dxa"/>
        <w:jc w:val="center"/>
        <w:tblLook w:val="04A0" w:firstRow="1" w:lastRow="0" w:firstColumn="1" w:lastColumn="0" w:noHBand="0" w:noVBand="1"/>
        <w:tblCaption w:val="MoE original budgets and expenditures as a proportion of Vanuatu’s Gross Domestic Product at market prices"/>
        <w:tblDescription w:val="graph"/>
      </w:tblPr>
      <w:tblGrid>
        <w:gridCol w:w="8505"/>
      </w:tblGrid>
      <w:tr w:rsidR="0095650B" w:rsidTr="00D339A4">
        <w:trPr>
          <w:tblHeader/>
          <w:jc w:val="center"/>
        </w:trPr>
        <w:tc>
          <w:tcPr>
            <w:tcW w:w="9570" w:type="dxa"/>
            <w:shd w:val="clear" w:color="auto" w:fill="BFBFBF" w:themeFill="background1" w:themeFillShade="BF"/>
          </w:tcPr>
          <w:p w:rsidR="0095650B" w:rsidRDefault="0095650B" w:rsidP="000F65C3">
            <w:pPr>
              <w:jc w:val="both"/>
            </w:pPr>
            <w:r>
              <w:t xml:space="preserve">Figure </w:t>
            </w:r>
            <w:r w:rsidR="000F65C3">
              <w:t>2</w:t>
            </w:r>
            <w:r>
              <w:t xml:space="preserve">: </w:t>
            </w:r>
            <w:proofErr w:type="spellStart"/>
            <w:r>
              <w:t>MoE</w:t>
            </w:r>
            <w:proofErr w:type="spellEnd"/>
            <w:r>
              <w:t xml:space="preserve"> original budgets and expenditures as a proportion of Vanuatu’s Gross Domestic Product at market prices</w:t>
            </w:r>
          </w:p>
        </w:tc>
      </w:tr>
      <w:tr w:rsidR="0095650B" w:rsidTr="00C05FAA">
        <w:trPr>
          <w:jc w:val="center"/>
        </w:trPr>
        <w:tc>
          <w:tcPr>
            <w:tcW w:w="9570" w:type="dxa"/>
          </w:tcPr>
          <w:p w:rsidR="0095650B" w:rsidRDefault="0095650B" w:rsidP="00C05FAA">
            <w:pPr>
              <w:jc w:val="both"/>
            </w:pPr>
          </w:p>
          <w:p w:rsidR="0095650B" w:rsidRDefault="0095650B" w:rsidP="00C05FAA">
            <w:pPr>
              <w:jc w:val="center"/>
            </w:pPr>
            <w:r>
              <w:rPr>
                <w:noProof/>
                <w:lang w:eastAsia="en-AU"/>
              </w:rPr>
              <w:drawing>
                <wp:inline distT="0" distB="0" distL="0" distR="0" wp14:anchorId="591C6BB7" wp14:editId="325D2D1D">
                  <wp:extent cx="4019550" cy="2609850"/>
                  <wp:effectExtent l="0" t="0" r="0" b="0"/>
                  <wp:docPr id="9" name="Picture 9" descr="graph" title="MoE original budgets and expenditures as a proportion of Vanuatu’s Gross Domestic Product at market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019550" cy="2609850"/>
                          </a:xfrm>
                          <a:prstGeom prst="rect">
                            <a:avLst/>
                          </a:prstGeom>
                          <a:noFill/>
                          <a:ln w="9525">
                            <a:noFill/>
                            <a:miter lim="800000"/>
                            <a:headEnd/>
                            <a:tailEnd/>
                          </a:ln>
                        </pic:spPr>
                      </pic:pic>
                    </a:graphicData>
                  </a:graphic>
                </wp:inline>
              </w:drawing>
            </w:r>
          </w:p>
          <w:p w:rsidR="0095650B" w:rsidRDefault="0095650B" w:rsidP="00C05FAA">
            <w:pPr>
              <w:jc w:val="both"/>
            </w:pPr>
          </w:p>
          <w:p w:rsidR="006A3CDF" w:rsidRDefault="006A3CDF" w:rsidP="00C05FAA">
            <w:pPr>
              <w:jc w:val="both"/>
            </w:pPr>
          </w:p>
        </w:tc>
      </w:tr>
      <w:tr w:rsidR="0095650B" w:rsidTr="00C05FAA">
        <w:trPr>
          <w:jc w:val="center"/>
        </w:trPr>
        <w:tc>
          <w:tcPr>
            <w:tcW w:w="9570" w:type="dxa"/>
          </w:tcPr>
          <w:p w:rsidR="0095650B" w:rsidRDefault="0095650B" w:rsidP="00C05FAA">
            <w:pPr>
              <w:jc w:val="both"/>
            </w:pPr>
            <w:r>
              <w:t>Sources:  Vanuatu GDP at market prices as reported in the ADB’s Key Indicators for Asia and the Pacific (last updated 30 July 2012).  Budget and expenditure data from MFEM.</w:t>
            </w:r>
          </w:p>
        </w:tc>
      </w:tr>
    </w:tbl>
    <w:p w:rsidR="0095650B" w:rsidRDefault="0095650B" w:rsidP="0095650B">
      <w:pPr>
        <w:jc w:val="both"/>
      </w:pPr>
      <w:r>
        <w:t xml:space="preserve"> </w:t>
      </w:r>
    </w:p>
    <w:p w:rsidR="00C03C0B" w:rsidRDefault="0095650B" w:rsidP="006A3CDF">
      <w:pPr>
        <w:autoSpaceDE w:val="0"/>
        <w:autoSpaceDN w:val="0"/>
        <w:adjustRightInd w:val="0"/>
        <w:jc w:val="both"/>
        <w:rPr>
          <w:szCs w:val="24"/>
        </w:rPr>
      </w:pPr>
      <w:proofErr w:type="spellStart"/>
      <w:proofErr w:type="gramStart"/>
      <w:r>
        <w:t>MoE’s</w:t>
      </w:r>
      <w:proofErr w:type="spellEnd"/>
      <w:r>
        <w:t xml:space="preserve"> budgets and expenditures as a proportion of the </w:t>
      </w:r>
      <w:proofErr w:type="spellStart"/>
      <w:r>
        <w:t>GoV</w:t>
      </w:r>
      <w:proofErr w:type="spellEnd"/>
      <w:r>
        <w:t xml:space="preserve"> totals and as a proportion of Vanuatu’s GDP are both relatively high by regional standards </w:t>
      </w:r>
      <w:r w:rsidR="008C405A">
        <w:t>–</w:t>
      </w:r>
      <w:r>
        <w:t xml:space="preserve"> </w:t>
      </w:r>
      <w:r w:rsidR="008C405A">
        <w:t xml:space="preserve">see </w:t>
      </w:r>
      <w:r>
        <w:t xml:space="preserve">Table </w:t>
      </w:r>
      <w:r w:rsidR="000F65C3">
        <w:t>10</w:t>
      </w:r>
      <w:r w:rsidR="00743573">
        <w:t>.</w:t>
      </w:r>
      <w:proofErr w:type="gramEnd"/>
    </w:p>
    <w:p w:rsidR="00F364DB" w:rsidRDefault="00F364DB"/>
    <w:tbl>
      <w:tblPr>
        <w:tblStyle w:val="TableGrid"/>
        <w:tblW w:w="0" w:type="auto"/>
        <w:tblLook w:val="04A0" w:firstRow="1" w:lastRow="0" w:firstColumn="1" w:lastColumn="0" w:noHBand="0" w:noVBand="1"/>
        <w:tblCaption w:val="Regional comparisons"/>
        <w:tblDescription w:val="compares government recurrent expenditure on education as % of Government recurrent expenditure and as a % of GDP in several Pacific countries"/>
      </w:tblPr>
      <w:tblGrid>
        <w:gridCol w:w="2093"/>
        <w:gridCol w:w="1929"/>
        <w:gridCol w:w="2040"/>
        <w:gridCol w:w="1595"/>
        <w:gridCol w:w="1913"/>
      </w:tblGrid>
      <w:tr w:rsidR="00C03C0B" w:rsidTr="00D339A4">
        <w:trPr>
          <w:tblHeader/>
        </w:trPr>
        <w:tc>
          <w:tcPr>
            <w:tcW w:w="9570" w:type="dxa"/>
            <w:gridSpan w:val="5"/>
            <w:shd w:val="clear" w:color="auto" w:fill="BFBFBF" w:themeFill="background1" w:themeFillShade="BF"/>
          </w:tcPr>
          <w:p w:rsidR="00C03C0B" w:rsidRDefault="00C03C0B" w:rsidP="00743573">
            <w:r>
              <w:t>Table 10: Regional comparisons</w:t>
            </w:r>
          </w:p>
        </w:tc>
      </w:tr>
      <w:tr w:rsidR="00C03C0B" w:rsidTr="003E13EF">
        <w:tc>
          <w:tcPr>
            <w:tcW w:w="2093" w:type="dxa"/>
          </w:tcPr>
          <w:p w:rsidR="00C03C0B" w:rsidRDefault="00C03C0B" w:rsidP="00743573"/>
        </w:tc>
        <w:tc>
          <w:tcPr>
            <w:tcW w:w="3969" w:type="dxa"/>
            <w:gridSpan w:val="2"/>
          </w:tcPr>
          <w:p w:rsidR="00C77093" w:rsidRDefault="00C03C0B">
            <w:r>
              <w:t>(a) Government</w:t>
            </w:r>
            <w:r w:rsidR="000F1953">
              <w:t xml:space="preserve"> </w:t>
            </w:r>
            <w:r>
              <w:t>recurrent expenditure on education as a</w:t>
            </w:r>
            <w:r w:rsidR="000F1953">
              <w:t xml:space="preserve"> %</w:t>
            </w:r>
            <w:r>
              <w:t xml:space="preserve"> of total Government recurrent expenditure</w:t>
            </w:r>
          </w:p>
        </w:tc>
        <w:tc>
          <w:tcPr>
            <w:tcW w:w="3508" w:type="dxa"/>
            <w:gridSpan w:val="2"/>
          </w:tcPr>
          <w:p w:rsidR="00C77093" w:rsidRDefault="00C03C0B">
            <w:r>
              <w:t>(b) Government</w:t>
            </w:r>
            <w:r w:rsidR="000F1953">
              <w:t xml:space="preserve"> </w:t>
            </w:r>
            <w:r>
              <w:t>recurrent expenditure on education as a</w:t>
            </w:r>
            <w:r w:rsidR="000F1953">
              <w:t xml:space="preserve"> %</w:t>
            </w:r>
            <w:r>
              <w:t xml:space="preserve"> of Gross Domestic Product </w:t>
            </w:r>
          </w:p>
        </w:tc>
      </w:tr>
      <w:tr w:rsidR="00C03C0B" w:rsidTr="003E13EF">
        <w:tc>
          <w:tcPr>
            <w:tcW w:w="2093" w:type="dxa"/>
          </w:tcPr>
          <w:p w:rsidR="00C03C0B" w:rsidRPr="00EA7789" w:rsidRDefault="00C03C0B" w:rsidP="00743573">
            <w:r>
              <w:t>Cook Islands</w:t>
            </w:r>
          </w:p>
        </w:tc>
        <w:tc>
          <w:tcPr>
            <w:tcW w:w="1929" w:type="dxa"/>
            <w:tcBorders>
              <w:right w:val="nil"/>
            </w:tcBorders>
          </w:tcPr>
          <w:p w:rsidR="00C03C0B" w:rsidRDefault="00C03C0B" w:rsidP="00743573">
            <w:pPr>
              <w:jc w:val="center"/>
            </w:pPr>
            <w:r>
              <w:t>12.1%</w:t>
            </w:r>
          </w:p>
        </w:tc>
        <w:tc>
          <w:tcPr>
            <w:tcW w:w="2040" w:type="dxa"/>
            <w:tcBorders>
              <w:top w:val="nil"/>
              <w:left w:val="nil"/>
              <w:bottom w:val="single" w:sz="4" w:space="0" w:color="auto"/>
              <w:right w:val="single" w:sz="4" w:space="0" w:color="auto"/>
            </w:tcBorders>
          </w:tcPr>
          <w:p w:rsidR="00C03C0B" w:rsidRDefault="00C03C0B" w:rsidP="00743573">
            <w:pPr>
              <w:jc w:val="center"/>
            </w:pPr>
            <w:r>
              <w:t>(2008-09)</w:t>
            </w:r>
          </w:p>
        </w:tc>
        <w:tc>
          <w:tcPr>
            <w:tcW w:w="1595" w:type="dxa"/>
            <w:tcBorders>
              <w:left w:val="single" w:sz="4" w:space="0" w:color="auto"/>
              <w:right w:val="nil"/>
            </w:tcBorders>
          </w:tcPr>
          <w:p w:rsidR="00C03C0B" w:rsidRDefault="00C03C0B" w:rsidP="00743573">
            <w:pPr>
              <w:jc w:val="center"/>
            </w:pPr>
            <w:r>
              <w:t>4.5%</w:t>
            </w:r>
          </w:p>
        </w:tc>
        <w:tc>
          <w:tcPr>
            <w:tcW w:w="1913" w:type="dxa"/>
            <w:tcBorders>
              <w:left w:val="nil"/>
              <w:bottom w:val="single" w:sz="4" w:space="0" w:color="auto"/>
            </w:tcBorders>
          </w:tcPr>
          <w:p w:rsidR="00C03C0B" w:rsidRDefault="00C03C0B" w:rsidP="00743573">
            <w:pPr>
              <w:jc w:val="center"/>
            </w:pPr>
            <w:r>
              <w:t>(2009)</w:t>
            </w:r>
          </w:p>
        </w:tc>
      </w:tr>
      <w:tr w:rsidR="00C03C0B" w:rsidTr="003E13EF">
        <w:tc>
          <w:tcPr>
            <w:tcW w:w="2093" w:type="dxa"/>
          </w:tcPr>
          <w:p w:rsidR="00C03C0B" w:rsidRPr="00EA7789" w:rsidRDefault="00C03C0B" w:rsidP="00743573">
            <w:r>
              <w:t>Fiji</w:t>
            </w:r>
          </w:p>
        </w:tc>
        <w:tc>
          <w:tcPr>
            <w:tcW w:w="1929" w:type="dxa"/>
            <w:tcBorders>
              <w:right w:val="nil"/>
            </w:tcBorders>
          </w:tcPr>
          <w:p w:rsidR="00C03C0B" w:rsidRDefault="00C03C0B" w:rsidP="00743573">
            <w:pPr>
              <w:jc w:val="center"/>
            </w:pPr>
            <w:r>
              <w:t>19.4%</w:t>
            </w:r>
          </w:p>
        </w:tc>
        <w:tc>
          <w:tcPr>
            <w:tcW w:w="2040" w:type="dxa"/>
            <w:tcBorders>
              <w:left w:val="nil"/>
              <w:bottom w:val="single" w:sz="4" w:space="0" w:color="auto"/>
            </w:tcBorders>
          </w:tcPr>
          <w:p w:rsidR="00C03C0B" w:rsidRDefault="00C03C0B" w:rsidP="00743573">
            <w:pPr>
              <w:jc w:val="center"/>
            </w:pPr>
            <w:r>
              <w:t>(2008)</w:t>
            </w:r>
          </w:p>
        </w:tc>
        <w:tc>
          <w:tcPr>
            <w:tcW w:w="1595" w:type="dxa"/>
            <w:tcBorders>
              <w:right w:val="nil"/>
            </w:tcBorders>
          </w:tcPr>
          <w:p w:rsidR="00C03C0B" w:rsidRDefault="00C03C0B" w:rsidP="00743573">
            <w:pPr>
              <w:jc w:val="center"/>
            </w:pPr>
            <w:proofErr w:type="spellStart"/>
            <w:r>
              <w:t>na</w:t>
            </w:r>
            <w:proofErr w:type="spellEnd"/>
          </w:p>
        </w:tc>
        <w:tc>
          <w:tcPr>
            <w:tcW w:w="1913" w:type="dxa"/>
            <w:tcBorders>
              <w:left w:val="nil"/>
              <w:bottom w:val="single" w:sz="4" w:space="0" w:color="auto"/>
            </w:tcBorders>
          </w:tcPr>
          <w:p w:rsidR="00C03C0B" w:rsidRDefault="00C03C0B" w:rsidP="00743573">
            <w:pPr>
              <w:jc w:val="center"/>
            </w:pPr>
            <w:proofErr w:type="spellStart"/>
            <w:r>
              <w:t>na</w:t>
            </w:r>
            <w:proofErr w:type="spellEnd"/>
          </w:p>
        </w:tc>
      </w:tr>
      <w:tr w:rsidR="00C03C0B" w:rsidTr="003E13EF">
        <w:tc>
          <w:tcPr>
            <w:tcW w:w="2093" w:type="dxa"/>
          </w:tcPr>
          <w:p w:rsidR="00C03C0B" w:rsidRPr="00EA7789" w:rsidRDefault="00C03C0B" w:rsidP="00743573">
            <w:r>
              <w:t>Kiribati (see Note)</w:t>
            </w:r>
          </w:p>
        </w:tc>
        <w:tc>
          <w:tcPr>
            <w:tcW w:w="1929" w:type="dxa"/>
            <w:tcBorders>
              <w:right w:val="nil"/>
            </w:tcBorders>
          </w:tcPr>
          <w:p w:rsidR="00C03C0B" w:rsidRDefault="00C03C0B" w:rsidP="00743573">
            <w:pPr>
              <w:jc w:val="center"/>
            </w:pPr>
            <w:r w:rsidRPr="00B33B65">
              <w:t xml:space="preserve">13.3% </w:t>
            </w:r>
          </w:p>
        </w:tc>
        <w:tc>
          <w:tcPr>
            <w:tcW w:w="2040" w:type="dxa"/>
            <w:tcBorders>
              <w:left w:val="nil"/>
              <w:bottom w:val="single" w:sz="4" w:space="0" w:color="auto"/>
            </w:tcBorders>
          </w:tcPr>
          <w:p w:rsidR="00C03C0B" w:rsidRDefault="00C03C0B" w:rsidP="00743573">
            <w:pPr>
              <w:jc w:val="center"/>
            </w:pPr>
            <w:r>
              <w:t>(2011)</w:t>
            </w:r>
          </w:p>
        </w:tc>
        <w:tc>
          <w:tcPr>
            <w:tcW w:w="1595" w:type="dxa"/>
            <w:tcBorders>
              <w:right w:val="nil"/>
            </w:tcBorders>
          </w:tcPr>
          <w:p w:rsidR="00C03C0B" w:rsidRDefault="00C03C0B" w:rsidP="00743573">
            <w:pPr>
              <w:jc w:val="center"/>
            </w:pPr>
            <w:r w:rsidRPr="00B33B65">
              <w:t>13.3%</w:t>
            </w:r>
          </w:p>
        </w:tc>
        <w:tc>
          <w:tcPr>
            <w:tcW w:w="1913" w:type="dxa"/>
            <w:tcBorders>
              <w:left w:val="nil"/>
              <w:bottom w:val="single" w:sz="4" w:space="0" w:color="auto"/>
            </w:tcBorders>
          </w:tcPr>
          <w:p w:rsidR="00C03C0B" w:rsidRDefault="00C03C0B" w:rsidP="00743573">
            <w:pPr>
              <w:jc w:val="center"/>
            </w:pPr>
            <w:r>
              <w:t>(2011)</w:t>
            </w:r>
          </w:p>
        </w:tc>
      </w:tr>
      <w:tr w:rsidR="00C03C0B" w:rsidTr="003E13EF">
        <w:tc>
          <w:tcPr>
            <w:tcW w:w="2093" w:type="dxa"/>
          </w:tcPr>
          <w:p w:rsidR="00C03C0B" w:rsidRPr="00EA7789" w:rsidRDefault="00C03C0B" w:rsidP="00743573">
            <w:r>
              <w:t>Samoa</w:t>
            </w:r>
          </w:p>
        </w:tc>
        <w:tc>
          <w:tcPr>
            <w:tcW w:w="1929" w:type="dxa"/>
            <w:tcBorders>
              <w:right w:val="nil"/>
            </w:tcBorders>
          </w:tcPr>
          <w:p w:rsidR="00C03C0B" w:rsidRDefault="00C03C0B" w:rsidP="00743573">
            <w:pPr>
              <w:jc w:val="center"/>
            </w:pPr>
            <w:r>
              <w:t>19.7%</w:t>
            </w:r>
          </w:p>
        </w:tc>
        <w:tc>
          <w:tcPr>
            <w:tcW w:w="2040" w:type="dxa"/>
            <w:tcBorders>
              <w:left w:val="nil"/>
              <w:bottom w:val="single" w:sz="4" w:space="0" w:color="auto"/>
            </w:tcBorders>
          </w:tcPr>
          <w:p w:rsidR="00C03C0B" w:rsidRDefault="00C03C0B" w:rsidP="00743573">
            <w:pPr>
              <w:jc w:val="center"/>
            </w:pPr>
            <w:r>
              <w:t>(2011-12)</w:t>
            </w:r>
          </w:p>
        </w:tc>
        <w:tc>
          <w:tcPr>
            <w:tcW w:w="1595" w:type="dxa"/>
            <w:tcBorders>
              <w:right w:val="nil"/>
            </w:tcBorders>
          </w:tcPr>
          <w:p w:rsidR="00C03C0B" w:rsidRDefault="00C03C0B" w:rsidP="00743573">
            <w:pPr>
              <w:jc w:val="center"/>
            </w:pPr>
            <w:r>
              <w:t>4.8%</w:t>
            </w:r>
          </w:p>
        </w:tc>
        <w:tc>
          <w:tcPr>
            <w:tcW w:w="1913" w:type="dxa"/>
            <w:tcBorders>
              <w:left w:val="nil"/>
              <w:bottom w:val="single" w:sz="4" w:space="0" w:color="auto"/>
            </w:tcBorders>
          </w:tcPr>
          <w:p w:rsidR="00C03C0B" w:rsidRDefault="00C03C0B" w:rsidP="00743573">
            <w:pPr>
              <w:jc w:val="center"/>
            </w:pPr>
            <w:r>
              <w:t>(2011)</w:t>
            </w:r>
          </w:p>
        </w:tc>
      </w:tr>
      <w:tr w:rsidR="00C03C0B" w:rsidTr="003E13EF">
        <w:tc>
          <w:tcPr>
            <w:tcW w:w="2093" w:type="dxa"/>
          </w:tcPr>
          <w:p w:rsidR="00C03C0B" w:rsidRPr="00EA7789" w:rsidRDefault="00C03C0B" w:rsidP="00743573">
            <w:r>
              <w:t>Solomon Islands</w:t>
            </w:r>
          </w:p>
        </w:tc>
        <w:tc>
          <w:tcPr>
            <w:tcW w:w="1929" w:type="dxa"/>
            <w:tcBorders>
              <w:right w:val="nil"/>
            </w:tcBorders>
          </w:tcPr>
          <w:p w:rsidR="00C03C0B" w:rsidRDefault="00C03C0B" w:rsidP="00743573">
            <w:pPr>
              <w:jc w:val="center"/>
            </w:pPr>
            <w:r>
              <w:t>26.0%</w:t>
            </w:r>
          </w:p>
        </w:tc>
        <w:tc>
          <w:tcPr>
            <w:tcW w:w="2040" w:type="dxa"/>
            <w:tcBorders>
              <w:left w:val="nil"/>
              <w:bottom w:val="single" w:sz="4" w:space="0" w:color="auto"/>
            </w:tcBorders>
          </w:tcPr>
          <w:p w:rsidR="00C03C0B" w:rsidRDefault="00C03C0B" w:rsidP="00743573">
            <w:pPr>
              <w:jc w:val="center"/>
            </w:pPr>
            <w:r>
              <w:t>(2009)</w:t>
            </w:r>
          </w:p>
        </w:tc>
        <w:tc>
          <w:tcPr>
            <w:tcW w:w="1595" w:type="dxa"/>
            <w:tcBorders>
              <w:right w:val="nil"/>
            </w:tcBorders>
          </w:tcPr>
          <w:p w:rsidR="00C03C0B" w:rsidRDefault="00C03C0B" w:rsidP="00743573">
            <w:pPr>
              <w:jc w:val="center"/>
            </w:pPr>
            <w:r>
              <w:t>6.91%</w:t>
            </w:r>
          </w:p>
        </w:tc>
        <w:tc>
          <w:tcPr>
            <w:tcW w:w="1913" w:type="dxa"/>
            <w:tcBorders>
              <w:left w:val="nil"/>
              <w:bottom w:val="single" w:sz="4" w:space="0" w:color="auto"/>
            </w:tcBorders>
          </w:tcPr>
          <w:p w:rsidR="00C03C0B" w:rsidRDefault="00C03C0B" w:rsidP="00743573">
            <w:pPr>
              <w:jc w:val="center"/>
            </w:pPr>
            <w:r>
              <w:t>(2009)</w:t>
            </w:r>
          </w:p>
        </w:tc>
      </w:tr>
      <w:tr w:rsidR="00C03C0B" w:rsidTr="003E13EF">
        <w:tc>
          <w:tcPr>
            <w:tcW w:w="2093" w:type="dxa"/>
          </w:tcPr>
          <w:p w:rsidR="00C03C0B" w:rsidRPr="00EA7789" w:rsidRDefault="00C03C0B" w:rsidP="00743573">
            <w:r>
              <w:t>Tonga (see Note)</w:t>
            </w:r>
          </w:p>
        </w:tc>
        <w:tc>
          <w:tcPr>
            <w:tcW w:w="1929" w:type="dxa"/>
            <w:tcBorders>
              <w:right w:val="nil"/>
            </w:tcBorders>
          </w:tcPr>
          <w:p w:rsidR="00C03C0B" w:rsidRDefault="00C03C0B" w:rsidP="00743573">
            <w:pPr>
              <w:jc w:val="center"/>
            </w:pPr>
            <w:r w:rsidRPr="00B33B65">
              <w:t xml:space="preserve">4.1% </w:t>
            </w:r>
          </w:p>
        </w:tc>
        <w:tc>
          <w:tcPr>
            <w:tcW w:w="2040" w:type="dxa"/>
            <w:tcBorders>
              <w:left w:val="nil"/>
              <w:bottom w:val="single" w:sz="4" w:space="0" w:color="auto"/>
            </w:tcBorders>
          </w:tcPr>
          <w:p w:rsidR="00C03C0B" w:rsidRDefault="00C03C0B" w:rsidP="00743573">
            <w:pPr>
              <w:jc w:val="center"/>
            </w:pPr>
            <w:r>
              <w:t>(2010-11)</w:t>
            </w:r>
          </w:p>
        </w:tc>
        <w:tc>
          <w:tcPr>
            <w:tcW w:w="1595" w:type="dxa"/>
            <w:tcBorders>
              <w:right w:val="nil"/>
            </w:tcBorders>
          </w:tcPr>
          <w:p w:rsidR="00C03C0B" w:rsidRDefault="00C03C0B" w:rsidP="00743573">
            <w:pPr>
              <w:jc w:val="center"/>
            </w:pPr>
            <w:r w:rsidRPr="00B33B65">
              <w:t>4.06%</w:t>
            </w:r>
          </w:p>
        </w:tc>
        <w:tc>
          <w:tcPr>
            <w:tcW w:w="1913" w:type="dxa"/>
            <w:tcBorders>
              <w:left w:val="nil"/>
              <w:bottom w:val="single" w:sz="4" w:space="0" w:color="auto"/>
            </w:tcBorders>
          </w:tcPr>
          <w:p w:rsidR="00C03C0B" w:rsidRDefault="00C03C0B" w:rsidP="00743573">
            <w:pPr>
              <w:jc w:val="center"/>
            </w:pPr>
            <w:r>
              <w:t>(2011)</w:t>
            </w:r>
          </w:p>
        </w:tc>
      </w:tr>
      <w:tr w:rsidR="00C03C0B" w:rsidTr="003E13EF">
        <w:tc>
          <w:tcPr>
            <w:tcW w:w="2093" w:type="dxa"/>
          </w:tcPr>
          <w:p w:rsidR="00C03C0B" w:rsidRPr="00EA7789" w:rsidRDefault="00C03C0B" w:rsidP="00743573">
            <w:r>
              <w:t>Vanuatu</w:t>
            </w:r>
          </w:p>
        </w:tc>
        <w:tc>
          <w:tcPr>
            <w:tcW w:w="1929" w:type="dxa"/>
            <w:tcBorders>
              <w:right w:val="nil"/>
            </w:tcBorders>
          </w:tcPr>
          <w:p w:rsidR="00C03C0B" w:rsidRDefault="00C03C0B" w:rsidP="00743573">
            <w:pPr>
              <w:jc w:val="center"/>
            </w:pPr>
            <w:r>
              <w:t>26.0%</w:t>
            </w:r>
          </w:p>
        </w:tc>
        <w:tc>
          <w:tcPr>
            <w:tcW w:w="2040" w:type="dxa"/>
            <w:tcBorders>
              <w:left w:val="nil"/>
            </w:tcBorders>
          </w:tcPr>
          <w:p w:rsidR="00C03C0B" w:rsidRDefault="00C03C0B" w:rsidP="00743573">
            <w:pPr>
              <w:jc w:val="center"/>
            </w:pPr>
            <w:r>
              <w:t>(2011)</w:t>
            </w:r>
          </w:p>
        </w:tc>
        <w:tc>
          <w:tcPr>
            <w:tcW w:w="1595" w:type="dxa"/>
            <w:tcBorders>
              <w:right w:val="nil"/>
            </w:tcBorders>
          </w:tcPr>
          <w:p w:rsidR="00C03C0B" w:rsidRDefault="00C03C0B" w:rsidP="00743573">
            <w:pPr>
              <w:jc w:val="center"/>
            </w:pPr>
            <w:r>
              <w:t>5.3%</w:t>
            </w:r>
          </w:p>
        </w:tc>
        <w:tc>
          <w:tcPr>
            <w:tcW w:w="1913" w:type="dxa"/>
            <w:tcBorders>
              <w:left w:val="nil"/>
            </w:tcBorders>
          </w:tcPr>
          <w:p w:rsidR="00C03C0B" w:rsidRDefault="00C03C0B" w:rsidP="00743573">
            <w:pPr>
              <w:jc w:val="center"/>
            </w:pPr>
            <w:r>
              <w:t>(2011)</w:t>
            </w:r>
          </w:p>
        </w:tc>
      </w:tr>
      <w:tr w:rsidR="00C03C0B" w:rsidTr="003E13EF">
        <w:tc>
          <w:tcPr>
            <w:tcW w:w="9570" w:type="dxa"/>
            <w:gridSpan w:val="5"/>
          </w:tcPr>
          <w:p w:rsidR="00C03C0B" w:rsidRDefault="00C03C0B" w:rsidP="00743573">
            <w:r>
              <w:t>Sources</w:t>
            </w:r>
            <w:r w:rsidR="00EF0C33">
              <w:t xml:space="preserve"> for Table 10</w:t>
            </w:r>
            <w:r>
              <w:t>: Column (a): Secretariat of the Pacific Community: National Development Minimum Indicators - Population and Development, Social Services Provisions.  Column (b): SPC estimates and review estimate for Vanuatu.</w:t>
            </w:r>
          </w:p>
          <w:p w:rsidR="00C03C0B" w:rsidRDefault="00C03C0B" w:rsidP="00743573">
            <w:r>
              <w:lastRenderedPageBreak/>
              <w:t xml:space="preserve">Note: Column (a) data for Kiribati and Tonga appears curious (e.g. they are the same as for Column (b). </w:t>
            </w:r>
          </w:p>
        </w:tc>
      </w:tr>
    </w:tbl>
    <w:p w:rsidR="00C03C0B" w:rsidRDefault="00C03C0B" w:rsidP="00C03C0B"/>
    <w:p w:rsidR="00743573" w:rsidRDefault="00743573" w:rsidP="00743573">
      <w:pPr>
        <w:autoSpaceDE w:val="0"/>
        <w:autoSpaceDN w:val="0"/>
        <w:adjustRightInd w:val="0"/>
        <w:jc w:val="both"/>
        <w:rPr>
          <w:szCs w:val="24"/>
        </w:rPr>
      </w:pPr>
      <w:r w:rsidRPr="00F23441">
        <w:rPr>
          <w:szCs w:val="24"/>
        </w:rPr>
        <w:t>However, it is difficult to interpret these regional differences meaningfully.</w:t>
      </w:r>
      <w:r>
        <w:rPr>
          <w:szCs w:val="24"/>
        </w:rPr>
        <w:t xml:space="preserve">  </w:t>
      </w:r>
      <w:r w:rsidRPr="00F23441">
        <w:rPr>
          <w:szCs w:val="24"/>
        </w:rPr>
        <w:t>For example, do Vanuatu’s relatively high shares reflect a higher commitment to raising education standards, an inherently high</w:t>
      </w:r>
      <w:r>
        <w:rPr>
          <w:szCs w:val="24"/>
        </w:rPr>
        <w:t>er</w:t>
      </w:r>
      <w:r w:rsidRPr="00F23441">
        <w:rPr>
          <w:szCs w:val="24"/>
        </w:rPr>
        <w:t xml:space="preserve"> cost structure as a consequence of geographic or linguistic differences and/or differences between the countries in their expenditure efficiency?  Without far more extensive regional analysis, beyond the scope of this review, it is impossible to say.</w:t>
      </w:r>
    </w:p>
    <w:p w:rsidR="00743573" w:rsidRPr="000B0666" w:rsidRDefault="00743573" w:rsidP="00C03C0B"/>
    <w:p w:rsidR="0095650B" w:rsidRPr="00F23441" w:rsidRDefault="0095650B" w:rsidP="0095650B">
      <w:pPr>
        <w:autoSpaceDE w:val="0"/>
        <w:autoSpaceDN w:val="0"/>
        <w:adjustRightInd w:val="0"/>
        <w:jc w:val="both"/>
        <w:rPr>
          <w:szCs w:val="24"/>
        </w:rPr>
      </w:pPr>
      <w:proofErr w:type="spellStart"/>
      <w:r w:rsidRPr="00F23441">
        <w:rPr>
          <w:szCs w:val="24"/>
        </w:rPr>
        <w:t>MoE</w:t>
      </w:r>
      <w:proofErr w:type="spellEnd"/>
      <w:r w:rsidRPr="00F23441">
        <w:rPr>
          <w:szCs w:val="24"/>
        </w:rPr>
        <w:t xml:space="preserve"> total expenditure rose by some 45% in real terms between 2002 and 2011, representing average annual real growth of some 4.2%, compared to an increase of some 29% in primary and secondary school enrolments between these years.</w:t>
      </w:r>
      <w:r w:rsidRPr="00F23441">
        <w:rPr>
          <w:rStyle w:val="FootnoteReference"/>
          <w:szCs w:val="24"/>
        </w:rPr>
        <w:footnoteReference w:id="17"/>
      </w:r>
      <w:r w:rsidRPr="00F23441">
        <w:rPr>
          <w:szCs w:val="24"/>
        </w:rPr>
        <w:t xml:space="preserve">  However, a substantial part of the real increase in expenditure can be attributed to the impact of the GRT’s 2006 salary determination.  A better appreciation of recent trends in real terms can be gained from Table </w:t>
      </w:r>
      <w:r w:rsidR="000F65C3">
        <w:rPr>
          <w:szCs w:val="24"/>
        </w:rPr>
        <w:t>11</w:t>
      </w:r>
      <w:r w:rsidRPr="00F23441">
        <w:rPr>
          <w:szCs w:val="24"/>
        </w:rPr>
        <w:t>.</w:t>
      </w:r>
    </w:p>
    <w:p w:rsidR="0095650B" w:rsidRDefault="0095650B" w:rsidP="0095650B"/>
    <w:tbl>
      <w:tblPr>
        <w:tblStyle w:val="TableGrid"/>
        <w:tblW w:w="8505" w:type="dxa"/>
        <w:jc w:val="center"/>
        <w:tblLook w:val="04A0" w:firstRow="1" w:lastRow="0" w:firstColumn="1" w:lastColumn="0" w:noHBand="0" w:noVBand="1"/>
        <w:tblCaption w:val="MoE budgeted recurrent expenditure, teacher salaries and numbers in real terms, 2007 and 2011 "/>
        <w:tblDescription w:val="table"/>
      </w:tblPr>
      <w:tblGrid>
        <w:gridCol w:w="3859"/>
        <w:gridCol w:w="1711"/>
        <w:gridCol w:w="1522"/>
        <w:gridCol w:w="1413"/>
      </w:tblGrid>
      <w:tr w:rsidR="0095650B" w:rsidTr="00D339A4">
        <w:trPr>
          <w:tblHeader/>
          <w:jc w:val="center"/>
        </w:trPr>
        <w:tc>
          <w:tcPr>
            <w:tcW w:w="8505" w:type="dxa"/>
            <w:gridSpan w:val="4"/>
            <w:shd w:val="clear" w:color="auto" w:fill="BFBFBF" w:themeFill="background1" w:themeFillShade="BF"/>
          </w:tcPr>
          <w:p w:rsidR="0095650B" w:rsidRDefault="0095650B" w:rsidP="000F65C3">
            <w:r>
              <w:t xml:space="preserve">Table </w:t>
            </w:r>
            <w:r w:rsidR="000F65C3">
              <w:t>11</w:t>
            </w:r>
            <w:r>
              <w:t xml:space="preserve">: </w:t>
            </w:r>
            <w:proofErr w:type="spellStart"/>
            <w:r>
              <w:t>MoE</w:t>
            </w:r>
            <w:proofErr w:type="spellEnd"/>
            <w:r>
              <w:t xml:space="preserve"> budgeted recurrent expenditure, teacher salaries and numbers in real terms, 2007 and 2011 </w:t>
            </w:r>
          </w:p>
        </w:tc>
      </w:tr>
      <w:tr w:rsidR="0095650B" w:rsidTr="006A3CDF">
        <w:trPr>
          <w:jc w:val="center"/>
        </w:trPr>
        <w:tc>
          <w:tcPr>
            <w:tcW w:w="3859" w:type="dxa"/>
          </w:tcPr>
          <w:p w:rsidR="0095650B" w:rsidRDefault="0095650B" w:rsidP="00C05FAA"/>
        </w:tc>
        <w:tc>
          <w:tcPr>
            <w:tcW w:w="1711" w:type="dxa"/>
          </w:tcPr>
          <w:p w:rsidR="0095650B" w:rsidRDefault="0095650B" w:rsidP="00C05FAA">
            <w:pPr>
              <w:jc w:val="center"/>
            </w:pPr>
            <w:r>
              <w:t>2007</w:t>
            </w:r>
          </w:p>
        </w:tc>
        <w:tc>
          <w:tcPr>
            <w:tcW w:w="1522" w:type="dxa"/>
          </w:tcPr>
          <w:p w:rsidR="0095650B" w:rsidRDefault="0095650B" w:rsidP="00C05FAA">
            <w:pPr>
              <w:jc w:val="center"/>
            </w:pPr>
            <w:r>
              <w:t>2011</w:t>
            </w:r>
          </w:p>
        </w:tc>
        <w:tc>
          <w:tcPr>
            <w:tcW w:w="1413" w:type="dxa"/>
          </w:tcPr>
          <w:p w:rsidR="0095650B" w:rsidRDefault="0095650B" w:rsidP="00C05FAA">
            <w:pPr>
              <w:jc w:val="center"/>
            </w:pPr>
            <w:r>
              <w:t>% real change</w:t>
            </w:r>
          </w:p>
        </w:tc>
      </w:tr>
      <w:tr w:rsidR="0095650B" w:rsidTr="006A3CDF">
        <w:trPr>
          <w:jc w:val="center"/>
        </w:trPr>
        <w:tc>
          <w:tcPr>
            <w:tcW w:w="3859" w:type="dxa"/>
          </w:tcPr>
          <w:p w:rsidR="0095650B" w:rsidRDefault="0095650B" w:rsidP="00C05FAA">
            <w:r>
              <w:t xml:space="preserve">GDP Implicit Price Deflator </w:t>
            </w:r>
          </w:p>
        </w:tc>
        <w:tc>
          <w:tcPr>
            <w:tcW w:w="1711" w:type="dxa"/>
          </w:tcPr>
          <w:p w:rsidR="0095650B" w:rsidRDefault="0095650B" w:rsidP="00C05FAA">
            <w:pPr>
              <w:jc w:val="center"/>
            </w:pPr>
            <w:r>
              <w:t>104.7</w:t>
            </w:r>
          </w:p>
        </w:tc>
        <w:tc>
          <w:tcPr>
            <w:tcW w:w="1522" w:type="dxa"/>
          </w:tcPr>
          <w:p w:rsidR="0095650B" w:rsidRDefault="0095650B" w:rsidP="00C05FAA">
            <w:pPr>
              <w:jc w:val="center"/>
            </w:pPr>
            <w:r>
              <w:t>119.1</w:t>
            </w:r>
          </w:p>
        </w:tc>
        <w:tc>
          <w:tcPr>
            <w:tcW w:w="1413" w:type="dxa"/>
          </w:tcPr>
          <w:p w:rsidR="0095650B" w:rsidRDefault="0095650B" w:rsidP="00C05FAA">
            <w:pPr>
              <w:jc w:val="center"/>
            </w:pPr>
          </w:p>
        </w:tc>
      </w:tr>
      <w:tr w:rsidR="0095650B" w:rsidTr="006A3CDF">
        <w:trPr>
          <w:jc w:val="center"/>
        </w:trPr>
        <w:tc>
          <w:tcPr>
            <w:tcW w:w="3859" w:type="dxa"/>
          </w:tcPr>
          <w:p w:rsidR="0095650B" w:rsidRDefault="0095650B" w:rsidP="00C05FAA">
            <w:r>
              <w:t xml:space="preserve">Total </w:t>
            </w:r>
            <w:proofErr w:type="spellStart"/>
            <w:r>
              <w:t>GoV</w:t>
            </w:r>
            <w:proofErr w:type="spellEnd"/>
            <w:r>
              <w:t xml:space="preserve">-funded budgeted </w:t>
            </w:r>
            <w:proofErr w:type="spellStart"/>
            <w:r>
              <w:t>MoE</w:t>
            </w:r>
            <w:proofErr w:type="spellEnd"/>
            <w:r>
              <w:t xml:space="preserve"> recurrent expenditure (Vatu million):</w:t>
            </w:r>
          </w:p>
          <w:p w:rsidR="0095650B" w:rsidRDefault="0095650B" w:rsidP="00501831">
            <w:pPr>
              <w:pStyle w:val="ListParagraph"/>
              <w:numPr>
                <w:ilvl w:val="0"/>
                <w:numId w:val="26"/>
              </w:numPr>
            </w:pPr>
            <w:r>
              <w:t>current prices</w:t>
            </w:r>
          </w:p>
          <w:p w:rsidR="0095650B" w:rsidRDefault="0095650B" w:rsidP="00501831">
            <w:pPr>
              <w:pStyle w:val="ListParagraph"/>
              <w:numPr>
                <w:ilvl w:val="0"/>
                <w:numId w:val="26"/>
              </w:numPr>
            </w:pPr>
            <w:r>
              <w:t>2006 prices</w:t>
            </w:r>
          </w:p>
        </w:tc>
        <w:tc>
          <w:tcPr>
            <w:tcW w:w="1711" w:type="dxa"/>
          </w:tcPr>
          <w:p w:rsidR="0095650B" w:rsidRDefault="0095650B" w:rsidP="00C05FAA">
            <w:pPr>
              <w:jc w:val="center"/>
            </w:pPr>
          </w:p>
          <w:p w:rsidR="0095650B" w:rsidRDefault="0095650B" w:rsidP="00C05FAA">
            <w:pPr>
              <w:jc w:val="center"/>
            </w:pPr>
          </w:p>
          <w:p w:rsidR="0095650B" w:rsidRDefault="0095650B" w:rsidP="00C05FAA">
            <w:pPr>
              <w:jc w:val="center"/>
            </w:pPr>
            <w:r>
              <w:t>3,149.6</w:t>
            </w:r>
          </w:p>
          <w:p w:rsidR="0095650B" w:rsidRDefault="0095650B" w:rsidP="00C05FAA">
            <w:pPr>
              <w:jc w:val="center"/>
            </w:pPr>
            <w:r>
              <w:t>3,008.2</w:t>
            </w:r>
          </w:p>
        </w:tc>
        <w:tc>
          <w:tcPr>
            <w:tcW w:w="1522" w:type="dxa"/>
          </w:tcPr>
          <w:p w:rsidR="0095650B" w:rsidRDefault="0095650B" w:rsidP="00C05FAA">
            <w:pPr>
              <w:jc w:val="center"/>
            </w:pPr>
          </w:p>
          <w:p w:rsidR="0095650B" w:rsidRDefault="0095650B" w:rsidP="00C05FAA">
            <w:pPr>
              <w:jc w:val="center"/>
            </w:pPr>
          </w:p>
          <w:p w:rsidR="0095650B" w:rsidRDefault="0095650B" w:rsidP="00C05FAA">
            <w:pPr>
              <w:jc w:val="center"/>
            </w:pPr>
            <w:r>
              <w:t>3,763.6</w:t>
            </w:r>
          </w:p>
          <w:p w:rsidR="0095650B" w:rsidRDefault="0095650B" w:rsidP="00C05FAA">
            <w:pPr>
              <w:jc w:val="center"/>
            </w:pPr>
            <w:r>
              <w:t>3,160.0</w:t>
            </w:r>
          </w:p>
        </w:tc>
        <w:tc>
          <w:tcPr>
            <w:tcW w:w="1413" w:type="dxa"/>
          </w:tcPr>
          <w:p w:rsidR="0095650B" w:rsidRDefault="0095650B" w:rsidP="00C05FAA">
            <w:pPr>
              <w:jc w:val="center"/>
            </w:pPr>
          </w:p>
          <w:p w:rsidR="0095650B" w:rsidRDefault="0095650B" w:rsidP="00C05FAA">
            <w:pPr>
              <w:jc w:val="center"/>
            </w:pPr>
          </w:p>
          <w:p w:rsidR="0095650B" w:rsidRDefault="0095650B" w:rsidP="00C05FAA">
            <w:pPr>
              <w:jc w:val="center"/>
            </w:pPr>
          </w:p>
          <w:p w:rsidR="0095650B" w:rsidRDefault="0095650B" w:rsidP="00C05FAA">
            <w:pPr>
              <w:jc w:val="center"/>
            </w:pPr>
            <w:r>
              <w:t>+ 5.0%</w:t>
            </w:r>
          </w:p>
        </w:tc>
      </w:tr>
      <w:tr w:rsidR="0095650B" w:rsidTr="006A3CDF">
        <w:trPr>
          <w:jc w:val="center"/>
        </w:trPr>
        <w:tc>
          <w:tcPr>
            <w:tcW w:w="3859" w:type="dxa"/>
          </w:tcPr>
          <w:p w:rsidR="0095650B" w:rsidRDefault="0095650B" w:rsidP="00C05FAA">
            <w:proofErr w:type="spellStart"/>
            <w:r>
              <w:t>MoE</w:t>
            </w:r>
            <w:proofErr w:type="spellEnd"/>
            <w:r>
              <w:t xml:space="preserve"> budgeted expenditure on </w:t>
            </w:r>
            <w:proofErr w:type="spellStart"/>
            <w:r>
              <w:t>GoV</w:t>
            </w:r>
            <w:proofErr w:type="spellEnd"/>
            <w:r>
              <w:t>/GA teacher personal emoluments (Vatu million):</w:t>
            </w:r>
          </w:p>
          <w:p w:rsidR="0095650B" w:rsidRDefault="0095650B" w:rsidP="00501831">
            <w:pPr>
              <w:pStyle w:val="ListParagraph"/>
              <w:numPr>
                <w:ilvl w:val="0"/>
                <w:numId w:val="25"/>
              </w:numPr>
            </w:pPr>
            <w:r>
              <w:t xml:space="preserve">current prices </w:t>
            </w:r>
          </w:p>
          <w:p w:rsidR="0095650B" w:rsidRDefault="0095650B" w:rsidP="00501831">
            <w:pPr>
              <w:pStyle w:val="ListParagraph"/>
              <w:numPr>
                <w:ilvl w:val="0"/>
                <w:numId w:val="25"/>
              </w:numPr>
            </w:pPr>
            <w:r>
              <w:t xml:space="preserve">2006 prices </w:t>
            </w:r>
          </w:p>
        </w:tc>
        <w:tc>
          <w:tcPr>
            <w:tcW w:w="1711" w:type="dxa"/>
          </w:tcPr>
          <w:p w:rsidR="0095650B" w:rsidRDefault="0095650B" w:rsidP="00C05FAA">
            <w:pPr>
              <w:jc w:val="center"/>
            </w:pPr>
          </w:p>
          <w:p w:rsidR="0095650B" w:rsidRDefault="0095650B" w:rsidP="00C05FAA">
            <w:pPr>
              <w:jc w:val="center"/>
            </w:pPr>
          </w:p>
          <w:p w:rsidR="0095650B" w:rsidRDefault="0095650B" w:rsidP="00C05FAA">
            <w:pPr>
              <w:jc w:val="center"/>
            </w:pPr>
          </w:p>
          <w:p w:rsidR="0095650B" w:rsidRDefault="0095650B" w:rsidP="00C05FAA">
            <w:pPr>
              <w:jc w:val="center"/>
            </w:pPr>
            <w:r>
              <w:t>2,416.4</w:t>
            </w:r>
          </w:p>
          <w:p w:rsidR="0095650B" w:rsidRDefault="0095650B" w:rsidP="00C05FAA">
            <w:pPr>
              <w:jc w:val="center"/>
            </w:pPr>
            <w:r>
              <w:t>2,307.9</w:t>
            </w:r>
          </w:p>
        </w:tc>
        <w:tc>
          <w:tcPr>
            <w:tcW w:w="1522" w:type="dxa"/>
          </w:tcPr>
          <w:p w:rsidR="0095650B" w:rsidRDefault="0095650B" w:rsidP="00C05FAA">
            <w:pPr>
              <w:jc w:val="center"/>
            </w:pPr>
          </w:p>
          <w:p w:rsidR="0095650B" w:rsidRDefault="0095650B" w:rsidP="00C05FAA">
            <w:pPr>
              <w:jc w:val="center"/>
            </w:pPr>
          </w:p>
          <w:p w:rsidR="0095650B" w:rsidRDefault="0095650B" w:rsidP="00C05FAA">
            <w:pPr>
              <w:jc w:val="center"/>
            </w:pPr>
          </w:p>
          <w:p w:rsidR="0095650B" w:rsidRDefault="0095650B" w:rsidP="00C05FAA">
            <w:pPr>
              <w:jc w:val="center"/>
            </w:pPr>
            <w:r>
              <w:t>2,576.7</w:t>
            </w:r>
          </w:p>
          <w:p w:rsidR="0095650B" w:rsidRDefault="0095650B" w:rsidP="00C05FAA">
            <w:pPr>
              <w:jc w:val="center"/>
            </w:pPr>
            <w:r>
              <w:t>2,163.5</w:t>
            </w:r>
          </w:p>
        </w:tc>
        <w:tc>
          <w:tcPr>
            <w:tcW w:w="1413" w:type="dxa"/>
          </w:tcPr>
          <w:p w:rsidR="0095650B" w:rsidRDefault="0095650B" w:rsidP="00C05FAA">
            <w:pPr>
              <w:jc w:val="center"/>
            </w:pPr>
          </w:p>
          <w:p w:rsidR="0095650B" w:rsidRDefault="0095650B" w:rsidP="00C05FAA">
            <w:pPr>
              <w:jc w:val="center"/>
            </w:pPr>
          </w:p>
          <w:p w:rsidR="0095650B" w:rsidRDefault="0095650B" w:rsidP="00C05FAA">
            <w:pPr>
              <w:jc w:val="center"/>
            </w:pPr>
          </w:p>
          <w:p w:rsidR="0095650B" w:rsidRDefault="0095650B" w:rsidP="00142AAB">
            <w:pPr>
              <w:spacing w:before="240"/>
              <w:jc w:val="center"/>
            </w:pPr>
            <w:r>
              <w:t>- 6.3%</w:t>
            </w:r>
          </w:p>
        </w:tc>
      </w:tr>
      <w:tr w:rsidR="0095650B" w:rsidTr="006A3CDF">
        <w:trPr>
          <w:jc w:val="center"/>
        </w:trPr>
        <w:tc>
          <w:tcPr>
            <w:tcW w:w="3859" w:type="dxa"/>
          </w:tcPr>
          <w:p w:rsidR="0095650B" w:rsidRDefault="0095650B" w:rsidP="00C05FAA">
            <w:r>
              <w:t xml:space="preserve">Number of </w:t>
            </w:r>
            <w:proofErr w:type="spellStart"/>
            <w:r>
              <w:t>GoV</w:t>
            </w:r>
            <w:proofErr w:type="spellEnd"/>
            <w:r>
              <w:t xml:space="preserve">/GA primary and secondary teachers </w:t>
            </w:r>
          </w:p>
        </w:tc>
        <w:tc>
          <w:tcPr>
            <w:tcW w:w="1711" w:type="dxa"/>
          </w:tcPr>
          <w:p w:rsidR="0095650B" w:rsidRDefault="0095650B" w:rsidP="00C05FAA">
            <w:pPr>
              <w:jc w:val="center"/>
            </w:pPr>
            <w:r>
              <w:t>2,387</w:t>
            </w:r>
          </w:p>
        </w:tc>
        <w:tc>
          <w:tcPr>
            <w:tcW w:w="1522" w:type="dxa"/>
          </w:tcPr>
          <w:p w:rsidR="0095650B" w:rsidRDefault="0095650B" w:rsidP="00C05FAA">
            <w:pPr>
              <w:jc w:val="center"/>
            </w:pPr>
            <w:r>
              <w:t>2,485</w:t>
            </w:r>
          </w:p>
        </w:tc>
        <w:tc>
          <w:tcPr>
            <w:tcW w:w="1413" w:type="dxa"/>
          </w:tcPr>
          <w:p w:rsidR="0095650B" w:rsidRDefault="0095650B" w:rsidP="00C05FAA">
            <w:pPr>
              <w:jc w:val="center"/>
            </w:pPr>
            <w:r>
              <w:t>+ 4.1%</w:t>
            </w:r>
          </w:p>
        </w:tc>
      </w:tr>
      <w:tr w:rsidR="0095650B" w:rsidTr="006A3CDF">
        <w:trPr>
          <w:jc w:val="center"/>
        </w:trPr>
        <w:tc>
          <w:tcPr>
            <w:tcW w:w="3859" w:type="dxa"/>
          </w:tcPr>
          <w:p w:rsidR="0095650B" w:rsidRDefault="0095650B" w:rsidP="00C05FAA">
            <w:r>
              <w:t xml:space="preserve">Number of enrolees in </w:t>
            </w:r>
            <w:proofErr w:type="spellStart"/>
            <w:r>
              <w:t>GoV</w:t>
            </w:r>
            <w:proofErr w:type="spellEnd"/>
            <w:r>
              <w:t xml:space="preserve">/GA primary and secondary schools </w:t>
            </w:r>
          </w:p>
        </w:tc>
        <w:tc>
          <w:tcPr>
            <w:tcW w:w="1711" w:type="dxa"/>
          </w:tcPr>
          <w:p w:rsidR="0095650B" w:rsidRDefault="0095650B" w:rsidP="00C05FAA">
            <w:pPr>
              <w:jc w:val="center"/>
            </w:pPr>
            <w:r>
              <w:t>49,806</w:t>
            </w:r>
          </w:p>
        </w:tc>
        <w:tc>
          <w:tcPr>
            <w:tcW w:w="1522" w:type="dxa"/>
          </w:tcPr>
          <w:p w:rsidR="0095650B" w:rsidRDefault="0095650B" w:rsidP="00C05FAA">
            <w:pPr>
              <w:jc w:val="center"/>
            </w:pPr>
            <w:r>
              <w:t>57,347</w:t>
            </w:r>
          </w:p>
        </w:tc>
        <w:tc>
          <w:tcPr>
            <w:tcW w:w="1413" w:type="dxa"/>
          </w:tcPr>
          <w:p w:rsidR="0095650B" w:rsidRDefault="0095650B" w:rsidP="00C05FAA">
            <w:pPr>
              <w:jc w:val="center"/>
            </w:pPr>
            <w:r>
              <w:t>+ 15.1%</w:t>
            </w:r>
          </w:p>
        </w:tc>
      </w:tr>
      <w:tr w:rsidR="0095650B" w:rsidTr="003E13EF">
        <w:trPr>
          <w:jc w:val="center"/>
        </w:trPr>
        <w:tc>
          <w:tcPr>
            <w:tcW w:w="8505" w:type="dxa"/>
            <w:gridSpan w:val="4"/>
            <w:tcBorders>
              <w:top w:val="nil"/>
            </w:tcBorders>
          </w:tcPr>
          <w:p w:rsidR="0095650B" w:rsidRDefault="006A3CDF" w:rsidP="00C05FAA">
            <w:r>
              <w:t xml:space="preserve">Table 11 </w:t>
            </w:r>
            <w:r w:rsidR="0095650B">
              <w:t xml:space="preserve">Sources:   GDP Price Deflator from ADB Key Indicators for Asia and the Pacific.  </w:t>
            </w:r>
            <w:proofErr w:type="spellStart"/>
            <w:r w:rsidR="0095650B">
              <w:t>MoE</w:t>
            </w:r>
            <w:proofErr w:type="spellEnd"/>
            <w:r w:rsidR="0095650B">
              <w:t xml:space="preserve"> total originally budgeted expenditure from MFEM.  Budgeted expenditure on teachers’ personal emoluments from dissection of 2007, 2011 Budget documents (Volume 2).  Teacher numbers and enrolees from VEMIS. </w:t>
            </w:r>
          </w:p>
        </w:tc>
      </w:tr>
    </w:tbl>
    <w:p w:rsidR="0095650B" w:rsidRDefault="0095650B" w:rsidP="0095650B"/>
    <w:p w:rsidR="0095650B" w:rsidRPr="00F23441" w:rsidRDefault="0095650B" w:rsidP="0095650B">
      <w:pPr>
        <w:autoSpaceDE w:val="0"/>
        <w:autoSpaceDN w:val="0"/>
        <w:adjustRightInd w:val="0"/>
        <w:jc w:val="both"/>
        <w:rPr>
          <w:szCs w:val="24"/>
        </w:rPr>
      </w:pPr>
      <w:proofErr w:type="spellStart"/>
      <w:r w:rsidRPr="00F23441">
        <w:rPr>
          <w:szCs w:val="24"/>
        </w:rPr>
        <w:t>MoE’s</w:t>
      </w:r>
      <w:proofErr w:type="spellEnd"/>
      <w:r w:rsidRPr="00F23441">
        <w:rPr>
          <w:szCs w:val="24"/>
        </w:rPr>
        <w:t xml:space="preserve"> budgeted expenditure continued to grow in real terms between 2007 and 20</w:t>
      </w:r>
      <w:r w:rsidR="00681BBB">
        <w:rPr>
          <w:szCs w:val="24"/>
        </w:rPr>
        <w:t>1</w:t>
      </w:r>
      <w:r w:rsidRPr="00F23441">
        <w:rPr>
          <w:szCs w:val="24"/>
        </w:rPr>
        <w:t xml:space="preserve">1, notwithstanding a real reduction in the budgeted personal emoluments of primary and secondary school teachers.  The purposes for which the overall real growth in </w:t>
      </w:r>
      <w:proofErr w:type="spellStart"/>
      <w:r w:rsidRPr="00F23441">
        <w:rPr>
          <w:szCs w:val="24"/>
        </w:rPr>
        <w:t>MoE</w:t>
      </w:r>
      <w:proofErr w:type="spellEnd"/>
      <w:r w:rsidRPr="00F23441">
        <w:rPr>
          <w:szCs w:val="24"/>
        </w:rPr>
        <w:t xml:space="preserve"> budgeted expenditure have been used are explored in Section 2.1.3.</w:t>
      </w:r>
    </w:p>
    <w:p w:rsidR="0095650B" w:rsidRDefault="0095650B" w:rsidP="00160C19">
      <w:pPr>
        <w:pStyle w:val="Heading2"/>
      </w:pPr>
      <w:bookmarkStart w:id="81" w:name="_Toc341210788"/>
      <w:bookmarkStart w:id="82" w:name="_Toc341210908"/>
      <w:bookmarkStart w:id="83" w:name="_Toc341265726"/>
      <w:bookmarkStart w:id="84" w:name="_Toc343257288"/>
      <w:bookmarkStart w:id="85" w:name="_Toc343257402"/>
      <w:bookmarkStart w:id="86" w:name="_Toc348711323"/>
      <w:r w:rsidRPr="000E684B">
        <w:t xml:space="preserve">2.1.3 Composition of </w:t>
      </w:r>
      <w:proofErr w:type="spellStart"/>
      <w:r w:rsidRPr="000E684B">
        <w:t>MoE</w:t>
      </w:r>
      <w:proofErr w:type="spellEnd"/>
      <w:r w:rsidRPr="000E684B">
        <w:t xml:space="preserve"> budgets and expenditure</w:t>
      </w:r>
      <w:bookmarkEnd w:id="81"/>
      <w:bookmarkEnd w:id="82"/>
      <w:bookmarkEnd w:id="83"/>
      <w:bookmarkEnd w:id="84"/>
      <w:bookmarkEnd w:id="85"/>
      <w:bookmarkEnd w:id="86"/>
    </w:p>
    <w:p w:rsidR="0095650B" w:rsidRDefault="0095650B" w:rsidP="0095650B">
      <w:pPr>
        <w:jc w:val="both"/>
      </w:pPr>
    </w:p>
    <w:p w:rsidR="0095650B" w:rsidRDefault="0095650B" w:rsidP="0095650B">
      <w:pPr>
        <w:jc w:val="both"/>
      </w:pPr>
      <w:r>
        <w:t xml:space="preserve">The greater part of analysis in this Section is based on dissections of </w:t>
      </w:r>
      <w:proofErr w:type="spellStart"/>
      <w:r>
        <w:t>MoE’s</w:t>
      </w:r>
      <w:proofErr w:type="spellEnd"/>
      <w:r>
        <w:t xml:space="preserve"> original budgets for each of the years 2006 to 2012 since disaggregated expenditure data for this period are not readily available</w:t>
      </w:r>
      <w:r w:rsidRPr="004D66CD">
        <w:t xml:space="preserve"> </w:t>
      </w:r>
      <w:r>
        <w:t xml:space="preserve">on a consistent basis.  As previously noted, original budgets are nevertheless - </w:t>
      </w:r>
      <w:r>
        <w:lastRenderedPageBreak/>
        <w:t xml:space="preserve">in principle - a useful guide to the </w:t>
      </w:r>
      <w:proofErr w:type="spellStart"/>
      <w:r>
        <w:t>GoV’s</w:t>
      </w:r>
      <w:proofErr w:type="spellEnd"/>
      <w:r>
        <w:t xml:space="preserve"> expenditure priorities at sub-sector level.  </w:t>
      </w:r>
      <w:r w:rsidR="00312609">
        <w:t>A</w:t>
      </w:r>
      <w:r>
        <w:t>ctual expenditure data for the period 2008-2011, also presented below, are broadly consistent with overall trends derived from the original budget data.</w:t>
      </w:r>
    </w:p>
    <w:p w:rsidR="0095650B" w:rsidRDefault="0095650B" w:rsidP="0095650B">
      <w:pPr>
        <w:jc w:val="both"/>
      </w:pPr>
    </w:p>
    <w:p w:rsidR="0095650B" w:rsidRDefault="0095650B" w:rsidP="0095650B">
      <w:pPr>
        <w:jc w:val="both"/>
      </w:pPr>
      <w:r>
        <w:t xml:space="preserve">Figure </w:t>
      </w:r>
      <w:r w:rsidR="000F65C3">
        <w:t>3</w:t>
      </w:r>
      <w:r>
        <w:t xml:space="preserve"> charts the declining share of </w:t>
      </w:r>
      <w:proofErr w:type="spellStart"/>
      <w:r>
        <w:t>MoE’s</w:t>
      </w:r>
      <w:proofErr w:type="spellEnd"/>
      <w:r>
        <w:t xml:space="preserve"> direct expenditure on primary and secondary schooling and the increasing share of expenditure on post-secondary education within the total. </w:t>
      </w:r>
    </w:p>
    <w:p w:rsidR="0095650B" w:rsidRDefault="0095650B" w:rsidP="0095650B">
      <w:pPr>
        <w:jc w:val="both"/>
      </w:pPr>
    </w:p>
    <w:tbl>
      <w:tblPr>
        <w:tblStyle w:val="TableGrid"/>
        <w:tblW w:w="8505" w:type="dxa"/>
        <w:jc w:val="center"/>
        <w:tblLook w:val="04A0" w:firstRow="1" w:lastRow="0" w:firstColumn="1" w:lastColumn="0" w:noHBand="0" w:noVBand="1"/>
        <w:tblCaption w:val="Figure 3: Sub sector shares of MoE original budgets 2006-2012 "/>
        <w:tblDescription w:val="graph"/>
      </w:tblPr>
      <w:tblGrid>
        <w:gridCol w:w="8505"/>
      </w:tblGrid>
      <w:tr w:rsidR="0095650B" w:rsidTr="00D339A4">
        <w:trPr>
          <w:tblHeader/>
          <w:jc w:val="center"/>
        </w:trPr>
        <w:tc>
          <w:tcPr>
            <w:tcW w:w="8505" w:type="dxa"/>
            <w:shd w:val="clear" w:color="auto" w:fill="BFBFBF" w:themeFill="background1" w:themeFillShade="BF"/>
          </w:tcPr>
          <w:p w:rsidR="0095650B" w:rsidRDefault="0095650B" w:rsidP="000F65C3">
            <w:pPr>
              <w:jc w:val="both"/>
            </w:pPr>
            <w:r>
              <w:t xml:space="preserve">Figure </w:t>
            </w:r>
            <w:r w:rsidR="000F65C3">
              <w:t>3</w:t>
            </w:r>
            <w:r>
              <w:t xml:space="preserve">: Sub sector shares of </w:t>
            </w:r>
            <w:proofErr w:type="spellStart"/>
            <w:r>
              <w:t>MoE</w:t>
            </w:r>
            <w:proofErr w:type="spellEnd"/>
            <w:r>
              <w:t xml:space="preserve"> original budgets 2006-2012 </w:t>
            </w:r>
          </w:p>
        </w:tc>
      </w:tr>
      <w:tr w:rsidR="0095650B" w:rsidTr="00C05FAA">
        <w:trPr>
          <w:jc w:val="center"/>
        </w:trPr>
        <w:tc>
          <w:tcPr>
            <w:tcW w:w="8505" w:type="dxa"/>
          </w:tcPr>
          <w:p w:rsidR="0095650B" w:rsidRDefault="0095650B" w:rsidP="00C05FAA">
            <w:pPr>
              <w:jc w:val="both"/>
              <w:rPr>
                <w:noProof/>
                <w:lang w:eastAsia="en-AU"/>
              </w:rPr>
            </w:pPr>
          </w:p>
          <w:p w:rsidR="0095650B" w:rsidRDefault="0095650B" w:rsidP="00C05FAA">
            <w:pPr>
              <w:jc w:val="center"/>
            </w:pPr>
            <w:r>
              <w:rPr>
                <w:noProof/>
                <w:lang w:eastAsia="en-AU"/>
              </w:rPr>
              <w:drawing>
                <wp:inline distT="0" distB="0" distL="0" distR="0" wp14:anchorId="3B987F03" wp14:editId="644D68E2">
                  <wp:extent cx="3905250" cy="2724150"/>
                  <wp:effectExtent l="0" t="0" r="0" b="0"/>
                  <wp:docPr id="5" name="Picture 2" descr="graph" title="Figure 3: Sub sector shares of MoE original budgets 2006-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905250" cy="2724150"/>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C05FAA">
        <w:trPr>
          <w:jc w:val="center"/>
        </w:trPr>
        <w:tc>
          <w:tcPr>
            <w:tcW w:w="8505" w:type="dxa"/>
          </w:tcPr>
          <w:p w:rsidR="0095650B" w:rsidRDefault="0095650B" w:rsidP="00C05FAA">
            <w:pPr>
              <w:jc w:val="both"/>
            </w:pPr>
            <w:r>
              <w:t xml:space="preserve">Note: </w:t>
            </w:r>
            <w:proofErr w:type="spellStart"/>
            <w:r>
              <w:t>MoE</w:t>
            </w:r>
            <w:proofErr w:type="spellEnd"/>
            <w:r>
              <w:t xml:space="preserve"> budgets for Executive Management and Corporate Services have not been allocated to the three sub sectors.  </w:t>
            </w:r>
          </w:p>
          <w:p w:rsidR="0095650B" w:rsidRDefault="0095650B" w:rsidP="00C05FAA">
            <w:pPr>
              <w:jc w:val="both"/>
            </w:pPr>
            <w:r>
              <w:t xml:space="preserve">Source: Derived from dissections of </w:t>
            </w:r>
            <w:proofErr w:type="spellStart"/>
            <w:r>
              <w:t>MoE</w:t>
            </w:r>
            <w:proofErr w:type="spellEnd"/>
            <w:r>
              <w:t xml:space="preserve"> original budgets as given in Volume 2 of the </w:t>
            </w:r>
            <w:proofErr w:type="spellStart"/>
            <w:r>
              <w:t>GoV</w:t>
            </w:r>
            <w:proofErr w:type="spellEnd"/>
            <w:r>
              <w:t xml:space="preserve"> annual budget documents.</w:t>
            </w:r>
          </w:p>
        </w:tc>
      </w:tr>
    </w:tbl>
    <w:p w:rsidR="0095650B" w:rsidRDefault="0095650B" w:rsidP="0095650B">
      <w:pPr>
        <w:jc w:val="both"/>
      </w:pPr>
      <w:r>
        <w:t xml:space="preserve">  </w:t>
      </w:r>
    </w:p>
    <w:p w:rsidR="0095650B" w:rsidRDefault="0095650B" w:rsidP="0095650B">
      <w:pPr>
        <w:jc w:val="both"/>
      </w:pPr>
      <w:r>
        <w:t xml:space="preserve">The declining share of the primary and secondary sub-sectors in </w:t>
      </w:r>
      <w:proofErr w:type="spellStart"/>
      <w:r>
        <w:t>MoE</w:t>
      </w:r>
      <w:proofErr w:type="spellEnd"/>
      <w:r>
        <w:t xml:space="preserve"> budgets is consistent with the picture presented by trends in actual expenditure - see Table </w:t>
      </w:r>
      <w:r w:rsidR="00C03572">
        <w:t>12</w:t>
      </w:r>
      <w:r>
        <w:t>.</w:t>
      </w:r>
    </w:p>
    <w:p w:rsidR="006A3CDF" w:rsidRDefault="006A3CDF" w:rsidP="0095650B">
      <w:pPr>
        <w:jc w:val="both"/>
      </w:pPr>
    </w:p>
    <w:tbl>
      <w:tblPr>
        <w:tblStyle w:val="TableGrid"/>
        <w:tblW w:w="8505" w:type="dxa"/>
        <w:jc w:val="center"/>
        <w:tblLook w:val="04A0" w:firstRow="1" w:lastRow="0" w:firstColumn="1" w:lastColumn="0" w:noHBand="0" w:noVBand="1"/>
        <w:tblCaption w:val="Table 12: MoE sub-sector shares of actual expenditure 2008-2011"/>
        <w:tblDescription w:val="Broken down by sub-sector"/>
      </w:tblPr>
      <w:tblGrid>
        <w:gridCol w:w="2813"/>
        <w:gridCol w:w="1423"/>
        <w:gridCol w:w="1423"/>
        <w:gridCol w:w="1423"/>
        <w:gridCol w:w="1423"/>
      </w:tblGrid>
      <w:tr w:rsidR="0095650B" w:rsidTr="00D339A4">
        <w:trPr>
          <w:tblHeader/>
          <w:jc w:val="center"/>
        </w:trPr>
        <w:tc>
          <w:tcPr>
            <w:tcW w:w="9570" w:type="dxa"/>
            <w:gridSpan w:val="5"/>
            <w:shd w:val="clear" w:color="auto" w:fill="BFBFBF" w:themeFill="background1" w:themeFillShade="BF"/>
          </w:tcPr>
          <w:p w:rsidR="0095650B" w:rsidRDefault="0095650B" w:rsidP="00C03572">
            <w:pPr>
              <w:jc w:val="both"/>
            </w:pPr>
            <w:r>
              <w:t xml:space="preserve">Table </w:t>
            </w:r>
            <w:r w:rsidR="00C03572">
              <w:t>12</w:t>
            </w:r>
            <w:r>
              <w:t xml:space="preserve">: </w:t>
            </w:r>
            <w:proofErr w:type="spellStart"/>
            <w:r>
              <w:t>MoE</w:t>
            </w:r>
            <w:proofErr w:type="spellEnd"/>
            <w:r>
              <w:t xml:space="preserve"> sub-sector shares of actual expenditure 2008-2011</w:t>
            </w:r>
          </w:p>
        </w:tc>
      </w:tr>
      <w:tr w:rsidR="0095650B" w:rsidTr="00C05FAA">
        <w:trPr>
          <w:jc w:val="center"/>
        </w:trPr>
        <w:tc>
          <w:tcPr>
            <w:tcW w:w="3190" w:type="dxa"/>
          </w:tcPr>
          <w:p w:rsidR="0095650B" w:rsidRDefault="0095650B" w:rsidP="00C05FAA">
            <w:pPr>
              <w:jc w:val="both"/>
            </w:pPr>
          </w:p>
        </w:tc>
        <w:tc>
          <w:tcPr>
            <w:tcW w:w="1595" w:type="dxa"/>
          </w:tcPr>
          <w:p w:rsidR="0095650B" w:rsidRDefault="0095650B" w:rsidP="00C05FAA">
            <w:pPr>
              <w:jc w:val="center"/>
            </w:pPr>
            <w:r>
              <w:t>2008</w:t>
            </w:r>
          </w:p>
          <w:p w:rsidR="0095650B" w:rsidRDefault="0095650B" w:rsidP="00C05FAA">
            <w:pPr>
              <w:jc w:val="center"/>
            </w:pPr>
            <w:r>
              <w:t>(%)</w:t>
            </w:r>
          </w:p>
        </w:tc>
        <w:tc>
          <w:tcPr>
            <w:tcW w:w="1595" w:type="dxa"/>
          </w:tcPr>
          <w:p w:rsidR="0095650B" w:rsidRDefault="0095650B" w:rsidP="00C05FAA">
            <w:pPr>
              <w:jc w:val="center"/>
            </w:pPr>
            <w:r>
              <w:t>2009</w:t>
            </w:r>
          </w:p>
          <w:p w:rsidR="0095650B" w:rsidRDefault="0095650B" w:rsidP="00C05FAA">
            <w:pPr>
              <w:jc w:val="center"/>
            </w:pPr>
            <w:r>
              <w:t>(%)</w:t>
            </w:r>
          </w:p>
        </w:tc>
        <w:tc>
          <w:tcPr>
            <w:tcW w:w="1595" w:type="dxa"/>
          </w:tcPr>
          <w:p w:rsidR="0095650B" w:rsidRDefault="0095650B" w:rsidP="00C05FAA">
            <w:pPr>
              <w:jc w:val="center"/>
            </w:pPr>
            <w:r>
              <w:t>2010</w:t>
            </w:r>
          </w:p>
          <w:p w:rsidR="0095650B" w:rsidRDefault="0095650B" w:rsidP="00C05FAA">
            <w:pPr>
              <w:jc w:val="center"/>
            </w:pPr>
            <w:r>
              <w:t>(%)</w:t>
            </w:r>
          </w:p>
        </w:tc>
        <w:tc>
          <w:tcPr>
            <w:tcW w:w="1595" w:type="dxa"/>
          </w:tcPr>
          <w:p w:rsidR="0095650B" w:rsidRDefault="0095650B" w:rsidP="00C05FAA">
            <w:pPr>
              <w:jc w:val="center"/>
            </w:pPr>
            <w:r>
              <w:t>2011</w:t>
            </w:r>
          </w:p>
          <w:p w:rsidR="0095650B" w:rsidRDefault="0095650B" w:rsidP="00C05FAA">
            <w:pPr>
              <w:jc w:val="center"/>
            </w:pPr>
            <w:r>
              <w:t>(%)</w:t>
            </w:r>
          </w:p>
        </w:tc>
      </w:tr>
      <w:tr w:rsidR="0095650B" w:rsidTr="00C05FAA">
        <w:trPr>
          <w:jc w:val="center"/>
        </w:trPr>
        <w:tc>
          <w:tcPr>
            <w:tcW w:w="3190" w:type="dxa"/>
          </w:tcPr>
          <w:p w:rsidR="0095650B" w:rsidRDefault="0095650B" w:rsidP="00C05FAA">
            <w:pPr>
              <w:jc w:val="both"/>
            </w:pPr>
            <w:r>
              <w:t>Primary schools</w:t>
            </w:r>
          </w:p>
        </w:tc>
        <w:tc>
          <w:tcPr>
            <w:tcW w:w="1595" w:type="dxa"/>
          </w:tcPr>
          <w:p w:rsidR="0095650B" w:rsidRDefault="0095650B" w:rsidP="00C05FAA">
            <w:pPr>
              <w:jc w:val="center"/>
            </w:pPr>
            <w:r>
              <w:t>51.6</w:t>
            </w:r>
          </w:p>
        </w:tc>
        <w:tc>
          <w:tcPr>
            <w:tcW w:w="1595" w:type="dxa"/>
          </w:tcPr>
          <w:p w:rsidR="0095650B" w:rsidRDefault="0095650B" w:rsidP="00C05FAA">
            <w:pPr>
              <w:jc w:val="center"/>
            </w:pPr>
            <w:r>
              <w:t>50.7</w:t>
            </w:r>
          </w:p>
        </w:tc>
        <w:tc>
          <w:tcPr>
            <w:tcW w:w="1595" w:type="dxa"/>
          </w:tcPr>
          <w:p w:rsidR="0095650B" w:rsidRDefault="0095650B" w:rsidP="00C05FAA">
            <w:pPr>
              <w:jc w:val="center"/>
            </w:pPr>
            <w:r>
              <w:t>48.0</w:t>
            </w:r>
          </w:p>
        </w:tc>
        <w:tc>
          <w:tcPr>
            <w:tcW w:w="1595" w:type="dxa"/>
          </w:tcPr>
          <w:p w:rsidR="0095650B" w:rsidRDefault="0095650B" w:rsidP="00C05FAA">
            <w:pPr>
              <w:jc w:val="center"/>
            </w:pPr>
            <w:r>
              <w:t>46.9</w:t>
            </w:r>
          </w:p>
        </w:tc>
      </w:tr>
      <w:tr w:rsidR="0095650B" w:rsidTr="00C05FAA">
        <w:trPr>
          <w:jc w:val="center"/>
        </w:trPr>
        <w:tc>
          <w:tcPr>
            <w:tcW w:w="3190" w:type="dxa"/>
          </w:tcPr>
          <w:p w:rsidR="0095650B" w:rsidRDefault="0095650B" w:rsidP="00C05FAA">
            <w:pPr>
              <w:jc w:val="both"/>
            </w:pPr>
            <w:r>
              <w:t>Secondary schools</w:t>
            </w:r>
          </w:p>
        </w:tc>
        <w:tc>
          <w:tcPr>
            <w:tcW w:w="1595" w:type="dxa"/>
          </w:tcPr>
          <w:p w:rsidR="0095650B" w:rsidRDefault="0095650B" w:rsidP="00C05FAA">
            <w:pPr>
              <w:jc w:val="center"/>
            </w:pPr>
            <w:r>
              <w:t>30.8</w:t>
            </w:r>
          </w:p>
        </w:tc>
        <w:tc>
          <w:tcPr>
            <w:tcW w:w="1595" w:type="dxa"/>
          </w:tcPr>
          <w:p w:rsidR="0095650B" w:rsidRDefault="0095650B" w:rsidP="00C05FAA">
            <w:pPr>
              <w:jc w:val="center"/>
            </w:pPr>
            <w:r>
              <w:t>30.7</w:t>
            </w:r>
          </w:p>
        </w:tc>
        <w:tc>
          <w:tcPr>
            <w:tcW w:w="1595" w:type="dxa"/>
          </w:tcPr>
          <w:p w:rsidR="0095650B" w:rsidRDefault="0095650B" w:rsidP="00C05FAA">
            <w:pPr>
              <w:jc w:val="center"/>
            </w:pPr>
            <w:r>
              <w:t>27.9</w:t>
            </w:r>
          </w:p>
        </w:tc>
        <w:tc>
          <w:tcPr>
            <w:tcW w:w="1595" w:type="dxa"/>
          </w:tcPr>
          <w:p w:rsidR="0095650B" w:rsidRDefault="0095650B" w:rsidP="00C05FAA">
            <w:pPr>
              <w:jc w:val="center"/>
            </w:pPr>
            <w:r>
              <w:t>28.4</w:t>
            </w:r>
          </w:p>
        </w:tc>
      </w:tr>
      <w:tr w:rsidR="0095650B" w:rsidTr="00C05FAA">
        <w:trPr>
          <w:jc w:val="center"/>
        </w:trPr>
        <w:tc>
          <w:tcPr>
            <w:tcW w:w="3190" w:type="dxa"/>
          </w:tcPr>
          <w:p w:rsidR="0095650B" w:rsidRDefault="0095650B" w:rsidP="00C05FAA">
            <w:pPr>
              <w:jc w:val="both"/>
            </w:pPr>
            <w:proofErr w:type="spellStart"/>
            <w:r>
              <w:t>Post secondary</w:t>
            </w:r>
            <w:proofErr w:type="spellEnd"/>
          </w:p>
        </w:tc>
        <w:tc>
          <w:tcPr>
            <w:tcW w:w="1595" w:type="dxa"/>
          </w:tcPr>
          <w:p w:rsidR="0095650B" w:rsidRDefault="0095650B" w:rsidP="00C05FAA">
            <w:pPr>
              <w:jc w:val="center"/>
            </w:pPr>
            <w:r>
              <w:t>4.7</w:t>
            </w:r>
          </w:p>
        </w:tc>
        <w:tc>
          <w:tcPr>
            <w:tcW w:w="1595" w:type="dxa"/>
          </w:tcPr>
          <w:p w:rsidR="0095650B" w:rsidRDefault="0095650B" w:rsidP="00C05FAA">
            <w:pPr>
              <w:jc w:val="center"/>
            </w:pPr>
            <w:r>
              <w:t>5.6</w:t>
            </w:r>
          </w:p>
        </w:tc>
        <w:tc>
          <w:tcPr>
            <w:tcW w:w="1595" w:type="dxa"/>
          </w:tcPr>
          <w:p w:rsidR="0095650B" w:rsidRDefault="0095650B" w:rsidP="00C05FAA">
            <w:pPr>
              <w:jc w:val="center"/>
            </w:pPr>
            <w:r>
              <w:t>4.7</w:t>
            </w:r>
          </w:p>
        </w:tc>
        <w:tc>
          <w:tcPr>
            <w:tcW w:w="1595" w:type="dxa"/>
          </w:tcPr>
          <w:p w:rsidR="0095650B" w:rsidRDefault="0095650B" w:rsidP="00C05FAA">
            <w:pPr>
              <w:jc w:val="center"/>
            </w:pPr>
            <w:r>
              <w:t>13.4</w:t>
            </w:r>
          </w:p>
        </w:tc>
      </w:tr>
      <w:tr w:rsidR="0095650B" w:rsidTr="00C05FAA">
        <w:trPr>
          <w:jc w:val="center"/>
        </w:trPr>
        <w:tc>
          <w:tcPr>
            <w:tcW w:w="3190" w:type="dxa"/>
          </w:tcPr>
          <w:p w:rsidR="0095650B" w:rsidRDefault="0095650B" w:rsidP="00C05FAA">
            <w:pPr>
              <w:jc w:val="both"/>
            </w:pPr>
            <w:r>
              <w:t>Support services</w:t>
            </w:r>
          </w:p>
        </w:tc>
        <w:tc>
          <w:tcPr>
            <w:tcW w:w="1595" w:type="dxa"/>
          </w:tcPr>
          <w:p w:rsidR="0095650B" w:rsidRDefault="0095650B" w:rsidP="00C05FAA">
            <w:pPr>
              <w:jc w:val="center"/>
            </w:pPr>
            <w:r>
              <w:t>12.9</w:t>
            </w:r>
          </w:p>
        </w:tc>
        <w:tc>
          <w:tcPr>
            <w:tcW w:w="1595" w:type="dxa"/>
          </w:tcPr>
          <w:p w:rsidR="0095650B" w:rsidRDefault="0095650B" w:rsidP="00C05FAA">
            <w:pPr>
              <w:jc w:val="center"/>
            </w:pPr>
            <w:r>
              <w:t>13.1</w:t>
            </w:r>
          </w:p>
        </w:tc>
        <w:tc>
          <w:tcPr>
            <w:tcW w:w="1595" w:type="dxa"/>
          </w:tcPr>
          <w:p w:rsidR="0095650B" w:rsidRDefault="0095650B" w:rsidP="00C05FAA">
            <w:pPr>
              <w:jc w:val="center"/>
            </w:pPr>
            <w:r>
              <w:t>19.4</w:t>
            </w:r>
          </w:p>
        </w:tc>
        <w:tc>
          <w:tcPr>
            <w:tcW w:w="1595" w:type="dxa"/>
          </w:tcPr>
          <w:p w:rsidR="0095650B" w:rsidRDefault="0095650B" w:rsidP="00C05FAA">
            <w:pPr>
              <w:jc w:val="center"/>
            </w:pPr>
            <w:r>
              <w:t>11.3</w:t>
            </w:r>
          </w:p>
        </w:tc>
      </w:tr>
      <w:tr w:rsidR="0095650B" w:rsidTr="00C05FAA">
        <w:trPr>
          <w:jc w:val="center"/>
        </w:trPr>
        <w:tc>
          <w:tcPr>
            <w:tcW w:w="9570" w:type="dxa"/>
            <w:gridSpan w:val="5"/>
          </w:tcPr>
          <w:p w:rsidR="00C77093" w:rsidRDefault="0095650B">
            <w:r>
              <w:t xml:space="preserve">Source: Derived from MFEM </w:t>
            </w:r>
            <w:r>
              <w:rPr>
                <w:szCs w:val="24"/>
              </w:rPr>
              <w:t xml:space="preserve">Finance Regulation 2.2 annual reports 2011 and 2012.  </w:t>
            </w:r>
          </w:p>
        </w:tc>
      </w:tr>
    </w:tbl>
    <w:p w:rsidR="0095650B" w:rsidRDefault="0095650B" w:rsidP="0095650B">
      <w:pPr>
        <w:jc w:val="both"/>
      </w:pPr>
    </w:p>
    <w:p w:rsidR="006425FC" w:rsidRDefault="0095650B" w:rsidP="0095650B">
      <w:pPr>
        <w:jc w:val="both"/>
      </w:pPr>
      <w:r>
        <w:t xml:space="preserve">Over the same period, 2008-2011, actual expenditure per pupil enrolee in the primary and secondary sub-sectors trended downwards in real terms - see Figure </w:t>
      </w:r>
      <w:r w:rsidR="00C03572">
        <w:t>4</w:t>
      </w:r>
      <w:r w:rsidR="00312609">
        <w:t xml:space="preserve"> (next page)</w:t>
      </w:r>
      <w:r>
        <w:t>.</w:t>
      </w:r>
    </w:p>
    <w:p w:rsidR="006425FC" w:rsidRDefault="006425FC" w:rsidP="0095650B">
      <w:pPr>
        <w:jc w:val="both"/>
      </w:pPr>
    </w:p>
    <w:p w:rsidR="0095650B" w:rsidRDefault="006425FC" w:rsidP="0095650B">
      <w:pPr>
        <w:jc w:val="both"/>
      </w:pPr>
      <w:proofErr w:type="gramStart"/>
      <w:r>
        <w:t xml:space="preserve">Given these trends the increasing share of the </w:t>
      </w:r>
      <w:proofErr w:type="spellStart"/>
      <w:r>
        <w:t>post secondary</w:t>
      </w:r>
      <w:proofErr w:type="spellEnd"/>
      <w:r>
        <w:t xml:space="preserve"> sub sector in </w:t>
      </w:r>
      <w:proofErr w:type="spellStart"/>
      <w:r>
        <w:t>MoE’s</w:t>
      </w:r>
      <w:proofErr w:type="spellEnd"/>
      <w:r>
        <w:t xml:space="preserve"> budgets and actual expenditure merits further examination.</w:t>
      </w:r>
      <w:proofErr w:type="gramEnd"/>
      <w:r>
        <w:t xml:space="preserve">  Under </w:t>
      </w:r>
      <w:proofErr w:type="spellStart"/>
      <w:r>
        <w:t>MoE’s</w:t>
      </w:r>
      <w:proofErr w:type="spellEnd"/>
      <w:r>
        <w:t xml:space="preserve"> program structure the </w:t>
      </w:r>
      <w:proofErr w:type="spellStart"/>
      <w:r>
        <w:t>post secondary</w:t>
      </w:r>
      <w:proofErr w:type="spellEnd"/>
      <w:r>
        <w:t xml:space="preserve"> sub sector comprises three main elements, namely spending on the Vanuatu Institute of Technology, the Vanuatu Institute for Teacher Education, and </w:t>
      </w:r>
      <w:proofErr w:type="spellStart"/>
      <w:r>
        <w:t>GoV</w:t>
      </w:r>
      <w:proofErr w:type="spellEnd"/>
      <w:r>
        <w:t xml:space="preserve">-funded scholarships (including funding of the Scholarships Unit within </w:t>
      </w:r>
      <w:proofErr w:type="spellStart"/>
      <w:r>
        <w:t>MoE</w:t>
      </w:r>
      <w:proofErr w:type="spellEnd"/>
      <w:r>
        <w:t>).</w:t>
      </w:r>
    </w:p>
    <w:p w:rsidR="00312609" w:rsidRDefault="00312609" w:rsidP="0095650B">
      <w:pPr>
        <w:jc w:val="both"/>
      </w:pPr>
    </w:p>
    <w:tbl>
      <w:tblPr>
        <w:tblStyle w:val="TableGrid"/>
        <w:tblW w:w="8505" w:type="dxa"/>
        <w:jc w:val="center"/>
        <w:tblLook w:val="04A0" w:firstRow="1" w:lastRow="0" w:firstColumn="1" w:lastColumn="0" w:noHBand="0" w:noVBand="1"/>
        <w:tblCaption w:val="Figure 4: Direct actual MoE expenditure per enrolee at constant (2006) prices,  GoV and Government Assisted schools, 2008-11 "/>
        <w:tblDescription w:val="graph"/>
      </w:tblPr>
      <w:tblGrid>
        <w:gridCol w:w="8505"/>
      </w:tblGrid>
      <w:tr w:rsidR="0095650B" w:rsidTr="00D339A4">
        <w:trPr>
          <w:tblHeader/>
          <w:jc w:val="center"/>
        </w:trPr>
        <w:tc>
          <w:tcPr>
            <w:tcW w:w="8505" w:type="dxa"/>
            <w:shd w:val="clear" w:color="auto" w:fill="BFBFBF" w:themeFill="background1" w:themeFillShade="BF"/>
          </w:tcPr>
          <w:p w:rsidR="0095650B" w:rsidRDefault="0095650B" w:rsidP="00C03572">
            <w:r>
              <w:lastRenderedPageBreak/>
              <w:t xml:space="preserve">Figure </w:t>
            </w:r>
            <w:r w:rsidR="00C03572">
              <w:t>4</w:t>
            </w:r>
            <w:r>
              <w:t xml:space="preserve">: </w:t>
            </w:r>
            <w:r w:rsidRPr="002E726A">
              <w:t xml:space="preserve">Direct actual </w:t>
            </w:r>
            <w:proofErr w:type="spellStart"/>
            <w:r>
              <w:t>MoE</w:t>
            </w:r>
            <w:proofErr w:type="spellEnd"/>
            <w:r>
              <w:t xml:space="preserve"> </w:t>
            </w:r>
            <w:r w:rsidRPr="002E726A">
              <w:t xml:space="preserve">expenditure per enrolee at constant (2006) prices,  </w:t>
            </w:r>
            <w:proofErr w:type="spellStart"/>
            <w:r w:rsidRPr="002E726A">
              <w:t>GoV</w:t>
            </w:r>
            <w:proofErr w:type="spellEnd"/>
            <w:r w:rsidRPr="002E726A">
              <w:t xml:space="preserve"> and Government Assisted schools, 2008-11 </w:t>
            </w:r>
          </w:p>
        </w:tc>
      </w:tr>
      <w:tr w:rsidR="0095650B" w:rsidTr="00C05FAA">
        <w:trPr>
          <w:jc w:val="center"/>
        </w:trPr>
        <w:tc>
          <w:tcPr>
            <w:tcW w:w="8505" w:type="dxa"/>
          </w:tcPr>
          <w:p w:rsidR="0095650B" w:rsidRDefault="0095650B" w:rsidP="00C05FAA">
            <w:pPr>
              <w:jc w:val="both"/>
            </w:pPr>
          </w:p>
          <w:p w:rsidR="0095650B" w:rsidRDefault="0095650B" w:rsidP="00C05FAA">
            <w:pPr>
              <w:jc w:val="center"/>
            </w:pPr>
            <w:r>
              <w:rPr>
                <w:noProof/>
                <w:lang w:eastAsia="en-AU"/>
              </w:rPr>
              <w:drawing>
                <wp:inline distT="0" distB="0" distL="0" distR="0" wp14:anchorId="08BD9B4B" wp14:editId="6CFB4304">
                  <wp:extent cx="3295650" cy="2171700"/>
                  <wp:effectExtent l="0" t="0" r="0" b="0"/>
                  <wp:docPr id="3" name="Picture 8" descr="graph" title="Figure 4: Direct actual MoE expenditure per enrolee at constant (2006) prices,  GoV and Government Assisted schools, 2008-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295650" cy="2171700"/>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C05FAA">
        <w:trPr>
          <w:jc w:val="center"/>
        </w:trPr>
        <w:tc>
          <w:tcPr>
            <w:tcW w:w="8505" w:type="dxa"/>
          </w:tcPr>
          <w:p w:rsidR="0095650B" w:rsidRDefault="0095650B" w:rsidP="00C05FAA">
            <w:pPr>
              <w:jc w:val="both"/>
            </w:pPr>
            <w:r>
              <w:t xml:space="preserve">Sources: GDP Price Deflator from ADB Key Indicators for Asia and the Pacific.  Enrolments data from VEMIS.  Expenditure data from MFEM </w:t>
            </w:r>
            <w:r>
              <w:rPr>
                <w:szCs w:val="24"/>
              </w:rPr>
              <w:t xml:space="preserve">Finance Regulation 2.2 annual reports prepared 2011 and 2012.  </w:t>
            </w:r>
          </w:p>
        </w:tc>
      </w:tr>
    </w:tbl>
    <w:p w:rsidR="0095650B" w:rsidRDefault="0095650B" w:rsidP="0095650B">
      <w:pPr>
        <w:jc w:val="both"/>
      </w:pPr>
      <w:r>
        <w:t xml:space="preserve">  </w:t>
      </w:r>
    </w:p>
    <w:p w:rsidR="00743573" w:rsidRDefault="0095650B" w:rsidP="0095650B">
      <w:pPr>
        <w:jc w:val="both"/>
      </w:pPr>
      <w:r>
        <w:t xml:space="preserve">It is apparent that the increasing share of the </w:t>
      </w:r>
      <w:proofErr w:type="spellStart"/>
      <w:r>
        <w:t>post secondary</w:t>
      </w:r>
      <w:proofErr w:type="spellEnd"/>
      <w:r>
        <w:t xml:space="preserve"> sub sector in </w:t>
      </w:r>
      <w:proofErr w:type="spellStart"/>
      <w:r>
        <w:t>MoE</w:t>
      </w:r>
      <w:proofErr w:type="spellEnd"/>
      <w:r>
        <w:t xml:space="preserve"> budgets has been entirely attributable to the growth of spending on </w:t>
      </w:r>
      <w:proofErr w:type="spellStart"/>
      <w:r>
        <w:t>GoV</w:t>
      </w:r>
      <w:proofErr w:type="spellEnd"/>
      <w:r>
        <w:t xml:space="preserve">-funded scholarships - see Figure </w:t>
      </w:r>
      <w:r w:rsidR="00C03572">
        <w:t>5</w:t>
      </w:r>
      <w:r w:rsidR="000F1953">
        <w:t>.</w:t>
      </w:r>
      <w:r>
        <w:t xml:space="preserve">  Moreover Figure </w:t>
      </w:r>
      <w:r w:rsidR="00681BBB">
        <w:t>5</w:t>
      </w:r>
      <w:r>
        <w:t xml:space="preserve"> understates the scale of the shift to spending commitments for scholarships.  In 2012 some VT270 million was originally appropriated for </w:t>
      </w:r>
      <w:proofErr w:type="spellStart"/>
      <w:r>
        <w:t>GoV</w:t>
      </w:r>
      <w:proofErr w:type="spellEnd"/>
      <w:r>
        <w:t>-funded scholarships.  It has since been estimated that a total of some VT520 million is needed to cater for 222 ongoing students (of whom 59 are expected to graduate in 2012) and a new intake of 178 students in 2012 (see also Section 2.2).</w:t>
      </w:r>
    </w:p>
    <w:p w:rsidR="00743573" w:rsidRDefault="00743573" w:rsidP="0095650B">
      <w:pPr>
        <w:jc w:val="both"/>
      </w:pPr>
    </w:p>
    <w:tbl>
      <w:tblPr>
        <w:tblStyle w:val="TableGrid"/>
        <w:tblW w:w="8505" w:type="dxa"/>
        <w:jc w:val="center"/>
        <w:tblLook w:val="04A0" w:firstRow="1" w:lastRow="0" w:firstColumn="1" w:lastColumn="0" w:noHBand="0" w:noVBand="1"/>
        <w:tblCaption w:val="Figure 5: A closer look at the post secondary sub sector"/>
        <w:tblDescription w:val="graph"/>
      </w:tblPr>
      <w:tblGrid>
        <w:gridCol w:w="8505"/>
      </w:tblGrid>
      <w:tr w:rsidR="0095650B" w:rsidTr="00D339A4">
        <w:trPr>
          <w:tblHeader/>
          <w:jc w:val="center"/>
        </w:trPr>
        <w:tc>
          <w:tcPr>
            <w:tcW w:w="8505" w:type="dxa"/>
            <w:shd w:val="clear" w:color="auto" w:fill="BFBFBF" w:themeFill="background1" w:themeFillShade="BF"/>
          </w:tcPr>
          <w:p w:rsidR="0095650B" w:rsidRDefault="0095650B" w:rsidP="00C03572">
            <w:pPr>
              <w:jc w:val="both"/>
            </w:pPr>
            <w:r>
              <w:t xml:space="preserve">Figure </w:t>
            </w:r>
            <w:r w:rsidR="00C03572">
              <w:t>5</w:t>
            </w:r>
            <w:r>
              <w:t xml:space="preserve">: A closer look at the </w:t>
            </w:r>
            <w:proofErr w:type="spellStart"/>
            <w:r>
              <w:t>post secondary</w:t>
            </w:r>
            <w:proofErr w:type="spellEnd"/>
            <w:r>
              <w:t xml:space="preserve"> sub sector</w:t>
            </w:r>
          </w:p>
        </w:tc>
      </w:tr>
      <w:tr w:rsidR="0095650B" w:rsidTr="00C05FAA">
        <w:trPr>
          <w:jc w:val="center"/>
        </w:trPr>
        <w:tc>
          <w:tcPr>
            <w:tcW w:w="8505" w:type="dxa"/>
          </w:tcPr>
          <w:p w:rsidR="0095650B" w:rsidRDefault="0095650B" w:rsidP="00C05FAA">
            <w:pPr>
              <w:jc w:val="both"/>
            </w:pPr>
          </w:p>
          <w:p w:rsidR="0095650B" w:rsidRDefault="0095650B" w:rsidP="00C05FAA">
            <w:pPr>
              <w:jc w:val="center"/>
            </w:pPr>
            <w:r>
              <w:rPr>
                <w:noProof/>
                <w:lang w:eastAsia="en-AU"/>
              </w:rPr>
              <w:drawing>
                <wp:inline distT="0" distB="0" distL="0" distR="0" wp14:anchorId="7E46E82F" wp14:editId="01465D79">
                  <wp:extent cx="3495675" cy="2190750"/>
                  <wp:effectExtent l="0" t="0" r="9525" b="0"/>
                  <wp:docPr id="4" name="Picture 1" descr="graph" title="Figure 5: A closer look at the post secondary sub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95675" cy="2190750"/>
                          </a:xfrm>
                          <a:prstGeom prst="rect">
                            <a:avLst/>
                          </a:prstGeom>
                          <a:noFill/>
                          <a:ln w="9525">
                            <a:noFill/>
                            <a:miter lim="800000"/>
                            <a:headEnd/>
                            <a:tailEnd/>
                          </a:ln>
                        </pic:spPr>
                      </pic:pic>
                    </a:graphicData>
                  </a:graphic>
                </wp:inline>
              </w:drawing>
            </w:r>
          </w:p>
          <w:p w:rsidR="0095650B" w:rsidRDefault="0095650B" w:rsidP="00C05FAA">
            <w:pPr>
              <w:jc w:val="center"/>
            </w:pPr>
          </w:p>
        </w:tc>
      </w:tr>
      <w:tr w:rsidR="0095650B" w:rsidTr="00C05FAA">
        <w:trPr>
          <w:jc w:val="center"/>
        </w:trPr>
        <w:tc>
          <w:tcPr>
            <w:tcW w:w="8505" w:type="dxa"/>
          </w:tcPr>
          <w:p w:rsidR="0095650B" w:rsidRDefault="0095650B" w:rsidP="00C05FAA">
            <w:pPr>
              <w:jc w:val="both"/>
            </w:pPr>
            <w:r>
              <w:t xml:space="preserve">Source: Derived from dissection of </w:t>
            </w:r>
            <w:proofErr w:type="spellStart"/>
            <w:r>
              <w:t>MoE</w:t>
            </w:r>
            <w:proofErr w:type="spellEnd"/>
            <w:r>
              <w:t xml:space="preserve"> original budgets 2006-2012.</w:t>
            </w:r>
          </w:p>
        </w:tc>
      </w:tr>
    </w:tbl>
    <w:p w:rsidR="000F1953" w:rsidRDefault="000F1953" w:rsidP="0095650B">
      <w:pPr>
        <w:jc w:val="both"/>
      </w:pPr>
    </w:p>
    <w:p w:rsidR="0095650B" w:rsidRDefault="000F1953" w:rsidP="0095650B">
      <w:pPr>
        <w:jc w:val="both"/>
      </w:pPr>
      <w:r>
        <w:t xml:space="preserve">It may be speculated that the relative decline in </w:t>
      </w:r>
      <w:proofErr w:type="spellStart"/>
      <w:r>
        <w:t>MoE</w:t>
      </w:r>
      <w:proofErr w:type="spellEnd"/>
      <w:r>
        <w:t xml:space="preserve"> funding of VIT and VITE has been enabled, at least in part, by substantial funding of VITE in particular by the Pool Partners under the VERM - a possible example of the ‘</w:t>
      </w:r>
      <w:proofErr w:type="spellStart"/>
      <w:r>
        <w:t>fungibility</w:t>
      </w:r>
      <w:proofErr w:type="spellEnd"/>
      <w:r>
        <w:t>’ of development partner funding.</w:t>
      </w:r>
      <w:r>
        <w:rPr>
          <w:rStyle w:val="FootnoteReference"/>
        </w:rPr>
        <w:footnoteReference w:id="18"/>
      </w:r>
      <w:r w:rsidR="0095650B">
        <w:t xml:space="preserve">Trends in </w:t>
      </w:r>
      <w:r w:rsidR="0095650B">
        <w:lastRenderedPageBreak/>
        <w:t xml:space="preserve">the composition of </w:t>
      </w:r>
      <w:proofErr w:type="spellStart"/>
      <w:r w:rsidR="0095650B">
        <w:t>MoE</w:t>
      </w:r>
      <w:proofErr w:type="spellEnd"/>
      <w:r w:rsidR="0095650B">
        <w:t xml:space="preserve"> budgets by economic type indicate a declining share (from 2007) of personal emoluments within total budgets and an increasing share of ‘other goods and services’ and ‘subsidies and transfers’ - see </w:t>
      </w:r>
      <w:r w:rsidR="0095650B" w:rsidRPr="00C03572">
        <w:t xml:space="preserve">Figures </w:t>
      </w:r>
      <w:r w:rsidR="00C03572" w:rsidRPr="00C03572">
        <w:t>6</w:t>
      </w:r>
      <w:r w:rsidR="0095650B" w:rsidRPr="00C03572">
        <w:t xml:space="preserve"> and </w:t>
      </w:r>
      <w:r w:rsidR="00C03572" w:rsidRPr="00C03572">
        <w:t>7</w:t>
      </w:r>
      <w:r w:rsidR="0095650B">
        <w:t xml:space="preserve">.  </w:t>
      </w:r>
      <w:proofErr w:type="spellStart"/>
      <w:r w:rsidR="0095650B">
        <w:t>MoE</w:t>
      </w:r>
      <w:proofErr w:type="spellEnd"/>
      <w:r w:rsidR="0095650B">
        <w:t xml:space="preserve"> budgets for ‘capital expenditure’ are insignificant and do not appear to be allocated for capital expenditure purposes</w:t>
      </w:r>
      <w:r>
        <w:t>.</w:t>
      </w:r>
    </w:p>
    <w:p w:rsidR="0095650B" w:rsidRDefault="0095650B" w:rsidP="0095650B">
      <w:pPr>
        <w:jc w:val="both"/>
      </w:pPr>
    </w:p>
    <w:tbl>
      <w:tblPr>
        <w:tblStyle w:val="TableGrid"/>
        <w:tblW w:w="8505" w:type="dxa"/>
        <w:jc w:val="center"/>
        <w:tblLook w:val="04A0" w:firstRow="1" w:lastRow="0" w:firstColumn="1" w:lastColumn="0" w:noHBand="0" w:noVBand="1"/>
        <w:tblCaption w:val="Figure 6: Percentage shares of MoE original budgets allocated to Personal Emoluments, 2006-2012"/>
        <w:tblDescription w:val="graph showing decline in percentage shares of MoE budget allocated to personal emoluments between 2006 and 2012"/>
      </w:tblPr>
      <w:tblGrid>
        <w:gridCol w:w="8505"/>
      </w:tblGrid>
      <w:tr w:rsidR="0095650B" w:rsidTr="00D339A4">
        <w:trPr>
          <w:tblHeader/>
          <w:jc w:val="center"/>
        </w:trPr>
        <w:tc>
          <w:tcPr>
            <w:tcW w:w="8505" w:type="dxa"/>
            <w:shd w:val="clear" w:color="auto" w:fill="BFBFBF" w:themeFill="background1" w:themeFillShade="BF"/>
          </w:tcPr>
          <w:p w:rsidR="0095650B" w:rsidRDefault="0095650B" w:rsidP="00C03572">
            <w:r>
              <w:t xml:space="preserve">Figure </w:t>
            </w:r>
            <w:r w:rsidR="00C03572">
              <w:t>6</w:t>
            </w:r>
            <w:r>
              <w:t xml:space="preserve">: Percentage shares of </w:t>
            </w:r>
            <w:proofErr w:type="spellStart"/>
            <w:r>
              <w:t>MoE</w:t>
            </w:r>
            <w:proofErr w:type="spellEnd"/>
            <w:r>
              <w:t xml:space="preserve"> original budgets allocated to Personal Emoluments, 2006-2012</w:t>
            </w:r>
          </w:p>
        </w:tc>
      </w:tr>
      <w:tr w:rsidR="0095650B" w:rsidTr="00C05FAA">
        <w:trPr>
          <w:jc w:val="center"/>
        </w:trPr>
        <w:tc>
          <w:tcPr>
            <w:tcW w:w="8505" w:type="dxa"/>
          </w:tcPr>
          <w:p w:rsidR="0095650B" w:rsidRDefault="0095650B" w:rsidP="00C05FAA">
            <w:pPr>
              <w:jc w:val="both"/>
            </w:pPr>
          </w:p>
          <w:p w:rsidR="0095650B" w:rsidRDefault="0095650B" w:rsidP="00C05FAA">
            <w:pPr>
              <w:jc w:val="center"/>
            </w:pPr>
            <w:r>
              <w:rPr>
                <w:noProof/>
                <w:lang w:eastAsia="en-AU"/>
              </w:rPr>
              <w:drawing>
                <wp:inline distT="0" distB="0" distL="0" distR="0" wp14:anchorId="037C8AF5" wp14:editId="5BEB7B9F">
                  <wp:extent cx="4095750" cy="2419350"/>
                  <wp:effectExtent l="0" t="0" r="0" b="0"/>
                  <wp:docPr id="6" name="Picture 3" descr="graph" title="Figure 6: Percentage shares of MoE original budgets allocated to Personal Emoluments, 2006-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095750" cy="2419350"/>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C05FAA">
        <w:trPr>
          <w:jc w:val="center"/>
        </w:trPr>
        <w:tc>
          <w:tcPr>
            <w:tcW w:w="8505" w:type="dxa"/>
          </w:tcPr>
          <w:p w:rsidR="0095650B" w:rsidRDefault="0095650B" w:rsidP="00C05FAA">
            <w:pPr>
              <w:jc w:val="both"/>
            </w:pPr>
            <w:r>
              <w:t xml:space="preserve">Source: Derived from dissection of </w:t>
            </w:r>
            <w:proofErr w:type="spellStart"/>
            <w:r>
              <w:t>MoE</w:t>
            </w:r>
            <w:proofErr w:type="spellEnd"/>
            <w:r>
              <w:t xml:space="preserve"> original budgets 2006-2012.</w:t>
            </w:r>
          </w:p>
        </w:tc>
      </w:tr>
    </w:tbl>
    <w:p w:rsidR="006A3CDF" w:rsidRDefault="0095650B" w:rsidP="0095650B">
      <w:pPr>
        <w:jc w:val="both"/>
      </w:pPr>
      <w:r>
        <w:t xml:space="preserve">  </w:t>
      </w:r>
    </w:p>
    <w:tbl>
      <w:tblPr>
        <w:tblStyle w:val="TableGrid"/>
        <w:tblW w:w="8505" w:type="dxa"/>
        <w:jc w:val="center"/>
        <w:tblLook w:val="04A0" w:firstRow="1" w:lastRow="0" w:firstColumn="1" w:lastColumn="0" w:noHBand="0" w:noVBand="1"/>
        <w:tblCaption w:val="Figure 7: Percentage shares of MoE original budgets allocated to Other Goods/ Services, Subsidies/Transfers and ‘Capital’ Expenditure, 2006-2012"/>
        <w:tblDescription w:val="capital expenditure remains roughly constant over time; subsidies/transfers increase over time; goods and services increase at a faster rate than subsidies/transfers over time"/>
      </w:tblPr>
      <w:tblGrid>
        <w:gridCol w:w="8505"/>
      </w:tblGrid>
      <w:tr w:rsidR="0095650B" w:rsidTr="00D339A4">
        <w:trPr>
          <w:tblHeader/>
          <w:jc w:val="center"/>
        </w:trPr>
        <w:tc>
          <w:tcPr>
            <w:tcW w:w="9570" w:type="dxa"/>
            <w:shd w:val="clear" w:color="auto" w:fill="BFBFBF" w:themeFill="background1" w:themeFillShade="BF"/>
          </w:tcPr>
          <w:p w:rsidR="0095650B" w:rsidRDefault="0095650B" w:rsidP="00C03572">
            <w:r>
              <w:t xml:space="preserve">Figure </w:t>
            </w:r>
            <w:r w:rsidR="00C03572">
              <w:t>7</w:t>
            </w:r>
            <w:r>
              <w:t xml:space="preserve">: Percentage shares of </w:t>
            </w:r>
            <w:proofErr w:type="spellStart"/>
            <w:r>
              <w:t>MoE</w:t>
            </w:r>
            <w:proofErr w:type="spellEnd"/>
            <w:r>
              <w:t xml:space="preserve"> original budgets allocated to Other Goods/ Services, Subsidies/Transfers and ‘Capital’ Expenditure, 2006-2012</w:t>
            </w:r>
          </w:p>
        </w:tc>
      </w:tr>
      <w:tr w:rsidR="0095650B" w:rsidTr="00C05FAA">
        <w:trPr>
          <w:jc w:val="center"/>
        </w:trPr>
        <w:tc>
          <w:tcPr>
            <w:tcW w:w="9570" w:type="dxa"/>
          </w:tcPr>
          <w:p w:rsidR="0095650B" w:rsidRDefault="0095650B" w:rsidP="00C05FAA">
            <w:pPr>
              <w:jc w:val="both"/>
            </w:pPr>
          </w:p>
          <w:p w:rsidR="0095650B" w:rsidRDefault="0095650B" w:rsidP="00C05FAA">
            <w:pPr>
              <w:jc w:val="center"/>
            </w:pPr>
            <w:r>
              <w:rPr>
                <w:noProof/>
                <w:lang w:eastAsia="en-AU"/>
              </w:rPr>
              <w:drawing>
                <wp:inline distT="0" distB="0" distL="0" distR="0" wp14:anchorId="73F264F3" wp14:editId="3517A53B">
                  <wp:extent cx="4057650" cy="2409825"/>
                  <wp:effectExtent l="0" t="0" r="0" b="9525"/>
                  <wp:docPr id="7" name="Picture 4" descr="capital expenditure remains roughly constant over time; subsidies/transfers increase over time; goods and services increase at a faster rate than subsidies/transfers over time" title="Figure 7: Percentage shares of MoE original budgets allocated to Other Goods/ Services, Subsidies/Transfers and ‘Capital’ Expenditure, 2006-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057650" cy="2409825"/>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C05FAA">
        <w:trPr>
          <w:jc w:val="center"/>
        </w:trPr>
        <w:tc>
          <w:tcPr>
            <w:tcW w:w="9570" w:type="dxa"/>
          </w:tcPr>
          <w:p w:rsidR="0095650B" w:rsidRDefault="0095650B" w:rsidP="00C05FAA">
            <w:pPr>
              <w:jc w:val="both"/>
            </w:pPr>
            <w:r>
              <w:t xml:space="preserve">Source: Derived from dissection of </w:t>
            </w:r>
            <w:proofErr w:type="spellStart"/>
            <w:r>
              <w:t>MoE</w:t>
            </w:r>
            <w:proofErr w:type="spellEnd"/>
            <w:r>
              <w:t xml:space="preserve"> original budgets 2006-2012.</w:t>
            </w:r>
          </w:p>
        </w:tc>
      </w:tr>
    </w:tbl>
    <w:p w:rsidR="0095650B" w:rsidRDefault="0095650B" w:rsidP="0095650B">
      <w:pPr>
        <w:jc w:val="both"/>
      </w:pPr>
      <w:r>
        <w:t xml:space="preserve">  </w:t>
      </w:r>
    </w:p>
    <w:p w:rsidR="0095650B" w:rsidRDefault="0095650B" w:rsidP="0095650B">
      <w:pPr>
        <w:jc w:val="both"/>
      </w:pPr>
      <w:r>
        <w:t xml:space="preserve">The declining share of personal emoluments within </w:t>
      </w:r>
      <w:proofErr w:type="spellStart"/>
      <w:r>
        <w:t>MoE’s</w:t>
      </w:r>
      <w:proofErr w:type="spellEnd"/>
      <w:r>
        <w:t xml:space="preserve"> total budget (since 2007) has been welcomed by some as an indication of intent to channel a higher proportion of available resources towards school supplies and other forms of direct support for schools.  It is questionable, however, whether the trend reflects any such deliberate decision.  It can also be explained, at least in part, by the fact that since the GRT’s salary determination in 2006 teaching salaries have effectively (increments aside) been frozen and have declined in real terms while </w:t>
      </w:r>
      <w:proofErr w:type="spellStart"/>
      <w:r>
        <w:lastRenderedPageBreak/>
        <w:t>MoE’s</w:t>
      </w:r>
      <w:proofErr w:type="spellEnd"/>
      <w:r>
        <w:t xml:space="preserve"> total budgets have grown in real terms</w:t>
      </w:r>
      <w:r w:rsidR="00C03572">
        <w:t>.</w:t>
      </w:r>
      <w:r>
        <w:t xml:space="preserve">  A future salary award for teachers could easily reverse the trend. </w:t>
      </w:r>
    </w:p>
    <w:p w:rsidR="0095650B" w:rsidRDefault="0095650B" w:rsidP="0095650B">
      <w:pPr>
        <w:jc w:val="both"/>
      </w:pPr>
    </w:p>
    <w:p w:rsidR="0095650B" w:rsidRDefault="0095650B" w:rsidP="0095650B">
      <w:pPr>
        <w:jc w:val="both"/>
      </w:pPr>
      <w:r>
        <w:t xml:space="preserve">Major components contributing to the growth of budgets for Other Goods/Services and Subsidies/Transfers are shown in Table </w:t>
      </w:r>
      <w:r w:rsidR="00C03572">
        <w:t>13</w:t>
      </w:r>
      <w:r>
        <w:t>.</w:t>
      </w:r>
    </w:p>
    <w:p w:rsidR="0095650B" w:rsidRDefault="0095650B" w:rsidP="0095650B">
      <w:pPr>
        <w:jc w:val="both"/>
      </w:pPr>
    </w:p>
    <w:tbl>
      <w:tblPr>
        <w:tblStyle w:val="TableGrid"/>
        <w:tblW w:w="8505" w:type="dxa"/>
        <w:jc w:val="center"/>
        <w:tblLook w:val="04A0" w:firstRow="1" w:lastRow="0" w:firstColumn="1" w:lastColumn="0" w:noHBand="0" w:noVBand="1"/>
        <w:tblCaption w:val="Table 13: Major percentage increases in budgets at current prices for Goods/Services and Subsidies/Transfers between 2007 and 2012 (see Note 1) "/>
        <w:tblDescription w:val="table showing major percentage increases in budgets for GoV-funded scholarships, teacher service commission, provincial eduction offices, primary school grants, secondary school grants"/>
      </w:tblPr>
      <w:tblGrid>
        <w:gridCol w:w="4192"/>
        <w:gridCol w:w="2118"/>
        <w:gridCol w:w="2195"/>
      </w:tblGrid>
      <w:tr w:rsidR="0095650B" w:rsidTr="00D339A4">
        <w:trPr>
          <w:tblHeader/>
          <w:jc w:val="center"/>
        </w:trPr>
        <w:tc>
          <w:tcPr>
            <w:tcW w:w="8505" w:type="dxa"/>
            <w:gridSpan w:val="3"/>
            <w:shd w:val="clear" w:color="auto" w:fill="BFBFBF" w:themeFill="background1" w:themeFillShade="BF"/>
          </w:tcPr>
          <w:p w:rsidR="0095650B" w:rsidRDefault="0095650B" w:rsidP="00C03572">
            <w:r>
              <w:t xml:space="preserve">Table </w:t>
            </w:r>
            <w:r w:rsidR="00C03572">
              <w:t>13</w:t>
            </w:r>
            <w:r>
              <w:t xml:space="preserve">: </w:t>
            </w:r>
            <w:r w:rsidRPr="00517108">
              <w:t xml:space="preserve">Major percentage </w:t>
            </w:r>
            <w:r>
              <w:t xml:space="preserve">increases in budgets at current prices for Goods/Services and Subsidies/Transfers </w:t>
            </w:r>
            <w:r w:rsidRPr="00517108">
              <w:t>between 2007</w:t>
            </w:r>
            <w:r>
              <w:t xml:space="preserve"> and </w:t>
            </w:r>
            <w:r w:rsidRPr="00517108">
              <w:t>2012</w:t>
            </w:r>
            <w:r>
              <w:t xml:space="preserve"> (see Note 1)</w:t>
            </w:r>
            <w:r w:rsidRPr="00517108">
              <w:t xml:space="preserve"> </w:t>
            </w:r>
          </w:p>
        </w:tc>
      </w:tr>
      <w:tr w:rsidR="0095650B" w:rsidTr="006A3CDF">
        <w:trPr>
          <w:jc w:val="center"/>
        </w:trPr>
        <w:tc>
          <w:tcPr>
            <w:tcW w:w="4192" w:type="dxa"/>
          </w:tcPr>
          <w:p w:rsidR="0095650B" w:rsidRDefault="0095650B" w:rsidP="00C05FAA">
            <w:pPr>
              <w:jc w:val="both"/>
            </w:pPr>
          </w:p>
        </w:tc>
        <w:tc>
          <w:tcPr>
            <w:tcW w:w="2118" w:type="dxa"/>
          </w:tcPr>
          <w:p w:rsidR="007E3690" w:rsidRDefault="0095650B" w:rsidP="00C05FAA">
            <w:pPr>
              <w:jc w:val="center"/>
            </w:pPr>
            <w:r>
              <w:t xml:space="preserve">Share of </w:t>
            </w:r>
            <w:proofErr w:type="spellStart"/>
            <w:r>
              <w:t>MoE</w:t>
            </w:r>
            <w:proofErr w:type="spellEnd"/>
            <w:r>
              <w:t xml:space="preserve"> Total, 2012 </w:t>
            </w:r>
          </w:p>
          <w:p w:rsidR="0095650B" w:rsidRDefault="0095650B" w:rsidP="00C05FAA">
            <w:pPr>
              <w:jc w:val="center"/>
            </w:pPr>
            <w:r>
              <w:t>(see Note 2)</w:t>
            </w:r>
          </w:p>
        </w:tc>
        <w:tc>
          <w:tcPr>
            <w:tcW w:w="2195" w:type="dxa"/>
          </w:tcPr>
          <w:p w:rsidR="0095650B" w:rsidRDefault="0095650B" w:rsidP="00C05FAA">
            <w:pPr>
              <w:jc w:val="center"/>
            </w:pPr>
            <w:r>
              <w:t>Percentage increase on 2007</w:t>
            </w:r>
          </w:p>
        </w:tc>
      </w:tr>
      <w:tr w:rsidR="0095650B" w:rsidTr="006A3CDF">
        <w:trPr>
          <w:jc w:val="center"/>
        </w:trPr>
        <w:tc>
          <w:tcPr>
            <w:tcW w:w="4192" w:type="dxa"/>
          </w:tcPr>
          <w:p w:rsidR="0095650B" w:rsidRDefault="0095650B" w:rsidP="00C05FAA">
            <w:pPr>
              <w:jc w:val="both"/>
            </w:pPr>
            <w:proofErr w:type="spellStart"/>
            <w:r>
              <w:t>GoV</w:t>
            </w:r>
            <w:proofErr w:type="spellEnd"/>
            <w:r>
              <w:t>-funded scholarships</w:t>
            </w:r>
          </w:p>
        </w:tc>
        <w:tc>
          <w:tcPr>
            <w:tcW w:w="2118" w:type="dxa"/>
          </w:tcPr>
          <w:p w:rsidR="0095650B" w:rsidRDefault="0095650B" w:rsidP="00C05FAA">
            <w:pPr>
              <w:jc w:val="center"/>
            </w:pPr>
            <w:r>
              <w:t>35.2%</w:t>
            </w:r>
          </w:p>
        </w:tc>
        <w:tc>
          <w:tcPr>
            <w:tcW w:w="2195" w:type="dxa"/>
          </w:tcPr>
          <w:p w:rsidR="0095650B" w:rsidRDefault="0095650B" w:rsidP="00C05FAA">
            <w:pPr>
              <w:jc w:val="center"/>
            </w:pPr>
            <w:r>
              <w:t>+ 648%</w:t>
            </w:r>
          </w:p>
        </w:tc>
      </w:tr>
      <w:tr w:rsidR="0095650B" w:rsidTr="006A3CDF">
        <w:trPr>
          <w:jc w:val="center"/>
        </w:trPr>
        <w:tc>
          <w:tcPr>
            <w:tcW w:w="4192" w:type="dxa"/>
          </w:tcPr>
          <w:p w:rsidR="0095650B" w:rsidRDefault="0095650B" w:rsidP="00C05FAA">
            <w:pPr>
              <w:jc w:val="both"/>
            </w:pPr>
            <w:r>
              <w:t>Teaching Service Commission (Note 3)</w:t>
            </w:r>
          </w:p>
        </w:tc>
        <w:tc>
          <w:tcPr>
            <w:tcW w:w="2118" w:type="dxa"/>
          </w:tcPr>
          <w:p w:rsidR="0095650B" w:rsidRDefault="0095650B" w:rsidP="00C05FAA">
            <w:pPr>
              <w:jc w:val="center"/>
            </w:pPr>
            <w:r>
              <w:t>13.3%</w:t>
            </w:r>
          </w:p>
        </w:tc>
        <w:tc>
          <w:tcPr>
            <w:tcW w:w="2195" w:type="dxa"/>
          </w:tcPr>
          <w:p w:rsidR="0095650B" w:rsidRDefault="0095650B" w:rsidP="00C05FAA">
            <w:pPr>
              <w:jc w:val="center"/>
            </w:pPr>
            <w:r>
              <w:t>+ 355%</w:t>
            </w:r>
          </w:p>
        </w:tc>
      </w:tr>
      <w:tr w:rsidR="0095650B" w:rsidTr="006A3CDF">
        <w:trPr>
          <w:jc w:val="center"/>
        </w:trPr>
        <w:tc>
          <w:tcPr>
            <w:tcW w:w="4192" w:type="dxa"/>
          </w:tcPr>
          <w:p w:rsidR="0095650B" w:rsidRDefault="0095650B" w:rsidP="00C05FAA">
            <w:pPr>
              <w:jc w:val="both"/>
            </w:pPr>
            <w:r>
              <w:t>Provincial Education Offices (Note 4)</w:t>
            </w:r>
          </w:p>
        </w:tc>
        <w:tc>
          <w:tcPr>
            <w:tcW w:w="2118" w:type="dxa"/>
          </w:tcPr>
          <w:p w:rsidR="0095650B" w:rsidRDefault="0095650B" w:rsidP="00C05FAA">
            <w:pPr>
              <w:jc w:val="center"/>
            </w:pPr>
            <w:r>
              <w:t>2.4%</w:t>
            </w:r>
          </w:p>
        </w:tc>
        <w:tc>
          <w:tcPr>
            <w:tcW w:w="2195" w:type="dxa"/>
          </w:tcPr>
          <w:p w:rsidR="0095650B" w:rsidRDefault="0095650B" w:rsidP="00C05FAA">
            <w:pPr>
              <w:jc w:val="center"/>
            </w:pPr>
            <w:r>
              <w:t>+ 269%</w:t>
            </w:r>
          </w:p>
        </w:tc>
      </w:tr>
      <w:tr w:rsidR="0095650B" w:rsidTr="006A3CDF">
        <w:trPr>
          <w:jc w:val="center"/>
        </w:trPr>
        <w:tc>
          <w:tcPr>
            <w:tcW w:w="4192" w:type="dxa"/>
          </w:tcPr>
          <w:p w:rsidR="0095650B" w:rsidRDefault="0095650B" w:rsidP="00C05FAA">
            <w:pPr>
              <w:jc w:val="both"/>
            </w:pPr>
            <w:r>
              <w:t>Primary school grants (Note 5)</w:t>
            </w:r>
          </w:p>
        </w:tc>
        <w:tc>
          <w:tcPr>
            <w:tcW w:w="2118" w:type="dxa"/>
          </w:tcPr>
          <w:p w:rsidR="0095650B" w:rsidRDefault="0095650B" w:rsidP="00C05FAA">
            <w:pPr>
              <w:jc w:val="center"/>
            </w:pPr>
            <w:r>
              <w:t>21.5%</w:t>
            </w:r>
          </w:p>
        </w:tc>
        <w:tc>
          <w:tcPr>
            <w:tcW w:w="2195" w:type="dxa"/>
          </w:tcPr>
          <w:p w:rsidR="0095650B" w:rsidRDefault="0095650B" w:rsidP="00C05FAA">
            <w:pPr>
              <w:jc w:val="center"/>
            </w:pPr>
            <w:r>
              <w:t>+ 252%</w:t>
            </w:r>
          </w:p>
        </w:tc>
      </w:tr>
      <w:tr w:rsidR="0095650B" w:rsidTr="006A3CDF">
        <w:trPr>
          <w:jc w:val="center"/>
        </w:trPr>
        <w:tc>
          <w:tcPr>
            <w:tcW w:w="4192" w:type="dxa"/>
          </w:tcPr>
          <w:p w:rsidR="0095650B" w:rsidRDefault="0095650B" w:rsidP="00C05FAA">
            <w:pPr>
              <w:jc w:val="both"/>
            </w:pPr>
            <w:r>
              <w:t>Secondary school grants</w:t>
            </w:r>
          </w:p>
        </w:tc>
        <w:tc>
          <w:tcPr>
            <w:tcW w:w="2118" w:type="dxa"/>
          </w:tcPr>
          <w:p w:rsidR="0095650B" w:rsidRDefault="0095650B" w:rsidP="00C05FAA">
            <w:pPr>
              <w:jc w:val="center"/>
            </w:pPr>
            <w:r>
              <w:t>12.1%</w:t>
            </w:r>
          </w:p>
        </w:tc>
        <w:tc>
          <w:tcPr>
            <w:tcW w:w="2195" w:type="dxa"/>
          </w:tcPr>
          <w:p w:rsidR="0095650B" w:rsidRDefault="0095650B" w:rsidP="00C05FAA">
            <w:pPr>
              <w:jc w:val="center"/>
            </w:pPr>
            <w:r>
              <w:t>+ 36%</w:t>
            </w:r>
          </w:p>
        </w:tc>
      </w:tr>
      <w:tr w:rsidR="0095650B" w:rsidTr="003E13EF">
        <w:trPr>
          <w:jc w:val="center"/>
        </w:trPr>
        <w:tc>
          <w:tcPr>
            <w:tcW w:w="8505" w:type="dxa"/>
            <w:gridSpan w:val="3"/>
            <w:tcBorders>
              <w:top w:val="nil"/>
            </w:tcBorders>
          </w:tcPr>
          <w:p w:rsidR="0095650B" w:rsidRDefault="006A3CDF" w:rsidP="00C05FAA">
            <w:r>
              <w:t xml:space="preserve">Table 13 </w:t>
            </w:r>
            <w:r w:rsidR="0095650B">
              <w:t>Notes</w:t>
            </w:r>
            <w:r>
              <w:t xml:space="preserve"> and Source</w:t>
            </w:r>
            <w:r w:rsidR="0095650B">
              <w:t>:</w:t>
            </w:r>
          </w:p>
          <w:p w:rsidR="0095650B" w:rsidRDefault="0095650B" w:rsidP="00C05FAA">
            <w:r>
              <w:t>(1) The Table is confined to cost centres recording an increase in absolute terms of VT10 million or more between 2007 and 2012 at current prices.  2007 was selected as the base year for this table since the 2006 Budget documents did not identify a specific budget for primary school grants.</w:t>
            </w:r>
          </w:p>
          <w:p w:rsidR="0095650B" w:rsidRDefault="0095650B" w:rsidP="00C05FAA">
            <w:r>
              <w:t xml:space="preserve">(2) Share of </w:t>
            </w:r>
            <w:proofErr w:type="spellStart"/>
            <w:r>
              <w:t>MoE’s</w:t>
            </w:r>
            <w:proofErr w:type="spellEnd"/>
            <w:r>
              <w:t xml:space="preserve"> total budget in 2012 for spending on other goods/services and subsidies/ transfers.</w:t>
            </w:r>
          </w:p>
          <w:p w:rsidR="0095650B" w:rsidRDefault="0095650B" w:rsidP="00C05FAA">
            <w:r>
              <w:t>(3) Other goods/services for the TSC principally take the form of severance/termination payments for teachers.</w:t>
            </w:r>
          </w:p>
          <w:p w:rsidR="0095650B" w:rsidRDefault="0095650B" w:rsidP="00C05FAA">
            <w:r>
              <w:t xml:space="preserve">(4) The allocation for Provincial Education Offices shows a significant increase, however the increase was barely above VT10 million in absolute terms and is a minor proportion of the </w:t>
            </w:r>
            <w:proofErr w:type="spellStart"/>
            <w:r>
              <w:t>MoE</w:t>
            </w:r>
            <w:proofErr w:type="spellEnd"/>
            <w:r>
              <w:t xml:space="preserve"> total in 2012.</w:t>
            </w:r>
          </w:p>
          <w:p w:rsidR="0095650B" w:rsidRDefault="0095650B" w:rsidP="00C05FAA">
            <w:r>
              <w:t>(5) The increased allocation for primary school grants reflects the substantial increases in per student grants commencing 2010</w:t>
            </w:r>
            <w:r w:rsidR="00C03572">
              <w:t>.</w:t>
            </w:r>
            <w:r>
              <w:t xml:space="preserve"> </w:t>
            </w:r>
          </w:p>
          <w:p w:rsidR="0095650B" w:rsidRDefault="0095650B" w:rsidP="00C05FAA">
            <w:r>
              <w:t xml:space="preserve">Source: Derived from dissection of </w:t>
            </w:r>
            <w:proofErr w:type="spellStart"/>
            <w:r>
              <w:t>MoE</w:t>
            </w:r>
            <w:proofErr w:type="spellEnd"/>
            <w:r>
              <w:t xml:space="preserve"> original budgets 2007-2012.</w:t>
            </w:r>
          </w:p>
        </w:tc>
      </w:tr>
    </w:tbl>
    <w:p w:rsidR="0095650B" w:rsidRDefault="0095650B" w:rsidP="0095650B">
      <w:pPr>
        <w:jc w:val="both"/>
      </w:pPr>
    </w:p>
    <w:p w:rsidR="0095650B" w:rsidRDefault="009E6231" w:rsidP="0095650B">
      <w:pPr>
        <w:jc w:val="both"/>
      </w:pPr>
      <w:r>
        <w:t>T</w:t>
      </w:r>
      <w:r w:rsidR="0095650B">
        <w:t xml:space="preserve">he increase in </w:t>
      </w:r>
      <w:proofErr w:type="spellStart"/>
      <w:r w:rsidR="0095650B">
        <w:t>GoV</w:t>
      </w:r>
      <w:proofErr w:type="spellEnd"/>
      <w:r w:rsidR="0095650B">
        <w:t>-funded scholarships substantially exceeds that for all other increases tabulated.</w:t>
      </w:r>
    </w:p>
    <w:p w:rsidR="0095650B" w:rsidRPr="004D66CD" w:rsidRDefault="0095650B" w:rsidP="00160C19">
      <w:pPr>
        <w:pStyle w:val="Heading2"/>
      </w:pPr>
      <w:bookmarkStart w:id="87" w:name="_Toc341210789"/>
      <w:bookmarkStart w:id="88" w:name="_Toc341210909"/>
      <w:bookmarkStart w:id="89" w:name="_Toc341265727"/>
      <w:bookmarkStart w:id="90" w:name="_Toc343257289"/>
      <w:bookmarkStart w:id="91" w:name="_Toc343257403"/>
      <w:bookmarkStart w:id="92" w:name="_Toc348711324"/>
      <w:r>
        <w:t>2.</w:t>
      </w:r>
      <w:r w:rsidRPr="004D66CD">
        <w:t xml:space="preserve">1.4 Do </w:t>
      </w:r>
      <w:proofErr w:type="spellStart"/>
      <w:r w:rsidRPr="004D66CD">
        <w:t>MoE</w:t>
      </w:r>
      <w:proofErr w:type="spellEnd"/>
      <w:r w:rsidRPr="004D66CD">
        <w:t xml:space="preserve"> budgets get spent as intended?</w:t>
      </w:r>
      <w:bookmarkEnd w:id="87"/>
      <w:bookmarkEnd w:id="88"/>
      <w:bookmarkEnd w:id="89"/>
      <w:bookmarkEnd w:id="90"/>
      <w:bookmarkEnd w:id="91"/>
      <w:bookmarkEnd w:id="92"/>
    </w:p>
    <w:p w:rsidR="0095650B" w:rsidRDefault="0095650B" w:rsidP="0095650B">
      <w:pPr>
        <w:jc w:val="both"/>
      </w:pPr>
    </w:p>
    <w:p w:rsidR="0095650B" w:rsidRDefault="0095650B" w:rsidP="0095650B">
      <w:pPr>
        <w:jc w:val="both"/>
      </w:pPr>
      <w:r>
        <w:t xml:space="preserve">At the aggregate level the answer is ‘broadly, yes’ insofar as </w:t>
      </w:r>
      <w:proofErr w:type="spellStart"/>
      <w:r>
        <w:t>MoE’s</w:t>
      </w:r>
      <w:proofErr w:type="spellEnd"/>
      <w:r>
        <w:t xml:space="preserve"> total expenditure outcomes are within reasonable distance of original and/or final budgets for the year.  Below the aggregate level there are progressively increasing differences between budgeted and actual expenditures as these are drilled down to the </w:t>
      </w:r>
      <w:proofErr w:type="spellStart"/>
      <w:r>
        <w:t>MoE</w:t>
      </w:r>
      <w:proofErr w:type="spellEnd"/>
      <w:r>
        <w:t xml:space="preserve"> program</w:t>
      </w:r>
      <w:r w:rsidR="009E6231">
        <w:t xml:space="preserve"> and </w:t>
      </w:r>
      <w:r>
        <w:t>cost centre levels.</w:t>
      </w:r>
    </w:p>
    <w:p w:rsidR="0095650B" w:rsidRDefault="0095650B" w:rsidP="0095650B">
      <w:pPr>
        <w:jc w:val="both"/>
      </w:pPr>
    </w:p>
    <w:p w:rsidR="0095650B" w:rsidRDefault="0095650B" w:rsidP="0095650B">
      <w:pPr>
        <w:jc w:val="both"/>
      </w:pPr>
      <w:r>
        <w:t xml:space="preserve">This Section explores the question at </w:t>
      </w:r>
      <w:proofErr w:type="spellStart"/>
      <w:r>
        <w:t>MoE’s</w:t>
      </w:r>
      <w:proofErr w:type="spellEnd"/>
      <w:r>
        <w:t xml:space="preserve"> aggregate and program levels.  Divergences below these levels, including those related to actual or potential ‘leakage’ of expenditure, </w:t>
      </w:r>
      <w:proofErr w:type="gramStart"/>
      <w:r>
        <w:t>are</w:t>
      </w:r>
      <w:proofErr w:type="gramEnd"/>
      <w:r>
        <w:t xml:space="preserve"> reviewed at Section 2.2.</w:t>
      </w:r>
      <w:r w:rsidR="00C03572">
        <w:t>3</w:t>
      </w:r>
      <w:r>
        <w:t>.</w:t>
      </w:r>
    </w:p>
    <w:p w:rsidR="0095650B" w:rsidRDefault="0095650B" w:rsidP="0095650B">
      <w:pPr>
        <w:jc w:val="both"/>
      </w:pPr>
    </w:p>
    <w:p w:rsidR="009E6231" w:rsidRDefault="0095650B" w:rsidP="006A3CDF">
      <w:pPr>
        <w:jc w:val="both"/>
      </w:pPr>
      <w:r>
        <w:t xml:space="preserve">Table </w:t>
      </w:r>
      <w:r w:rsidR="00C03572">
        <w:t>14</w:t>
      </w:r>
      <w:r>
        <w:t xml:space="preserve"> documents </w:t>
      </w:r>
      <w:proofErr w:type="spellStart"/>
      <w:r>
        <w:t>MoE’s</w:t>
      </w:r>
      <w:proofErr w:type="spellEnd"/>
      <w:r>
        <w:t xml:space="preserve"> budgets and actual expenditures for the years 200</w:t>
      </w:r>
      <w:r w:rsidR="009E6231">
        <w:t>8</w:t>
      </w:r>
      <w:r>
        <w:t>-2011 at the aggregate and program levels.</w:t>
      </w:r>
      <w:r w:rsidR="009E6231">
        <w:t xml:space="preserve">  </w:t>
      </w:r>
      <w:proofErr w:type="spellStart"/>
      <w:r w:rsidR="006A3CDF">
        <w:t>MoE’s</w:t>
      </w:r>
      <w:proofErr w:type="spellEnd"/>
      <w:r w:rsidR="006A3CDF">
        <w:t xml:space="preserve"> aggregate </w:t>
      </w:r>
      <w:proofErr w:type="spellStart"/>
      <w:r w:rsidR="006A3CDF">
        <w:t>GoV</w:t>
      </w:r>
      <w:proofErr w:type="spellEnd"/>
      <w:r w:rsidR="006A3CDF">
        <w:t>-funded expenditures over th</w:t>
      </w:r>
      <w:r w:rsidR="009E6231">
        <w:t xml:space="preserve">is period </w:t>
      </w:r>
      <w:r w:rsidR="006A3CDF">
        <w:t>were within plus 1.9% at most of its original annual budgets and within minus 0.8% to plus 1.5% of its final budgets. This relatively narrow divergence between aggregate budgets and actual expenditures almost certainly reflects - primarily - tight ‘macro’ expenditure control by MFEM.</w:t>
      </w:r>
    </w:p>
    <w:p w:rsidR="009E6231" w:rsidRDefault="009E6231" w:rsidP="006A3CDF">
      <w:pPr>
        <w:jc w:val="both"/>
      </w:pPr>
    </w:p>
    <w:p w:rsidR="006A3CDF" w:rsidRDefault="006A3CDF" w:rsidP="006A3CDF">
      <w:pPr>
        <w:jc w:val="both"/>
      </w:pPr>
      <w:r>
        <w:lastRenderedPageBreak/>
        <w:t xml:space="preserve">At the program level there are large variations between budgets and actual expenditures (up to around 34% over budget and 25% below budget in some cases), suggesting significant weaknesses in budget planning and/or subsequent expenditure control within </w:t>
      </w:r>
      <w:proofErr w:type="spellStart"/>
      <w:r>
        <w:t>MoE</w:t>
      </w:r>
      <w:proofErr w:type="spellEnd"/>
      <w:r>
        <w:t>.</w:t>
      </w:r>
    </w:p>
    <w:p w:rsidR="0095650B" w:rsidRDefault="0095650B" w:rsidP="0095650B">
      <w:pPr>
        <w:jc w:val="both"/>
      </w:pPr>
    </w:p>
    <w:tbl>
      <w:tblPr>
        <w:tblStyle w:val="TableGrid"/>
        <w:tblW w:w="8505" w:type="dxa"/>
        <w:jc w:val="center"/>
        <w:tblLook w:val="04A0" w:firstRow="1" w:lastRow="0" w:firstColumn="1" w:lastColumn="0" w:noHBand="0" w:noVBand="1"/>
        <w:tblCaption w:val="Table 14:  MoE original and final budgets and actual expenditure, 2008 to 2011 "/>
        <w:tblDescription w:val="table comparing original budget, final budget, actual expenditure for different line items for each year between 2008-2011"/>
      </w:tblPr>
      <w:tblGrid>
        <w:gridCol w:w="1914"/>
        <w:gridCol w:w="1081"/>
        <w:gridCol w:w="1108"/>
        <w:gridCol w:w="1057"/>
        <w:gridCol w:w="1195"/>
        <w:gridCol w:w="1082"/>
        <w:gridCol w:w="1068"/>
      </w:tblGrid>
      <w:tr w:rsidR="0095650B" w:rsidTr="00D339A4">
        <w:trPr>
          <w:tblHeader/>
          <w:jc w:val="center"/>
        </w:trPr>
        <w:tc>
          <w:tcPr>
            <w:tcW w:w="8505" w:type="dxa"/>
            <w:gridSpan w:val="7"/>
            <w:shd w:val="clear" w:color="auto" w:fill="BFBFBF" w:themeFill="background1" w:themeFillShade="BF"/>
          </w:tcPr>
          <w:p w:rsidR="0095650B" w:rsidRDefault="0095650B" w:rsidP="00C03572">
            <w:pPr>
              <w:jc w:val="both"/>
            </w:pPr>
            <w:r>
              <w:t xml:space="preserve">Table </w:t>
            </w:r>
            <w:r w:rsidR="00C03572">
              <w:t>14</w:t>
            </w:r>
            <w:r>
              <w:t xml:space="preserve">:  </w:t>
            </w:r>
            <w:proofErr w:type="spellStart"/>
            <w:r>
              <w:t>MoE</w:t>
            </w:r>
            <w:proofErr w:type="spellEnd"/>
            <w:r>
              <w:t xml:space="preserve"> original and final budgets and actual expenditure, 2008 to 2011 </w:t>
            </w:r>
          </w:p>
        </w:tc>
      </w:tr>
      <w:tr w:rsidR="0095650B" w:rsidTr="003E13EF">
        <w:trPr>
          <w:jc w:val="center"/>
        </w:trPr>
        <w:tc>
          <w:tcPr>
            <w:tcW w:w="1914" w:type="dxa"/>
            <w:vMerge w:val="restart"/>
          </w:tcPr>
          <w:p w:rsidR="0095650B" w:rsidRPr="00836A37" w:rsidRDefault="0095650B" w:rsidP="00C05FAA">
            <w:pPr>
              <w:jc w:val="both"/>
              <w:rPr>
                <w:sz w:val="20"/>
                <w:szCs w:val="20"/>
              </w:rPr>
            </w:pPr>
          </w:p>
        </w:tc>
        <w:tc>
          <w:tcPr>
            <w:tcW w:w="1081" w:type="dxa"/>
          </w:tcPr>
          <w:p w:rsidR="0095650B" w:rsidRPr="00836A37" w:rsidRDefault="0095650B" w:rsidP="00C05FAA">
            <w:pPr>
              <w:jc w:val="center"/>
              <w:rPr>
                <w:sz w:val="20"/>
                <w:szCs w:val="20"/>
              </w:rPr>
            </w:pPr>
            <w:r>
              <w:rPr>
                <w:sz w:val="20"/>
                <w:szCs w:val="20"/>
              </w:rPr>
              <w:t>Original Budget</w:t>
            </w:r>
          </w:p>
        </w:tc>
        <w:tc>
          <w:tcPr>
            <w:tcW w:w="1108" w:type="dxa"/>
          </w:tcPr>
          <w:p w:rsidR="0095650B" w:rsidRDefault="0095650B" w:rsidP="00C05FAA">
            <w:pPr>
              <w:jc w:val="center"/>
              <w:rPr>
                <w:sz w:val="20"/>
                <w:szCs w:val="20"/>
              </w:rPr>
            </w:pPr>
            <w:r>
              <w:rPr>
                <w:sz w:val="20"/>
                <w:szCs w:val="20"/>
              </w:rPr>
              <w:t>Supp.</w:t>
            </w:r>
          </w:p>
          <w:p w:rsidR="0095650B" w:rsidRPr="00836A37" w:rsidRDefault="0095650B" w:rsidP="00C05FAA">
            <w:pPr>
              <w:jc w:val="center"/>
              <w:rPr>
                <w:sz w:val="20"/>
                <w:szCs w:val="20"/>
              </w:rPr>
            </w:pPr>
            <w:proofErr w:type="spellStart"/>
            <w:r>
              <w:rPr>
                <w:sz w:val="20"/>
                <w:szCs w:val="20"/>
              </w:rPr>
              <w:t>Approps</w:t>
            </w:r>
            <w:proofErr w:type="spellEnd"/>
            <w:r>
              <w:rPr>
                <w:sz w:val="20"/>
                <w:szCs w:val="20"/>
              </w:rPr>
              <w:t>.</w:t>
            </w:r>
          </w:p>
        </w:tc>
        <w:tc>
          <w:tcPr>
            <w:tcW w:w="1057" w:type="dxa"/>
          </w:tcPr>
          <w:p w:rsidR="0095650B" w:rsidRPr="00836A37" w:rsidRDefault="0095650B" w:rsidP="00C05FAA">
            <w:pPr>
              <w:jc w:val="center"/>
              <w:rPr>
                <w:sz w:val="20"/>
                <w:szCs w:val="20"/>
              </w:rPr>
            </w:pPr>
            <w:r>
              <w:rPr>
                <w:sz w:val="20"/>
                <w:szCs w:val="20"/>
              </w:rPr>
              <w:t>Final Budget</w:t>
            </w:r>
          </w:p>
        </w:tc>
        <w:tc>
          <w:tcPr>
            <w:tcW w:w="1195" w:type="dxa"/>
          </w:tcPr>
          <w:p w:rsidR="0095650B" w:rsidRPr="00836A37" w:rsidRDefault="0095650B" w:rsidP="00C05FAA">
            <w:pPr>
              <w:jc w:val="center"/>
              <w:rPr>
                <w:sz w:val="20"/>
                <w:szCs w:val="20"/>
              </w:rPr>
            </w:pPr>
            <w:r>
              <w:rPr>
                <w:sz w:val="20"/>
                <w:szCs w:val="20"/>
              </w:rPr>
              <w:t>Actual Expenditure</w:t>
            </w:r>
          </w:p>
        </w:tc>
        <w:tc>
          <w:tcPr>
            <w:tcW w:w="1082" w:type="dxa"/>
            <w:vMerge w:val="restart"/>
          </w:tcPr>
          <w:p w:rsidR="0095650B" w:rsidRDefault="0095650B" w:rsidP="00C05FAA">
            <w:pPr>
              <w:jc w:val="center"/>
              <w:rPr>
                <w:sz w:val="20"/>
                <w:szCs w:val="20"/>
              </w:rPr>
            </w:pPr>
            <w:r>
              <w:rPr>
                <w:sz w:val="20"/>
                <w:szCs w:val="20"/>
              </w:rPr>
              <w:t>Actual as a % Original</w:t>
            </w:r>
          </w:p>
          <w:p w:rsidR="0095650B" w:rsidRPr="00836A37" w:rsidRDefault="0095650B" w:rsidP="00C05FAA">
            <w:pPr>
              <w:jc w:val="center"/>
              <w:rPr>
                <w:sz w:val="20"/>
                <w:szCs w:val="20"/>
              </w:rPr>
            </w:pPr>
            <w:r>
              <w:rPr>
                <w:sz w:val="20"/>
                <w:szCs w:val="20"/>
              </w:rPr>
              <w:t>Budget</w:t>
            </w:r>
          </w:p>
        </w:tc>
        <w:tc>
          <w:tcPr>
            <w:tcW w:w="1068" w:type="dxa"/>
            <w:vMerge w:val="restart"/>
          </w:tcPr>
          <w:p w:rsidR="0095650B" w:rsidRPr="00836A37" w:rsidRDefault="0095650B" w:rsidP="00C05FAA">
            <w:pPr>
              <w:jc w:val="center"/>
              <w:rPr>
                <w:sz w:val="20"/>
                <w:szCs w:val="20"/>
              </w:rPr>
            </w:pPr>
            <w:r>
              <w:rPr>
                <w:sz w:val="20"/>
                <w:szCs w:val="20"/>
              </w:rPr>
              <w:t>Actual as a % Final Budget</w:t>
            </w:r>
          </w:p>
        </w:tc>
      </w:tr>
      <w:tr w:rsidR="0095650B" w:rsidTr="003E13EF">
        <w:trPr>
          <w:jc w:val="center"/>
        </w:trPr>
        <w:tc>
          <w:tcPr>
            <w:tcW w:w="1914" w:type="dxa"/>
            <w:vMerge/>
          </w:tcPr>
          <w:p w:rsidR="0095650B" w:rsidRPr="00836A37" w:rsidRDefault="0095650B" w:rsidP="00C05FAA">
            <w:pPr>
              <w:jc w:val="both"/>
              <w:rPr>
                <w:sz w:val="20"/>
                <w:szCs w:val="20"/>
              </w:rPr>
            </w:pPr>
          </w:p>
        </w:tc>
        <w:tc>
          <w:tcPr>
            <w:tcW w:w="4441" w:type="dxa"/>
            <w:gridSpan w:val="4"/>
          </w:tcPr>
          <w:p w:rsidR="0095650B" w:rsidRPr="00836A37" w:rsidRDefault="0095650B" w:rsidP="00C05FAA">
            <w:pPr>
              <w:jc w:val="center"/>
              <w:rPr>
                <w:sz w:val="20"/>
                <w:szCs w:val="20"/>
              </w:rPr>
            </w:pPr>
            <w:r>
              <w:rPr>
                <w:sz w:val="20"/>
                <w:szCs w:val="20"/>
              </w:rPr>
              <w:t>Vatu million</w:t>
            </w:r>
          </w:p>
        </w:tc>
        <w:tc>
          <w:tcPr>
            <w:tcW w:w="1082" w:type="dxa"/>
            <w:vMerge/>
          </w:tcPr>
          <w:p w:rsidR="0095650B" w:rsidRPr="00836A37" w:rsidRDefault="0095650B" w:rsidP="00C05FAA">
            <w:pPr>
              <w:jc w:val="both"/>
              <w:rPr>
                <w:sz w:val="20"/>
                <w:szCs w:val="20"/>
              </w:rPr>
            </w:pPr>
          </w:p>
        </w:tc>
        <w:tc>
          <w:tcPr>
            <w:tcW w:w="1068" w:type="dxa"/>
            <w:vMerge/>
          </w:tcPr>
          <w:p w:rsidR="0095650B" w:rsidRPr="00836A37" w:rsidRDefault="0095650B" w:rsidP="00C05FAA">
            <w:pPr>
              <w:jc w:val="both"/>
              <w:rPr>
                <w:sz w:val="20"/>
                <w:szCs w:val="20"/>
              </w:rPr>
            </w:pPr>
          </w:p>
        </w:tc>
      </w:tr>
      <w:tr w:rsidR="0095650B" w:rsidTr="003E13EF">
        <w:trPr>
          <w:jc w:val="center"/>
        </w:trPr>
        <w:tc>
          <w:tcPr>
            <w:tcW w:w="8505" w:type="dxa"/>
            <w:gridSpan w:val="7"/>
            <w:shd w:val="clear" w:color="auto" w:fill="BFBFBF" w:themeFill="background1" w:themeFillShade="BF"/>
          </w:tcPr>
          <w:p w:rsidR="0095650B" w:rsidRPr="00EC0747" w:rsidRDefault="0095650B" w:rsidP="00C05FAA">
            <w:pPr>
              <w:jc w:val="both"/>
              <w:rPr>
                <w:b/>
                <w:sz w:val="20"/>
                <w:szCs w:val="20"/>
              </w:rPr>
            </w:pPr>
            <w:r w:rsidRPr="00EC0747">
              <w:rPr>
                <w:b/>
                <w:sz w:val="20"/>
                <w:szCs w:val="20"/>
              </w:rPr>
              <w:t>2008</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Cabinet Support</w:t>
            </w:r>
          </w:p>
        </w:tc>
        <w:tc>
          <w:tcPr>
            <w:tcW w:w="1081" w:type="dxa"/>
          </w:tcPr>
          <w:p w:rsidR="0095650B" w:rsidRPr="00836A37" w:rsidRDefault="0095650B" w:rsidP="00C05FAA">
            <w:pPr>
              <w:jc w:val="center"/>
              <w:rPr>
                <w:sz w:val="20"/>
                <w:szCs w:val="20"/>
              </w:rPr>
            </w:pPr>
            <w:r>
              <w:rPr>
                <w:sz w:val="20"/>
                <w:szCs w:val="20"/>
              </w:rPr>
              <w:t>26.8</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28.3</w:t>
            </w:r>
          </w:p>
        </w:tc>
        <w:tc>
          <w:tcPr>
            <w:tcW w:w="1195" w:type="dxa"/>
          </w:tcPr>
          <w:p w:rsidR="0095650B" w:rsidRPr="00836A37" w:rsidRDefault="0095650B" w:rsidP="00C05FAA">
            <w:pPr>
              <w:jc w:val="center"/>
              <w:rPr>
                <w:sz w:val="20"/>
                <w:szCs w:val="20"/>
              </w:rPr>
            </w:pPr>
            <w:r>
              <w:rPr>
                <w:sz w:val="20"/>
                <w:szCs w:val="20"/>
              </w:rPr>
              <w:t>35.8</w:t>
            </w:r>
          </w:p>
        </w:tc>
        <w:tc>
          <w:tcPr>
            <w:tcW w:w="1082" w:type="dxa"/>
          </w:tcPr>
          <w:p w:rsidR="0095650B" w:rsidRPr="00836A37" w:rsidRDefault="0095650B" w:rsidP="00C05FAA">
            <w:pPr>
              <w:jc w:val="center"/>
              <w:rPr>
                <w:sz w:val="20"/>
                <w:szCs w:val="20"/>
              </w:rPr>
            </w:pPr>
            <w:r>
              <w:rPr>
                <w:sz w:val="20"/>
                <w:szCs w:val="20"/>
              </w:rPr>
              <w:t>+33.6%</w:t>
            </w:r>
          </w:p>
        </w:tc>
        <w:tc>
          <w:tcPr>
            <w:tcW w:w="1068" w:type="dxa"/>
          </w:tcPr>
          <w:p w:rsidR="0095650B" w:rsidRPr="00836A37" w:rsidRDefault="0095650B" w:rsidP="00C05FAA">
            <w:pPr>
              <w:jc w:val="center"/>
              <w:rPr>
                <w:sz w:val="20"/>
                <w:szCs w:val="20"/>
              </w:rPr>
            </w:pPr>
            <w:r>
              <w:rPr>
                <w:sz w:val="20"/>
                <w:szCs w:val="20"/>
              </w:rPr>
              <w:t>+26.5%</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Exec Man./Corp Services</w:t>
            </w:r>
          </w:p>
        </w:tc>
        <w:tc>
          <w:tcPr>
            <w:tcW w:w="1081" w:type="dxa"/>
          </w:tcPr>
          <w:p w:rsidR="0095650B" w:rsidRPr="00836A37" w:rsidRDefault="0095650B" w:rsidP="00C05FAA">
            <w:pPr>
              <w:jc w:val="center"/>
              <w:rPr>
                <w:sz w:val="20"/>
                <w:szCs w:val="20"/>
              </w:rPr>
            </w:pPr>
            <w:r>
              <w:rPr>
                <w:sz w:val="20"/>
                <w:szCs w:val="20"/>
              </w:rPr>
              <w:t>259.1</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245.0</w:t>
            </w:r>
          </w:p>
        </w:tc>
        <w:tc>
          <w:tcPr>
            <w:tcW w:w="1195" w:type="dxa"/>
          </w:tcPr>
          <w:p w:rsidR="0095650B" w:rsidRPr="00836A37" w:rsidRDefault="0095650B" w:rsidP="00C05FAA">
            <w:pPr>
              <w:jc w:val="center"/>
              <w:rPr>
                <w:sz w:val="20"/>
                <w:szCs w:val="20"/>
              </w:rPr>
            </w:pPr>
            <w:r>
              <w:rPr>
                <w:sz w:val="20"/>
                <w:szCs w:val="20"/>
              </w:rPr>
              <w:t>239.0</w:t>
            </w:r>
          </w:p>
        </w:tc>
        <w:tc>
          <w:tcPr>
            <w:tcW w:w="1082" w:type="dxa"/>
          </w:tcPr>
          <w:p w:rsidR="0095650B" w:rsidRPr="00836A37" w:rsidRDefault="0095650B" w:rsidP="00C05FAA">
            <w:pPr>
              <w:jc w:val="center"/>
              <w:rPr>
                <w:sz w:val="20"/>
                <w:szCs w:val="20"/>
              </w:rPr>
            </w:pPr>
            <w:r>
              <w:rPr>
                <w:sz w:val="20"/>
                <w:szCs w:val="20"/>
              </w:rPr>
              <w:t>-7.8%</w:t>
            </w:r>
          </w:p>
        </w:tc>
        <w:tc>
          <w:tcPr>
            <w:tcW w:w="1068" w:type="dxa"/>
          </w:tcPr>
          <w:p w:rsidR="0095650B" w:rsidRPr="00836A37" w:rsidRDefault="0095650B" w:rsidP="00C05FAA">
            <w:pPr>
              <w:jc w:val="center"/>
              <w:rPr>
                <w:sz w:val="20"/>
                <w:szCs w:val="20"/>
              </w:rPr>
            </w:pPr>
            <w:r>
              <w:rPr>
                <w:sz w:val="20"/>
                <w:szCs w:val="20"/>
              </w:rPr>
              <w:t>-2.4%</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School Education</w:t>
            </w:r>
          </w:p>
        </w:tc>
        <w:tc>
          <w:tcPr>
            <w:tcW w:w="1081" w:type="dxa"/>
          </w:tcPr>
          <w:p w:rsidR="0095650B" w:rsidRPr="00836A37" w:rsidRDefault="0095650B" w:rsidP="00C05FAA">
            <w:pPr>
              <w:jc w:val="center"/>
              <w:rPr>
                <w:sz w:val="20"/>
                <w:szCs w:val="20"/>
              </w:rPr>
            </w:pPr>
            <w:r>
              <w:rPr>
                <w:sz w:val="20"/>
                <w:szCs w:val="20"/>
              </w:rPr>
              <w:t>2,899.6</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2,911.8</w:t>
            </w:r>
          </w:p>
        </w:tc>
        <w:tc>
          <w:tcPr>
            <w:tcW w:w="1195" w:type="dxa"/>
          </w:tcPr>
          <w:p w:rsidR="0095650B" w:rsidRPr="00836A37" w:rsidRDefault="0095650B" w:rsidP="00C05FAA">
            <w:pPr>
              <w:jc w:val="center"/>
              <w:rPr>
                <w:sz w:val="20"/>
                <w:szCs w:val="20"/>
              </w:rPr>
            </w:pPr>
            <w:r>
              <w:rPr>
                <w:sz w:val="20"/>
                <w:szCs w:val="20"/>
              </w:rPr>
              <w:t>2,952.1</w:t>
            </w:r>
          </w:p>
        </w:tc>
        <w:tc>
          <w:tcPr>
            <w:tcW w:w="1082" w:type="dxa"/>
          </w:tcPr>
          <w:p w:rsidR="0095650B" w:rsidRPr="00836A37" w:rsidRDefault="0095650B" w:rsidP="00C05FAA">
            <w:pPr>
              <w:jc w:val="center"/>
              <w:rPr>
                <w:sz w:val="20"/>
                <w:szCs w:val="20"/>
              </w:rPr>
            </w:pPr>
            <w:r>
              <w:rPr>
                <w:sz w:val="20"/>
                <w:szCs w:val="20"/>
              </w:rPr>
              <w:t>+1.8%</w:t>
            </w:r>
          </w:p>
        </w:tc>
        <w:tc>
          <w:tcPr>
            <w:tcW w:w="1068" w:type="dxa"/>
          </w:tcPr>
          <w:p w:rsidR="0095650B" w:rsidRPr="00836A37" w:rsidRDefault="0095650B" w:rsidP="00C05FAA">
            <w:pPr>
              <w:jc w:val="center"/>
              <w:rPr>
                <w:sz w:val="20"/>
                <w:szCs w:val="20"/>
              </w:rPr>
            </w:pPr>
            <w:r>
              <w:rPr>
                <w:sz w:val="20"/>
                <w:szCs w:val="20"/>
              </w:rPr>
              <w:t>+1.4%</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TSC</w:t>
            </w:r>
          </w:p>
        </w:tc>
        <w:tc>
          <w:tcPr>
            <w:tcW w:w="1081" w:type="dxa"/>
          </w:tcPr>
          <w:p w:rsidR="0095650B" w:rsidRPr="00836A37" w:rsidRDefault="0095650B" w:rsidP="00C05FAA">
            <w:pPr>
              <w:jc w:val="center"/>
              <w:rPr>
                <w:sz w:val="20"/>
                <w:szCs w:val="20"/>
              </w:rPr>
            </w:pPr>
            <w:r>
              <w:rPr>
                <w:sz w:val="20"/>
                <w:szCs w:val="20"/>
              </w:rPr>
              <w:t>-</w:t>
            </w:r>
          </w:p>
        </w:tc>
        <w:tc>
          <w:tcPr>
            <w:tcW w:w="1108" w:type="dxa"/>
          </w:tcPr>
          <w:p w:rsidR="0095650B" w:rsidRPr="00836A37" w:rsidRDefault="0095650B" w:rsidP="00C05FAA">
            <w:pPr>
              <w:jc w:val="center"/>
              <w:rPr>
                <w:sz w:val="20"/>
                <w:szCs w:val="20"/>
              </w:rPr>
            </w:pPr>
            <w:r>
              <w:rPr>
                <w:sz w:val="20"/>
                <w:szCs w:val="20"/>
              </w:rPr>
              <w:t>-</w:t>
            </w:r>
          </w:p>
        </w:tc>
        <w:tc>
          <w:tcPr>
            <w:tcW w:w="1057" w:type="dxa"/>
          </w:tcPr>
          <w:p w:rsidR="0095650B" w:rsidRPr="00836A37" w:rsidRDefault="0095650B" w:rsidP="00C05FAA">
            <w:pPr>
              <w:jc w:val="center"/>
              <w:rPr>
                <w:sz w:val="20"/>
                <w:szCs w:val="20"/>
              </w:rPr>
            </w:pPr>
            <w:r>
              <w:rPr>
                <w:sz w:val="20"/>
                <w:szCs w:val="20"/>
              </w:rPr>
              <w:t>-</w:t>
            </w:r>
          </w:p>
        </w:tc>
        <w:tc>
          <w:tcPr>
            <w:tcW w:w="1195" w:type="dxa"/>
          </w:tcPr>
          <w:p w:rsidR="0095650B" w:rsidRPr="00836A37" w:rsidRDefault="0095650B" w:rsidP="00C05FAA">
            <w:pPr>
              <w:jc w:val="center"/>
              <w:rPr>
                <w:sz w:val="20"/>
                <w:szCs w:val="20"/>
              </w:rPr>
            </w:pPr>
            <w:r>
              <w:rPr>
                <w:sz w:val="20"/>
                <w:szCs w:val="20"/>
              </w:rPr>
              <w:t>-</w:t>
            </w:r>
          </w:p>
        </w:tc>
        <w:tc>
          <w:tcPr>
            <w:tcW w:w="1082" w:type="dxa"/>
          </w:tcPr>
          <w:p w:rsidR="0095650B" w:rsidRPr="00836A37" w:rsidRDefault="0095650B" w:rsidP="00C05FAA">
            <w:pPr>
              <w:jc w:val="center"/>
              <w:rPr>
                <w:sz w:val="20"/>
                <w:szCs w:val="20"/>
              </w:rPr>
            </w:pPr>
            <w:r>
              <w:rPr>
                <w:sz w:val="20"/>
                <w:szCs w:val="20"/>
              </w:rPr>
              <w:t>-</w:t>
            </w:r>
          </w:p>
        </w:tc>
        <w:tc>
          <w:tcPr>
            <w:tcW w:w="1068" w:type="dxa"/>
          </w:tcPr>
          <w:p w:rsidR="0095650B" w:rsidRPr="00836A37" w:rsidRDefault="0095650B" w:rsidP="00C05FAA">
            <w:pPr>
              <w:jc w:val="center"/>
              <w:rPr>
                <w:sz w:val="20"/>
                <w:szCs w:val="20"/>
              </w:rPr>
            </w:pPr>
            <w:r>
              <w:rPr>
                <w:sz w:val="20"/>
                <w:szCs w:val="20"/>
              </w:rPr>
              <w:t>-</w:t>
            </w:r>
          </w:p>
        </w:tc>
      </w:tr>
      <w:tr w:rsidR="0095650B" w:rsidTr="003E13EF">
        <w:trPr>
          <w:jc w:val="center"/>
        </w:trPr>
        <w:tc>
          <w:tcPr>
            <w:tcW w:w="1914" w:type="dxa"/>
          </w:tcPr>
          <w:p w:rsidR="0095650B" w:rsidRPr="00836A37" w:rsidRDefault="0095650B" w:rsidP="00C05FAA">
            <w:pPr>
              <w:jc w:val="both"/>
              <w:rPr>
                <w:sz w:val="20"/>
                <w:szCs w:val="20"/>
              </w:rPr>
            </w:pPr>
            <w:proofErr w:type="spellStart"/>
            <w:r>
              <w:rPr>
                <w:sz w:val="20"/>
                <w:szCs w:val="20"/>
              </w:rPr>
              <w:t>MoE</w:t>
            </w:r>
            <w:proofErr w:type="spellEnd"/>
            <w:r>
              <w:rPr>
                <w:sz w:val="20"/>
                <w:szCs w:val="20"/>
              </w:rPr>
              <w:t xml:space="preserve"> Totals</w:t>
            </w:r>
          </w:p>
        </w:tc>
        <w:tc>
          <w:tcPr>
            <w:tcW w:w="1081" w:type="dxa"/>
          </w:tcPr>
          <w:p w:rsidR="0095650B" w:rsidRPr="00836A37" w:rsidRDefault="0095650B" w:rsidP="00C05FAA">
            <w:pPr>
              <w:jc w:val="center"/>
              <w:rPr>
                <w:sz w:val="20"/>
                <w:szCs w:val="20"/>
              </w:rPr>
            </w:pPr>
            <w:r>
              <w:rPr>
                <w:sz w:val="20"/>
                <w:szCs w:val="20"/>
              </w:rPr>
              <w:t>3,185.5</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3,185.1</w:t>
            </w:r>
          </w:p>
        </w:tc>
        <w:tc>
          <w:tcPr>
            <w:tcW w:w="1195" w:type="dxa"/>
          </w:tcPr>
          <w:p w:rsidR="0095650B" w:rsidRPr="00836A37" w:rsidRDefault="0095650B" w:rsidP="00C05FAA">
            <w:pPr>
              <w:jc w:val="center"/>
              <w:rPr>
                <w:sz w:val="20"/>
                <w:szCs w:val="20"/>
              </w:rPr>
            </w:pPr>
            <w:r>
              <w:rPr>
                <w:sz w:val="20"/>
                <w:szCs w:val="20"/>
              </w:rPr>
              <w:t>3,226.9</w:t>
            </w:r>
          </w:p>
        </w:tc>
        <w:tc>
          <w:tcPr>
            <w:tcW w:w="1082" w:type="dxa"/>
          </w:tcPr>
          <w:p w:rsidR="0095650B" w:rsidRPr="00836A37" w:rsidRDefault="0095650B" w:rsidP="00C05FAA">
            <w:pPr>
              <w:jc w:val="center"/>
              <w:rPr>
                <w:sz w:val="20"/>
                <w:szCs w:val="20"/>
              </w:rPr>
            </w:pPr>
            <w:r>
              <w:rPr>
                <w:sz w:val="20"/>
                <w:szCs w:val="20"/>
              </w:rPr>
              <w:t>+1.3%</w:t>
            </w:r>
          </w:p>
        </w:tc>
        <w:tc>
          <w:tcPr>
            <w:tcW w:w="1068" w:type="dxa"/>
          </w:tcPr>
          <w:p w:rsidR="0095650B" w:rsidRPr="00836A37" w:rsidRDefault="0095650B" w:rsidP="00C05FAA">
            <w:pPr>
              <w:jc w:val="center"/>
              <w:rPr>
                <w:sz w:val="20"/>
                <w:szCs w:val="20"/>
              </w:rPr>
            </w:pPr>
            <w:r>
              <w:rPr>
                <w:sz w:val="20"/>
                <w:szCs w:val="20"/>
              </w:rPr>
              <w:t>+1.3%</w:t>
            </w:r>
          </w:p>
        </w:tc>
      </w:tr>
      <w:tr w:rsidR="0095650B" w:rsidTr="003E13EF">
        <w:trPr>
          <w:jc w:val="center"/>
        </w:trPr>
        <w:tc>
          <w:tcPr>
            <w:tcW w:w="8505" w:type="dxa"/>
            <w:gridSpan w:val="7"/>
            <w:shd w:val="clear" w:color="auto" w:fill="BFBFBF" w:themeFill="background1" w:themeFillShade="BF"/>
          </w:tcPr>
          <w:p w:rsidR="0095650B" w:rsidRPr="00EC0747" w:rsidRDefault="0095650B" w:rsidP="00C05FAA">
            <w:pPr>
              <w:jc w:val="both"/>
              <w:rPr>
                <w:b/>
                <w:sz w:val="20"/>
                <w:szCs w:val="20"/>
              </w:rPr>
            </w:pPr>
            <w:r w:rsidRPr="00EC0747">
              <w:rPr>
                <w:b/>
                <w:sz w:val="20"/>
                <w:szCs w:val="20"/>
              </w:rPr>
              <w:t>2009</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Cabinet Support</w:t>
            </w:r>
          </w:p>
        </w:tc>
        <w:tc>
          <w:tcPr>
            <w:tcW w:w="1081" w:type="dxa"/>
          </w:tcPr>
          <w:p w:rsidR="0095650B" w:rsidRPr="00836A37" w:rsidRDefault="0095650B" w:rsidP="00C05FAA">
            <w:pPr>
              <w:jc w:val="center"/>
              <w:rPr>
                <w:sz w:val="20"/>
                <w:szCs w:val="20"/>
              </w:rPr>
            </w:pPr>
            <w:r>
              <w:rPr>
                <w:sz w:val="20"/>
                <w:szCs w:val="20"/>
              </w:rPr>
              <w:t>32.7</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32.7</w:t>
            </w:r>
          </w:p>
        </w:tc>
        <w:tc>
          <w:tcPr>
            <w:tcW w:w="1195" w:type="dxa"/>
          </w:tcPr>
          <w:p w:rsidR="0095650B" w:rsidRPr="00836A37" w:rsidRDefault="0095650B" w:rsidP="00C05FAA">
            <w:pPr>
              <w:jc w:val="center"/>
              <w:rPr>
                <w:sz w:val="20"/>
                <w:szCs w:val="20"/>
              </w:rPr>
            </w:pPr>
            <w:r>
              <w:rPr>
                <w:sz w:val="20"/>
                <w:szCs w:val="20"/>
              </w:rPr>
              <w:t>36.7</w:t>
            </w:r>
          </w:p>
        </w:tc>
        <w:tc>
          <w:tcPr>
            <w:tcW w:w="1082" w:type="dxa"/>
          </w:tcPr>
          <w:p w:rsidR="0095650B" w:rsidRPr="00836A37" w:rsidRDefault="0095650B" w:rsidP="00C05FAA">
            <w:pPr>
              <w:jc w:val="center"/>
              <w:rPr>
                <w:sz w:val="20"/>
                <w:szCs w:val="20"/>
              </w:rPr>
            </w:pPr>
            <w:r>
              <w:rPr>
                <w:sz w:val="20"/>
                <w:szCs w:val="20"/>
              </w:rPr>
              <w:t>+12.2%</w:t>
            </w:r>
          </w:p>
        </w:tc>
        <w:tc>
          <w:tcPr>
            <w:tcW w:w="1068" w:type="dxa"/>
          </w:tcPr>
          <w:p w:rsidR="0095650B" w:rsidRPr="00836A37" w:rsidRDefault="0095650B" w:rsidP="00C05FAA">
            <w:pPr>
              <w:jc w:val="center"/>
              <w:rPr>
                <w:sz w:val="20"/>
                <w:szCs w:val="20"/>
              </w:rPr>
            </w:pPr>
            <w:r>
              <w:rPr>
                <w:sz w:val="20"/>
                <w:szCs w:val="20"/>
              </w:rPr>
              <w:t>+12.2%</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Exec Man./Corp Services</w:t>
            </w:r>
          </w:p>
        </w:tc>
        <w:tc>
          <w:tcPr>
            <w:tcW w:w="1081" w:type="dxa"/>
          </w:tcPr>
          <w:p w:rsidR="0095650B" w:rsidRPr="00836A37" w:rsidRDefault="0095650B" w:rsidP="00C05FAA">
            <w:pPr>
              <w:jc w:val="center"/>
              <w:rPr>
                <w:sz w:val="20"/>
                <w:szCs w:val="20"/>
              </w:rPr>
            </w:pPr>
            <w:r>
              <w:rPr>
                <w:sz w:val="20"/>
                <w:szCs w:val="20"/>
              </w:rPr>
              <w:t>248.6</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253.1</w:t>
            </w:r>
          </w:p>
        </w:tc>
        <w:tc>
          <w:tcPr>
            <w:tcW w:w="1195" w:type="dxa"/>
          </w:tcPr>
          <w:p w:rsidR="0095650B" w:rsidRPr="00836A37" w:rsidRDefault="0095650B" w:rsidP="00C05FAA">
            <w:pPr>
              <w:jc w:val="center"/>
              <w:rPr>
                <w:sz w:val="20"/>
                <w:szCs w:val="20"/>
              </w:rPr>
            </w:pPr>
            <w:r>
              <w:rPr>
                <w:sz w:val="20"/>
                <w:szCs w:val="20"/>
              </w:rPr>
              <w:t>242.5</w:t>
            </w:r>
          </w:p>
        </w:tc>
        <w:tc>
          <w:tcPr>
            <w:tcW w:w="1082" w:type="dxa"/>
          </w:tcPr>
          <w:p w:rsidR="0095650B" w:rsidRPr="00836A37" w:rsidRDefault="0095650B" w:rsidP="00C05FAA">
            <w:pPr>
              <w:jc w:val="center"/>
              <w:rPr>
                <w:sz w:val="20"/>
                <w:szCs w:val="20"/>
              </w:rPr>
            </w:pPr>
            <w:r>
              <w:rPr>
                <w:sz w:val="20"/>
                <w:szCs w:val="20"/>
              </w:rPr>
              <w:t>-2.5%</w:t>
            </w:r>
          </w:p>
        </w:tc>
        <w:tc>
          <w:tcPr>
            <w:tcW w:w="1068" w:type="dxa"/>
          </w:tcPr>
          <w:p w:rsidR="0095650B" w:rsidRPr="00836A37" w:rsidRDefault="0095650B" w:rsidP="00C05FAA">
            <w:pPr>
              <w:jc w:val="center"/>
              <w:rPr>
                <w:sz w:val="20"/>
                <w:szCs w:val="20"/>
              </w:rPr>
            </w:pPr>
            <w:r>
              <w:rPr>
                <w:sz w:val="20"/>
                <w:szCs w:val="20"/>
              </w:rPr>
              <w:t>-4.2%</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School Education</w:t>
            </w:r>
          </w:p>
        </w:tc>
        <w:tc>
          <w:tcPr>
            <w:tcW w:w="1081" w:type="dxa"/>
          </w:tcPr>
          <w:p w:rsidR="0095650B" w:rsidRPr="00836A37" w:rsidRDefault="0095650B" w:rsidP="00C05FAA">
            <w:pPr>
              <w:jc w:val="center"/>
              <w:rPr>
                <w:sz w:val="20"/>
                <w:szCs w:val="20"/>
              </w:rPr>
            </w:pPr>
            <w:r>
              <w:rPr>
                <w:sz w:val="20"/>
                <w:szCs w:val="20"/>
              </w:rPr>
              <w:t>2,929.1</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2,924.7</w:t>
            </w:r>
          </w:p>
        </w:tc>
        <w:tc>
          <w:tcPr>
            <w:tcW w:w="1195" w:type="dxa"/>
          </w:tcPr>
          <w:p w:rsidR="0095650B" w:rsidRPr="00836A37" w:rsidRDefault="0095650B" w:rsidP="00C05FAA">
            <w:pPr>
              <w:jc w:val="center"/>
              <w:rPr>
                <w:sz w:val="20"/>
                <w:szCs w:val="20"/>
              </w:rPr>
            </w:pPr>
            <w:r>
              <w:rPr>
                <w:sz w:val="20"/>
                <w:szCs w:val="20"/>
              </w:rPr>
              <w:t>2,979.6</w:t>
            </w:r>
          </w:p>
        </w:tc>
        <w:tc>
          <w:tcPr>
            <w:tcW w:w="1082" w:type="dxa"/>
          </w:tcPr>
          <w:p w:rsidR="0095650B" w:rsidRPr="00836A37" w:rsidRDefault="0095650B" w:rsidP="00C05FAA">
            <w:pPr>
              <w:jc w:val="center"/>
              <w:rPr>
                <w:sz w:val="20"/>
                <w:szCs w:val="20"/>
              </w:rPr>
            </w:pPr>
            <w:r>
              <w:rPr>
                <w:sz w:val="20"/>
                <w:szCs w:val="20"/>
              </w:rPr>
              <w:t>+1.7%</w:t>
            </w:r>
          </w:p>
        </w:tc>
        <w:tc>
          <w:tcPr>
            <w:tcW w:w="1068" w:type="dxa"/>
          </w:tcPr>
          <w:p w:rsidR="0095650B" w:rsidRPr="00836A37" w:rsidRDefault="0095650B" w:rsidP="00C05FAA">
            <w:pPr>
              <w:jc w:val="center"/>
              <w:rPr>
                <w:sz w:val="20"/>
                <w:szCs w:val="20"/>
              </w:rPr>
            </w:pPr>
            <w:r>
              <w:rPr>
                <w:sz w:val="20"/>
                <w:szCs w:val="20"/>
              </w:rPr>
              <w:t>+1.9%</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TSC</w:t>
            </w:r>
          </w:p>
        </w:tc>
        <w:tc>
          <w:tcPr>
            <w:tcW w:w="1081" w:type="dxa"/>
          </w:tcPr>
          <w:p w:rsidR="0095650B" w:rsidRPr="00836A37" w:rsidRDefault="0095650B" w:rsidP="00C05FAA">
            <w:pPr>
              <w:jc w:val="center"/>
              <w:rPr>
                <w:sz w:val="20"/>
                <w:szCs w:val="20"/>
              </w:rPr>
            </w:pPr>
            <w:r>
              <w:rPr>
                <w:sz w:val="20"/>
                <w:szCs w:val="20"/>
              </w:rPr>
              <w:t>-</w:t>
            </w:r>
          </w:p>
        </w:tc>
        <w:tc>
          <w:tcPr>
            <w:tcW w:w="1108" w:type="dxa"/>
          </w:tcPr>
          <w:p w:rsidR="0095650B" w:rsidRPr="00836A37" w:rsidRDefault="0095650B" w:rsidP="00C05FAA">
            <w:pPr>
              <w:jc w:val="center"/>
              <w:rPr>
                <w:sz w:val="20"/>
                <w:szCs w:val="20"/>
              </w:rPr>
            </w:pPr>
            <w:r>
              <w:rPr>
                <w:sz w:val="20"/>
                <w:szCs w:val="20"/>
              </w:rPr>
              <w:t>-</w:t>
            </w:r>
          </w:p>
        </w:tc>
        <w:tc>
          <w:tcPr>
            <w:tcW w:w="1057" w:type="dxa"/>
          </w:tcPr>
          <w:p w:rsidR="0095650B" w:rsidRPr="00836A37" w:rsidRDefault="0095650B" w:rsidP="00C05FAA">
            <w:pPr>
              <w:jc w:val="center"/>
              <w:rPr>
                <w:sz w:val="20"/>
                <w:szCs w:val="20"/>
              </w:rPr>
            </w:pPr>
            <w:r>
              <w:rPr>
                <w:sz w:val="20"/>
                <w:szCs w:val="20"/>
              </w:rPr>
              <w:t>-</w:t>
            </w:r>
          </w:p>
        </w:tc>
        <w:tc>
          <w:tcPr>
            <w:tcW w:w="1195" w:type="dxa"/>
          </w:tcPr>
          <w:p w:rsidR="0095650B" w:rsidRPr="00836A37" w:rsidRDefault="0095650B" w:rsidP="00C05FAA">
            <w:pPr>
              <w:jc w:val="center"/>
              <w:rPr>
                <w:sz w:val="20"/>
                <w:szCs w:val="20"/>
              </w:rPr>
            </w:pPr>
            <w:r>
              <w:rPr>
                <w:sz w:val="20"/>
                <w:szCs w:val="20"/>
              </w:rPr>
              <w:t>-</w:t>
            </w:r>
          </w:p>
        </w:tc>
        <w:tc>
          <w:tcPr>
            <w:tcW w:w="1082" w:type="dxa"/>
          </w:tcPr>
          <w:p w:rsidR="0095650B" w:rsidRPr="00836A37" w:rsidRDefault="0095650B" w:rsidP="00C05FAA">
            <w:pPr>
              <w:jc w:val="center"/>
              <w:rPr>
                <w:sz w:val="20"/>
                <w:szCs w:val="20"/>
              </w:rPr>
            </w:pPr>
            <w:r>
              <w:rPr>
                <w:sz w:val="20"/>
                <w:szCs w:val="20"/>
              </w:rPr>
              <w:t>-</w:t>
            </w:r>
          </w:p>
        </w:tc>
        <w:tc>
          <w:tcPr>
            <w:tcW w:w="1068" w:type="dxa"/>
          </w:tcPr>
          <w:p w:rsidR="0095650B" w:rsidRPr="00836A37" w:rsidRDefault="0095650B" w:rsidP="00C05FAA">
            <w:pPr>
              <w:jc w:val="center"/>
              <w:rPr>
                <w:sz w:val="20"/>
                <w:szCs w:val="20"/>
              </w:rPr>
            </w:pPr>
            <w:r>
              <w:rPr>
                <w:sz w:val="20"/>
                <w:szCs w:val="20"/>
              </w:rPr>
              <w:t>-</w:t>
            </w:r>
          </w:p>
        </w:tc>
      </w:tr>
      <w:tr w:rsidR="0095650B" w:rsidTr="003E13EF">
        <w:trPr>
          <w:jc w:val="center"/>
        </w:trPr>
        <w:tc>
          <w:tcPr>
            <w:tcW w:w="1914" w:type="dxa"/>
          </w:tcPr>
          <w:p w:rsidR="0095650B" w:rsidRPr="00836A37" w:rsidRDefault="0095650B" w:rsidP="00C05FAA">
            <w:pPr>
              <w:jc w:val="both"/>
              <w:rPr>
                <w:sz w:val="20"/>
                <w:szCs w:val="20"/>
              </w:rPr>
            </w:pPr>
            <w:proofErr w:type="spellStart"/>
            <w:r>
              <w:rPr>
                <w:sz w:val="20"/>
                <w:szCs w:val="20"/>
              </w:rPr>
              <w:t>MoE</w:t>
            </w:r>
            <w:proofErr w:type="spellEnd"/>
            <w:r>
              <w:rPr>
                <w:sz w:val="20"/>
                <w:szCs w:val="20"/>
              </w:rPr>
              <w:t xml:space="preserve"> Totals</w:t>
            </w:r>
          </w:p>
        </w:tc>
        <w:tc>
          <w:tcPr>
            <w:tcW w:w="1081" w:type="dxa"/>
          </w:tcPr>
          <w:p w:rsidR="0095650B" w:rsidRPr="00836A37" w:rsidRDefault="0095650B" w:rsidP="00C05FAA">
            <w:pPr>
              <w:jc w:val="center"/>
              <w:rPr>
                <w:sz w:val="20"/>
                <w:szCs w:val="20"/>
              </w:rPr>
            </w:pPr>
            <w:r>
              <w:rPr>
                <w:sz w:val="20"/>
                <w:szCs w:val="20"/>
              </w:rPr>
              <w:t>3,210.5</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3,210.5</w:t>
            </w:r>
          </w:p>
        </w:tc>
        <w:tc>
          <w:tcPr>
            <w:tcW w:w="1195" w:type="dxa"/>
          </w:tcPr>
          <w:p w:rsidR="0095650B" w:rsidRPr="00836A37" w:rsidRDefault="0095650B" w:rsidP="00C05FAA">
            <w:pPr>
              <w:jc w:val="center"/>
              <w:rPr>
                <w:sz w:val="20"/>
                <w:szCs w:val="20"/>
              </w:rPr>
            </w:pPr>
            <w:r>
              <w:rPr>
                <w:sz w:val="20"/>
                <w:szCs w:val="20"/>
              </w:rPr>
              <w:t>3,258.7</w:t>
            </w:r>
          </w:p>
        </w:tc>
        <w:tc>
          <w:tcPr>
            <w:tcW w:w="1082" w:type="dxa"/>
          </w:tcPr>
          <w:p w:rsidR="0095650B" w:rsidRPr="00836A37" w:rsidRDefault="0095650B" w:rsidP="00C05FAA">
            <w:pPr>
              <w:jc w:val="center"/>
              <w:rPr>
                <w:sz w:val="20"/>
                <w:szCs w:val="20"/>
              </w:rPr>
            </w:pPr>
            <w:r>
              <w:rPr>
                <w:sz w:val="20"/>
                <w:szCs w:val="20"/>
              </w:rPr>
              <w:t>+1.5%</w:t>
            </w:r>
          </w:p>
        </w:tc>
        <w:tc>
          <w:tcPr>
            <w:tcW w:w="1068" w:type="dxa"/>
          </w:tcPr>
          <w:p w:rsidR="0095650B" w:rsidRPr="00836A37" w:rsidRDefault="0095650B" w:rsidP="00C05FAA">
            <w:pPr>
              <w:jc w:val="center"/>
              <w:rPr>
                <w:sz w:val="20"/>
                <w:szCs w:val="20"/>
              </w:rPr>
            </w:pPr>
            <w:r>
              <w:rPr>
                <w:sz w:val="20"/>
                <w:szCs w:val="20"/>
              </w:rPr>
              <w:t>+1.5%</w:t>
            </w:r>
          </w:p>
        </w:tc>
      </w:tr>
      <w:tr w:rsidR="0095650B" w:rsidTr="003E13EF">
        <w:trPr>
          <w:jc w:val="center"/>
        </w:trPr>
        <w:tc>
          <w:tcPr>
            <w:tcW w:w="8505" w:type="dxa"/>
            <w:gridSpan w:val="7"/>
            <w:shd w:val="clear" w:color="auto" w:fill="BFBFBF" w:themeFill="background1" w:themeFillShade="BF"/>
          </w:tcPr>
          <w:p w:rsidR="0095650B" w:rsidRPr="00EC0747" w:rsidRDefault="0095650B" w:rsidP="00C05FAA">
            <w:pPr>
              <w:jc w:val="both"/>
              <w:rPr>
                <w:b/>
                <w:sz w:val="20"/>
                <w:szCs w:val="20"/>
              </w:rPr>
            </w:pPr>
            <w:r w:rsidRPr="00EC0747">
              <w:rPr>
                <w:b/>
                <w:sz w:val="20"/>
                <w:szCs w:val="20"/>
              </w:rPr>
              <w:t>2010</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Cabinet Support</w:t>
            </w:r>
          </w:p>
        </w:tc>
        <w:tc>
          <w:tcPr>
            <w:tcW w:w="1081" w:type="dxa"/>
          </w:tcPr>
          <w:p w:rsidR="0095650B" w:rsidRPr="00836A37" w:rsidRDefault="0095650B" w:rsidP="00C05FAA">
            <w:pPr>
              <w:jc w:val="center"/>
              <w:rPr>
                <w:sz w:val="20"/>
                <w:szCs w:val="20"/>
              </w:rPr>
            </w:pPr>
            <w:r>
              <w:rPr>
                <w:sz w:val="20"/>
                <w:szCs w:val="20"/>
              </w:rPr>
              <w:t>40.9</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40.9</w:t>
            </w:r>
          </w:p>
        </w:tc>
        <w:tc>
          <w:tcPr>
            <w:tcW w:w="1195" w:type="dxa"/>
          </w:tcPr>
          <w:p w:rsidR="0095650B" w:rsidRPr="00836A37" w:rsidRDefault="0095650B" w:rsidP="00C05FAA">
            <w:pPr>
              <w:jc w:val="center"/>
              <w:rPr>
                <w:sz w:val="20"/>
                <w:szCs w:val="20"/>
              </w:rPr>
            </w:pPr>
            <w:r>
              <w:rPr>
                <w:sz w:val="20"/>
                <w:szCs w:val="20"/>
              </w:rPr>
              <w:t>41.2</w:t>
            </w:r>
          </w:p>
        </w:tc>
        <w:tc>
          <w:tcPr>
            <w:tcW w:w="1082" w:type="dxa"/>
          </w:tcPr>
          <w:p w:rsidR="0095650B" w:rsidRPr="00836A37" w:rsidRDefault="0095650B" w:rsidP="00C05FAA">
            <w:pPr>
              <w:jc w:val="center"/>
              <w:rPr>
                <w:sz w:val="20"/>
                <w:szCs w:val="20"/>
              </w:rPr>
            </w:pPr>
            <w:r>
              <w:rPr>
                <w:sz w:val="20"/>
                <w:szCs w:val="20"/>
              </w:rPr>
              <w:t>+0.7%</w:t>
            </w:r>
          </w:p>
        </w:tc>
        <w:tc>
          <w:tcPr>
            <w:tcW w:w="1068" w:type="dxa"/>
          </w:tcPr>
          <w:p w:rsidR="0095650B" w:rsidRPr="00836A37" w:rsidRDefault="0095650B" w:rsidP="00C05FAA">
            <w:pPr>
              <w:jc w:val="center"/>
              <w:rPr>
                <w:sz w:val="20"/>
                <w:szCs w:val="20"/>
              </w:rPr>
            </w:pPr>
            <w:r>
              <w:rPr>
                <w:sz w:val="20"/>
                <w:szCs w:val="20"/>
              </w:rPr>
              <w:t>+0.7%</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Exec Man./Corp Services</w:t>
            </w:r>
          </w:p>
        </w:tc>
        <w:tc>
          <w:tcPr>
            <w:tcW w:w="1081" w:type="dxa"/>
          </w:tcPr>
          <w:p w:rsidR="0095650B" w:rsidRPr="00836A37" w:rsidRDefault="0095650B" w:rsidP="00C05FAA">
            <w:pPr>
              <w:jc w:val="center"/>
              <w:rPr>
                <w:sz w:val="20"/>
                <w:szCs w:val="20"/>
              </w:rPr>
            </w:pPr>
            <w:r>
              <w:rPr>
                <w:sz w:val="20"/>
                <w:szCs w:val="20"/>
              </w:rPr>
              <w:t>389.8</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401.7</w:t>
            </w:r>
          </w:p>
        </w:tc>
        <w:tc>
          <w:tcPr>
            <w:tcW w:w="1195" w:type="dxa"/>
          </w:tcPr>
          <w:p w:rsidR="0095650B" w:rsidRPr="00836A37" w:rsidRDefault="0095650B" w:rsidP="00C05FAA">
            <w:pPr>
              <w:jc w:val="center"/>
              <w:rPr>
                <w:sz w:val="20"/>
                <w:szCs w:val="20"/>
              </w:rPr>
            </w:pPr>
            <w:r>
              <w:rPr>
                <w:sz w:val="20"/>
                <w:szCs w:val="20"/>
              </w:rPr>
              <w:t>368.2</w:t>
            </w:r>
          </w:p>
        </w:tc>
        <w:tc>
          <w:tcPr>
            <w:tcW w:w="1082" w:type="dxa"/>
          </w:tcPr>
          <w:p w:rsidR="0095650B" w:rsidRPr="00836A37" w:rsidRDefault="0095650B" w:rsidP="00C05FAA">
            <w:pPr>
              <w:jc w:val="center"/>
              <w:rPr>
                <w:sz w:val="20"/>
                <w:szCs w:val="20"/>
              </w:rPr>
            </w:pPr>
            <w:r>
              <w:rPr>
                <w:sz w:val="20"/>
                <w:szCs w:val="20"/>
              </w:rPr>
              <w:t>-5.5%</w:t>
            </w:r>
          </w:p>
        </w:tc>
        <w:tc>
          <w:tcPr>
            <w:tcW w:w="1068" w:type="dxa"/>
          </w:tcPr>
          <w:p w:rsidR="0095650B" w:rsidRPr="00836A37" w:rsidRDefault="0095650B" w:rsidP="00C05FAA">
            <w:pPr>
              <w:jc w:val="center"/>
              <w:rPr>
                <w:sz w:val="20"/>
                <w:szCs w:val="20"/>
              </w:rPr>
            </w:pPr>
            <w:r>
              <w:rPr>
                <w:sz w:val="20"/>
                <w:szCs w:val="20"/>
              </w:rPr>
              <w:t>-8.3%</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School Education</w:t>
            </w:r>
          </w:p>
        </w:tc>
        <w:tc>
          <w:tcPr>
            <w:tcW w:w="1081" w:type="dxa"/>
          </w:tcPr>
          <w:p w:rsidR="0095650B" w:rsidRPr="00836A37" w:rsidRDefault="0095650B" w:rsidP="00C05FAA">
            <w:pPr>
              <w:jc w:val="center"/>
              <w:rPr>
                <w:sz w:val="20"/>
                <w:szCs w:val="20"/>
              </w:rPr>
            </w:pPr>
            <w:r>
              <w:rPr>
                <w:sz w:val="20"/>
                <w:szCs w:val="20"/>
              </w:rPr>
              <w:t>3,034.7</w:t>
            </w:r>
          </w:p>
        </w:tc>
        <w:tc>
          <w:tcPr>
            <w:tcW w:w="1108" w:type="dxa"/>
          </w:tcPr>
          <w:p w:rsidR="0095650B" w:rsidRPr="00836A37" w:rsidRDefault="0095650B" w:rsidP="00C05FAA">
            <w:pPr>
              <w:jc w:val="center"/>
              <w:rPr>
                <w:sz w:val="20"/>
                <w:szCs w:val="20"/>
              </w:rPr>
            </w:pPr>
            <w:r>
              <w:rPr>
                <w:sz w:val="20"/>
                <w:szCs w:val="20"/>
              </w:rPr>
              <w:t>100.0</w:t>
            </w:r>
          </w:p>
        </w:tc>
        <w:tc>
          <w:tcPr>
            <w:tcW w:w="1057" w:type="dxa"/>
          </w:tcPr>
          <w:p w:rsidR="0095650B" w:rsidRPr="00836A37" w:rsidRDefault="0095650B" w:rsidP="00C05FAA">
            <w:pPr>
              <w:jc w:val="center"/>
              <w:rPr>
                <w:sz w:val="20"/>
                <w:szCs w:val="20"/>
              </w:rPr>
            </w:pPr>
            <w:r>
              <w:rPr>
                <w:sz w:val="20"/>
                <w:szCs w:val="20"/>
              </w:rPr>
              <w:t>3,122.8</w:t>
            </w:r>
          </w:p>
        </w:tc>
        <w:tc>
          <w:tcPr>
            <w:tcW w:w="1195" w:type="dxa"/>
          </w:tcPr>
          <w:p w:rsidR="0095650B" w:rsidRPr="00836A37" w:rsidRDefault="0095650B" w:rsidP="00C05FAA">
            <w:pPr>
              <w:jc w:val="center"/>
              <w:rPr>
                <w:sz w:val="20"/>
                <w:szCs w:val="20"/>
              </w:rPr>
            </w:pPr>
            <w:r>
              <w:rPr>
                <w:sz w:val="20"/>
                <w:szCs w:val="20"/>
              </w:rPr>
              <w:t>3,125.2</w:t>
            </w:r>
          </w:p>
        </w:tc>
        <w:tc>
          <w:tcPr>
            <w:tcW w:w="1082" w:type="dxa"/>
          </w:tcPr>
          <w:p w:rsidR="0095650B" w:rsidRPr="00836A37" w:rsidRDefault="0095650B" w:rsidP="00C05FAA">
            <w:pPr>
              <w:jc w:val="center"/>
              <w:rPr>
                <w:sz w:val="20"/>
                <w:szCs w:val="20"/>
              </w:rPr>
            </w:pPr>
            <w:r>
              <w:rPr>
                <w:sz w:val="20"/>
                <w:szCs w:val="20"/>
              </w:rPr>
              <w:t>+3.0%</w:t>
            </w:r>
          </w:p>
        </w:tc>
        <w:tc>
          <w:tcPr>
            <w:tcW w:w="1068" w:type="dxa"/>
          </w:tcPr>
          <w:p w:rsidR="0095650B" w:rsidRPr="00836A37" w:rsidRDefault="0095650B" w:rsidP="00C05FAA">
            <w:pPr>
              <w:jc w:val="center"/>
              <w:rPr>
                <w:sz w:val="20"/>
                <w:szCs w:val="20"/>
              </w:rPr>
            </w:pPr>
            <w:r>
              <w:rPr>
                <w:sz w:val="20"/>
                <w:szCs w:val="20"/>
              </w:rPr>
              <w:t>+0.8%</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TSC</w:t>
            </w:r>
          </w:p>
        </w:tc>
        <w:tc>
          <w:tcPr>
            <w:tcW w:w="1081" w:type="dxa"/>
          </w:tcPr>
          <w:p w:rsidR="0095650B" w:rsidRPr="00836A37" w:rsidRDefault="0095650B" w:rsidP="00C05FAA">
            <w:pPr>
              <w:jc w:val="center"/>
              <w:rPr>
                <w:sz w:val="20"/>
                <w:szCs w:val="20"/>
              </w:rPr>
            </w:pPr>
            <w:r>
              <w:rPr>
                <w:sz w:val="20"/>
                <w:szCs w:val="20"/>
              </w:rPr>
              <w:t>158.1</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158.1</w:t>
            </w:r>
          </w:p>
        </w:tc>
        <w:tc>
          <w:tcPr>
            <w:tcW w:w="1195" w:type="dxa"/>
          </w:tcPr>
          <w:p w:rsidR="0095650B" w:rsidRPr="00836A37" w:rsidRDefault="0095650B" w:rsidP="00C05FAA">
            <w:pPr>
              <w:jc w:val="center"/>
              <w:rPr>
                <w:sz w:val="20"/>
                <w:szCs w:val="20"/>
              </w:rPr>
            </w:pPr>
            <w:r>
              <w:rPr>
                <w:sz w:val="20"/>
                <w:szCs w:val="20"/>
              </w:rPr>
              <w:t>158.1</w:t>
            </w:r>
          </w:p>
        </w:tc>
        <w:tc>
          <w:tcPr>
            <w:tcW w:w="1082" w:type="dxa"/>
          </w:tcPr>
          <w:p w:rsidR="0095650B" w:rsidRPr="00836A37" w:rsidRDefault="0095650B" w:rsidP="00C05FAA">
            <w:pPr>
              <w:jc w:val="center"/>
              <w:rPr>
                <w:sz w:val="20"/>
                <w:szCs w:val="20"/>
              </w:rPr>
            </w:pPr>
            <w:r>
              <w:rPr>
                <w:sz w:val="20"/>
                <w:szCs w:val="20"/>
              </w:rPr>
              <w:t>0</w:t>
            </w:r>
          </w:p>
        </w:tc>
        <w:tc>
          <w:tcPr>
            <w:tcW w:w="1068" w:type="dxa"/>
          </w:tcPr>
          <w:p w:rsidR="0095650B" w:rsidRPr="00836A37" w:rsidRDefault="0095650B" w:rsidP="00C05FAA">
            <w:pPr>
              <w:jc w:val="center"/>
              <w:rPr>
                <w:sz w:val="20"/>
                <w:szCs w:val="20"/>
              </w:rPr>
            </w:pPr>
            <w:r>
              <w:rPr>
                <w:sz w:val="20"/>
                <w:szCs w:val="20"/>
              </w:rPr>
              <w:t>0</w:t>
            </w:r>
          </w:p>
        </w:tc>
      </w:tr>
      <w:tr w:rsidR="0095650B" w:rsidTr="003E13EF">
        <w:trPr>
          <w:jc w:val="center"/>
        </w:trPr>
        <w:tc>
          <w:tcPr>
            <w:tcW w:w="1914" w:type="dxa"/>
          </w:tcPr>
          <w:p w:rsidR="0095650B" w:rsidRPr="00836A37" w:rsidRDefault="0095650B" w:rsidP="00C05FAA">
            <w:pPr>
              <w:jc w:val="both"/>
              <w:rPr>
                <w:sz w:val="20"/>
                <w:szCs w:val="20"/>
              </w:rPr>
            </w:pPr>
            <w:proofErr w:type="spellStart"/>
            <w:r>
              <w:rPr>
                <w:sz w:val="20"/>
                <w:szCs w:val="20"/>
              </w:rPr>
              <w:t>MoE</w:t>
            </w:r>
            <w:proofErr w:type="spellEnd"/>
            <w:r>
              <w:rPr>
                <w:sz w:val="20"/>
                <w:szCs w:val="20"/>
              </w:rPr>
              <w:t xml:space="preserve"> Totals</w:t>
            </w:r>
          </w:p>
        </w:tc>
        <w:tc>
          <w:tcPr>
            <w:tcW w:w="1081" w:type="dxa"/>
          </w:tcPr>
          <w:p w:rsidR="0095650B" w:rsidRPr="00836A37" w:rsidRDefault="0095650B" w:rsidP="00C05FAA">
            <w:pPr>
              <w:jc w:val="center"/>
              <w:rPr>
                <w:sz w:val="20"/>
                <w:szCs w:val="20"/>
              </w:rPr>
            </w:pPr>
            <w:r>
              <w:rPr>
                <w:sz w:val="20"/>
                <w:szCs w:val="20"/>
              </w:rPr>
              <w:t>3,623.6</w:t>
            </w:r>
          </w:p>
        </w:tc>
        <w:tc>
          <w:tcPr>
            <w:tcW w:w="1108" w:type="dxa"/>
          </w:tcPr>
          <w:p w:rsidR="0095650B" w:rsidRPr="00836A37" w:rsidRDefault="0095650B" w:rsidP="00C05FAA">
            <w:pPr>
              <w:jc w:val="center"/>
              <w:rPr>
                <w:sz w:val="20"/>
                <w:szCs w:val="20"/>
              </w:rPr>
            </w:pPr>
            <w:r>
              <w:rPr>
                <w:sz w:val="20"/>
                <w:szCs w:val="20"/>
              </w:rPr>
              <w:t>100.0</w:t>
            </w:r>
          </w:p>
        </w:tc>
        <w:tc>
          <w:tcPr>
            <w:tcW w:w="1057" w:type="dxa"/>
          </w:tcPr>
          <w:p w:rsidR="0095650B" w:rsidRPr="00836A37" w:rsidRDefault="0095650B" w:rsidP="00C05FAA">
            <w:pPr>
              <w:jc w:val="center"/>
              <w:rPr>
                <w:sz w:val="20"/>
                <w:szCs w:val="20"/>
              </w:rPr>
            </w:pPr>
            <w:r>
              <w:rPr>
                <w:sz w:val="20"/>
                <w:szCs w:val="20"/>
              </w:rPr>
              <w:t>3,723.6</w:t>
            </w:r>
          </w:p>
        </w:tc>
        <w:tc>
          <w:tcPr>
            <w:tcW w:w="1195" w:type="dxa"/>
          </w:tcPr>
          <w:p w:rsidR="0095650B" w:rsidRPr="00836A37" w:rsidRDefault="0095650B" w:rsidP="00C05FAA">
            <w:pPr>
              <w:jc w:val="center"/>
              <w:rPr>
                <w:sz w:val="20"/>
                <w:szCs w:val="20"/>
              </w:rPr>
            </w:pPr>
            <w:r>
              <w:rPr>
                <w:sz w:val="20"/>
                <w:szCs w:val="20"/>
              </w:rPr>
              <w:t>3,692.7</w:t>
            </w:r>
          </w:p>
        </w:tc>
        <w:tc>
          <w:tcPr>
            <w:tcW w:w="1082" w:type="dxa"/>
          </w:tcPr>
          <w:p w:rsidR="0095650B" w:rsidRPr="00836A37" w:rsidRDefault="0095650B" w:rsidP="00C05FAA">
            <w:pPr>
              <w:jc w:val="center"/>
              <w:rPr>
                <w:sz w:val="20"/>
                <w:szCs w:val="20"/>
              </w:rPr>
            </w:pPr>
            <w:r>
              <w:rPr>
                <w:sz w:val="20"/>
                <w:szCs w:val="20"/>
              </w:rPr>
              <w:t>+1.9%</w:t>
            </w:r>
          </w:p>
        </w:tc>
        <w:tc>
          <w:tcPr>
            <w:tcW w:w="1068" w:type="dxa"/>
          </w:tcPr>
          <w:p w:rsidR="0095650B" w:rsidRPr="00836A37" w:rsidRDefault="0095650B" w:rsidP="00C05FAA">
            <w:pPr>
              <w:jc w:val="center"/>
              <w:rPr>
                <w:sz w:val="20"/>
                <w:szCs w:val="20"/>
              </w:rPr>
            </w:pPr>
            <w:r>
              <w:rPr>
                <w:sz w:val="20"/>
                <w:szCs w:val="20"/>
              </w:rPr>
              <w:t>-0.8%</w:t>
            </w:r>
          </w:p>
        </w:tc>
      </w:tr>
      <w:tr w:rsidR="0095650B" w:rsidTr="003E13EF">
        <w:trPr>
          <w:jc w:val="center"/>
        </w:trPr>
        <w:tc>
          <w:tcPr>
            <w:tcW w:w="8505" w:type="dxa"/>
            <w:gridSpan w:val="7"/>
            <w:shd w:val="clear" w:color="auto" w:fill="BFBFBF" w:themeFill="background1" w:themeFillShade="BF"/>
          </w:tcPr>
          <w:p w:rsidR="0095650B" w:rsidRPr="00EC0747" w:rsidRDefault="0095650B" w:rsidP="00C05FAA">
            <w:pPr>
              <w:jc w:val="both"/>
              <w:rPr>
                <w:b/>
                <w:sz w:val="20"/>
                <w:szCs w:val="20"/>
              </w:rPr>
            </w:pPr>
            <w:r w:rsidRPr="00EC0747">
              <w:rPr>
                <w:b/>
                <w:sz w:val="20"/>
                <w:szCs w:val="20"/>
              </w:rPr>
              <w:t>2011</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Cabinet Support</w:t>
            </w:r>
          </w:p>
        </w:tc>
        <w:tc>
          <w:tcPr>
            <w:tcW w:w="1081" w:type="dxa"/>
          </w:tcPr>
          <w:p w:rsidR="0095650B" w:rsidRPr="00836A37" w:rsidRDefault="0095650B" w:rsidP="00C05FAA">
            <w:pPr>
              <w:jc w:val="center"/>
              <w:rPr>
                <w:sz w:val="20"/>
                <w:szCs w:val="20"/>
              </w:rPr>
            </w:pPr>
            <w:r>
              <w:rPr>
                <w:sz w:val="20"/>
                <w:szCs w:val="20"/>
              </w:rPr>
              <w:t>44.1</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44.1</w:t>
            </w:r>
          </w:p>
        </w:tc>
        <w:tc>
          <w:tcPr>
            <w:tcW w:w="1195" w:type="dxa"/>
          </w:tcPr>
          <w:p w:rsidR="0095650B" w:rsidRPr="00836A37" w:rsidRDefault="0095650B" w:rsidP="00C05FAA">
            <w:pPr>
              <w:jc w:val="center"/>
              <w:rPr>
                <w:sz w:val="20"/>
                <w:szCs w:val="20"/>
              </w:rPr>
            </w:pPr>
            <w:r>
              <w:rPr>
                <w:sz w:val="20"/>
                <w:szCs w:val="20"/>
              </w:rPr>
              <w:t>44.7</w:t>
            </w:r>
          </w:p>
        </w:tc>
        <w:tc>
          <w:tcPr>
            <w:tcW w:w="1082" w:type="dxa"/>
          </w:tcPr>
          <w:p w:rsidR="0095650B" w:rsidRPr="00836A37" w:rsidRDefault="0095650B" w:rsidP="00C05FAA">
            <w:pPr>
              <w:jc w:val="center"/>
              <w:rPr>
                <w:sz w:val="20"/>
                <w:szCs w:val="20"/>
              </w:rPr>
            </w:pPr>
            <w:r>
              <w:rPr>
                <w:sz w:val="20"/>
                <w:szCs w:val="20"/>
              </w:rPr>
              <w:t>+1.4%</w:t>
            </w:r>
          </w:p>
        </w:tc>
        <w:tc>
          <w:tcPr>
            <w:tcW w:w="1068" w:type="dxa"/>
          </w:tcPr>
          <w:p w:rsidR="0095650B" w:rsidRPr="00836A37" w:rsidRDefault="0095650B" w:rsidP="00C05FAA">
            <w:pPr>
              <w:jc w:val="center"/>
              <w:rPr>
                <w:sz w:val="20"/>
                <w:szCs w:val="20"/>
              </w:rPr>
            </w:pPr>
            <w:r>
              <w:rPr>
                <w:sz w:val="20"/>
                <w:szCs w:val="20"/>
              </w:rPr>
              <w:t>+1.4%</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Exec Man./Corp Services</w:t>
            </w:r>
          </w:p>
        </w:tc>
        <w:tc>
          <w:tcPr>
            <w:tcW w:w="1081" w:type="dxa"/>
          </w:tcPr>
          <w:p w:rsidR="0095650B" w:rsidRPr="00836A37" w:rsidRDefault="0095650B" w:rsidP="00C05FAA">
            <w:pPr>
              <w:jc w:val="center"/>
              <w:rPr>
                <w:sz w:val="20"/>
                <w:szCs w:val="20"/>
              </w:rPr>
            </w:pPr>
            <w:r>
              <w:rPr>
                <w:sz w:val="20"/>
                <w:szCs w:val="20"/>
              </w:rPr>
              <w:t>129.7</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129.7</w:t>
            </w:r>
          </w:p>
        </w:tc>
        <w:tc>
          <w:tcPr>
            <w:tcW w:w="1195" w:type="dxa"/>
          </w:tcPr>
          <w:p w:rsidR="0095650B" w:rsidRPr="00836A37" w:rsidRDefault="0095650B" w:rsidP="00C05FAA">
            <w:pPr>
              <w:jc w:val="center"/>
              <w:rPr>
                <w:sz w:val="20"/>
                <w:szCs w:val="20"/>
              </w:rPr>
            </w:pPr>
            <w:r>
              <w:rPr>
                <w:sz w:val="20"/>
                <w:szCs w:val="20"/>
              </w:rPr>
              <w:t>158.4</w:t>
            </w:r>
          </w:p>
        </w:tc>
        <w:tc>
          <w:tcPr>
            <w:tcW w:w="1082" w:type="dxa"/>
          </w:tcPr>
          <w:p w:rsidR="0095650B" w:rsidRPr="00836A37" w:rsidRDefault="0095650B" w:rsidP="00C05FAA">
            <w:pPr>
              <w:jc w:val="center"/>
              <w:rPr>
                <w:sz w:val="20"/>
                <w:szCs w:val="20"/>
              </w:rPr>
            </w:pPr>
            <w:r>
              <w:rPr>
                <w:sz w:val="20"/>
                <w:szCs w:val="20"/>
              </w:rPr>
              <w:t>+22.1%</w:t>
            </w:r>
          </w:p>
        </w:tc>
        <w:tc>
          <w:tcPr>
            <w:tcW w:w="1068" w:type="dxa"/>
          </w:tcPr>
          <w:p w:rsidR="0095650B" w:rsidRPr="00836A37" w:rsidRDefault="0095650B" w:rsidP="00C05FAA">
            <w:pPr>
              <w:jc w:val="center"/>
              <w:rPr>
                <w:sz w:val="20"/>
                <w:szCs w:val="20"/>
              </w:rPr>
            </w:pPr>
            <w:r>
              <w:rPr>
                <w:sz w:val="20"/>
                <w:szCs w:val="20"/>
              </w:rPr>
              <w:t>+22.1%</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School Education</w:t>
            </w:r>
          </w:p>
        </w:tc>
        <w:tc>
          <w:tcPr>
            <w:tcW w:w="1081" w:type="dxa"/>
          </w:tcPr>
          <w:p w:rsidR="0095650B" w:rsidRPr="00836A37" w:rsidRDefault="0095650B" w:rsidP="00C05FAA">
            <w:pPr>
              <w:jc w:val="center"/>
              <w:rPr>
                <w:sz w:val="20"/>
                <w:szCs w:val="20"/>
              </w:rPr>
            </w:pPr>
            <w:r>
              <w:rPr>
                <w:sz w:val="20"/>
                <w:szCs w:val="20"/>
              </w:rPr>
              <w:t>3,478.9</w:t>
            </w:r>
          </w:p>
        </w:tc>
        <w:tc>
          <w:tcPr>
            <w:tcW w:w="1108" w:type="dxa"/>
          </w:tcPr>
          <w:p w:rsidR="0095650B" w:rsidRPr="00836A37" w:rsidRDefault="0095650B" w:rsidP="00C05FAA">
            <w:pPr>
              <w:jc w:val="center"/>
              <w:rPr>
                <w:sz w:val="20"/>
                <w:szCs w:val="20"/>
              </w:rPr>
            </w:pPr>
            <w:r>
              <w:rPr>
                <w:sz w:val="20"/>
                <w:szCs w:val="20"/>
              </w:rPr>
              <w:t>96.8</w:t>
            </w:r>
          </w:p>
        </w:tc>
        <w:tc>
          <w:tcPr>
            <w:tcW w:w="1057" w:type="dxa"/>
          </w:tcPr>
          <w:p w:rsidR="0095650B" w:rsidRPr="00836A37" w:rsidRDefault="0095650B" w:rsidP="00C05FAA">
            <w:pPr>
              <w:jc w:val="center"/>
              <w:rPr>
                <w:sz w:val="20"/>
                <w:szCs w:val="20"/>
              </w:rPr>
            </w:pPr>
            <w:r>
              <w:rPr>
                <w:sz w:val="20"/>
                <w:szCs w:val="20"/>
              </w:rPr>
              <w:t>3,558.0</w:t>
            </w:r>
          </w:p>
        </w:tc>
        <w:tc>
          <w:tcPr>
            <w:tcW w:w="1195" w:type="dxa"/>
          </w:tcPr>
          <w:p w:rsidR="0095650B" w:rsidRPr="00836A37" w:rsidRDefault="0095650B" w:rsidP="00C05FAA">
            <w:pPr>
              <w:jc w:val="center"/>
              <w:rPr>
                <w:sz w:val="20"/>
                <w:szCs w:val="20"/>
              </w:rPr>
            </w:pPr>
            <w:r>
              <w:rPr>
                <w:sz w:val="20"/>
                <w:szCs w:val="20"/>
              </w:rPr>
              <w:t>3,542.8</w:t>
            </w:r>
          </w:p>
        </w:tc>
        <w:tc>
          <w:tcPr>
            <w:tcW w:w="1082" w:type="dxa"/>
          </w:tcPr>
          <w:p w:rsidR="0095650B" w:rsidRPr="00836A37" w:rsidRDefault="0095650B" w:rsidP="00C05FAA">
            <w:pPr>
              <w:jc w:val="center"/>
              <w:rPr>
                <w:sz w:val="20"/>
                <w:szCs w:val="20"/>
              </w:rPr>
            </w:pPr>
            <w:r>
              <w:rPr>
                <w:sz w:val="20"/>
                <w:szCs w:val="20"/>
              </w:rPr>
              <w:t>+1.8%</w:t>
            </w:r>
          </w:p>
        </w:tc>
        <w:tc>
          <w:tcPr>
            <w:tcW w:w="1068" w:type="dxa"/>
          </w:tcPr>
          <w:p w:rsidR="0095650B" w:rsidRPr="00836A37" w:rsidRDefault="0095650B" w:rsidP="00C05FAA">
            <w:pPr>
              <w:jc w:val="center"/>
              <w:rPr>
                <w:sz w:val="20"/>
                <w:szCs w:val="20"/>
              </w:rPr>
            </w:pPr>
            <w:r>
              <w:rPr>
                <w:sz w:val="20"/>
                <w:szCs w:val="20"/>
              </w:rPr>
              <w:t>-0.4%</w:t>
            </w:r>
          </w:p>
        </w:tc>
      </w:tr>
      <w:tr w:rsidR="0095650B" w:rsidTr="003E13EF">
        <w:trPr>
          <w:jc w:val="center"/>
        </w:trPr>
        <w:tc>
          <w:tcPr>
            <w:tcW w:w="1914" w:type="dxa"/>
          </w:tcPr>
          <w:p w:rsidR="0095650B" w:rsidRPr="00836A37" w:rsidRDefault="0095650B" w:rsidP="00C05FAA">
            <w:pPr>
              <w:jc w:val="both"/>
              <w:rPr>
                <w:sz w:val="20"/>
                <w:szCs w:val="20"/>
              </w:rPr>
            </w:pPr>
            <w:r>
              <w:rPr>
                <w:sz w:val="20"/>
                <w:szCs w:val="20"/>
              </w:rPr>
              <w:t>TSC</w:t>
            </w:r>
          </w:p>
        </w:tc>
        <w:tc>
          <w:tcPr>
            <w:tcW w:w="1081" w:type="dxa"/>
          </w:tcPr>
          <w:p w:rsidR="0095650B" w:rsidRPr="00836A37" w:rsidRDefault="0095650B" w:rsidP="00C05FAA">
            <w:pPr>
              <w:jc w:val="center"/>
              <w:rPr>
                <w:sz w:val="20"/>
                <w:szCs w:val="20"/>
              </w:rPr>
            </w:pPr>
            <w:r>
              <w:rPr>
                <w:sz w:val="20"/>
                <w:szCs w:val="20"/>
              </w:rPr>
              <w:t>110.8</w:t>
            </w:r>
          </w:p>
        </w:tc>
        <w:tc>
          <w:tcPr>
            <w:tcW w:w="1108" w:type="dxa"/>
          </w:tcPr>
          <w:p w:rsidR="0095650B" w:rsidRPr="00836A37" w:rsidRDefault="0095650B" w:rsidP="00C05FAA">
            <w:pPr>
              <w:jc w:val="center"/>
              <w:rPr>
                <w:sz w:val="20"/>
                <w:szCs w:val="20"/>
              </w:rPr>
            </w:pPr>
            <w:r>
              <w:rPr>
                <w:sz w:val="20"/>
                <w:szCs w:val="20"/>
              </w:rPr>
              <w:t>0</w:t>
            </w:r>
          </w:p>
        </w:tc>
        <w:tc>
          <w:tcPr>
            <w:tcW w:w="1057" w:type="dxa"/>
          </w:tcPr>
          <w:p w:rsidR="0095650B" w:rsidRPr="00836A37" w:rsidRDefault="0095650B" w:rsidP="00C05FAA">
            <w:pPr>
              <w:jc w:val="center"/>
              <w:rPr>
                <w:sz w:val="20"/>
                <w:szCs w:val="20"/>
              </w:rPr>
            </w:pPr>
            <w:r>
              <w:rPr>
                <w:sz w:val="20"/>
                <w:szCs w:val="20"/>
              </w:rPr>
              <w:t>97.5</w:t>
            </w:r>
          </w:p>
        </w:tc>
        <w:tc>
          <w:tcPr>
            <w:tcW w:w="1195" w:type="dxa"/>
          </w:tcPr>
          <w:p w:rsidR="0095650B" w:rsidRPr="00836A37" w:rsidRDefault="0095650B" w:rsidP="00C05FAA">
            <w:pPr>
              <w:jc w:val="center"/>
              <w:rPr>
                <w:sz w:val="20"/>
                <w:szCs w:val="20"/>
              </w:rPr>
            </w:pPr>
            <w:r>
              <w:rPr>
                <w:sz w:val="20"/>
                <w:szCs w:val="20"/>
              </w:rPr>
              <w:t>83.0</w:t>
            </w:r>
          </w:p>
        </w:tc>
        <w:tc>
          <w:tcPr>
            <w:tcW w:w="1082" w:type="dxa"/>
          </w:tcPr>
          <w:p w:rsidR="0095650B" w:rsidRPr="00836A37" w:rsidRDefault="0095650B" w:rsidP="00C05FAA">
            <w:pPr>
              <w:jc w:val="center"/>
              <w:rPr>
                <w:sz w:val="20"/>
                <w:szCs w:val="20"/>
              </w:rPr>
            </w:pPr>
            <w:r>
              <w:rPr>
                <w:sz w:val="20"/>
                <w:szCs w:val="20"/>
              </w:rPr>
              <w:t>-25.1%</w:t>
            </w:r>
          </w:p>
        </w:tc>
        <w:tc>
          <w:tcPr>
            <w:tcW w:w="1068" w:type="dxa"/>
          </w:tcPr>
          <w:p w:rsidR="0095650B" w:rsidRPr="00836A37" w:rsidRDefault="0095650B" w:rsidP="00C05FAA">
            <w:pPr>
              <w:jc w:val="center"/>
              <w:rPr>
                <w:sz w:val="20"/>
                <w:szCs w:val="20"/>
              </w:rPr>
            </w:pPr>
            <w:r>
              <w:rPr>
                <w:sz w:val="20"/>
                <w:szCs w:val="20"/>
              </w:rPr>
              <w:t>-14.9%</w:t>
            </w:r>
          </w:p>
        </w:tc>
      </w:tr>
      <w:tr w:rsidR="0095650B" w:rsidTr="003E13EF">
        <w:trPr>
          <w:jc w:val="center"/>
        </w:trPr>
        <w:tc>
          <w:tcPr>
            <w:tcW w:w="1914" w:type="dxa"/>
          </w:tcPr>
          <w:p w:rsidR="0095650B" w:rsidRPr="00836A37" w:rsidRDefault="0095650B" w:rsidP="00C05FAA">
            <w:pPr>
              <w:jc w:val="both"/>
              <w:rPr>
                <w:sz w:val="20"/>
                <w:szCs w:val="20"/>
              </w:rPr>
            </w:pPr>
            <w:proofErr w:type="spellStart"/>
            <w:r>
              <w:rPr>
                <w:sz w:val="20"/>
                <w:szCs w:val="20"/>
              </w:rPr>
              <w:t>MoE</w:t>
            </w:r>
            <w:proofErr w:type="spellEnd"/>
            <w:r>
              <w:rPr>
                <w:sz w:val="20"/>
                <w:szCs w:val="20"/>
              </w:rPr>
              <w:t xml:space="preserve"> Totals</w:t>
            </w:r>
          </w:p>
        </w:tc>
        <w:tc>
          <w:tcPr>
            <w:tcW w:w="1081" w:type="dxa"/>
          </w:tcPr>
          <w:p w:rsidR="0095650B" w:rsidRPr="00836A37" w:rsidRDefault="0095650B" w:rsidP="00C05FAA">
            <w:pPr>
              <w:jc w:val="center"/>
              <w:rPr>
                <w:sz w:val="20"/>
                <w:szCs w:val="20"/>
              </w:rPr>
            </w:pPr>
            <w:r>
              <w:rPr>
                <w:sz w:val="20"/>
                <w:szCs w:val="20"/>
              </w:rPr>
              <w:t>3,763.6</w:t>
            </w:r>
          </w:p>
        </w:tc>
        <w:tc>
          <w:tcPr>
            <w:tcW w:w="1108" w:type="dxa"/>
          </w:tcPr>
          <w:p w:rsidR="0095650B" w:rsidRPr="00836A37" w:rsidRDefault="0095650B" w:rsidP="00C05FAA">
            <w:pPr>
              <w:jc w:val="center"/>
              <w:rPr>
                <w:sz w:val="20"/>
                <w:szCs w:val="20"/>
              </w:rPr>
            </w:pPr>
            <w:r>
              <w:rPr>
                <w:sz w:val="20"/>
                <w:szCs w:val="20"/>
              </w:rPr>
              <w:t>96.8</w:t>
            </w:r>
          </w:p>
        </w:tc>
        <w:tc>
          <w:tcPr>
            <w:tcW w:w="1057" w:type="dxa"/>
          </w:tcPr>
          <w:p w:rsidR="0095650B" w:rsidRPr="00836A37" w:rsidRDefault="0095650B" w:rsidP="00C05FAA">
            <w:pPr>
              <w:jc w:val="center"/>
              <w:rPr>
                <w:sz w:val="20"/>
                <w:szCs w:val="20"/>
              </w:rPr>
            </w:pPr>
            <w:r>
              <w:rPr>
                <w:sz w:val="20"/>
                <w:szCs w:val="20"/>
              </w:rPr>
              <w:t>3,860.4</w:t>
            </w:r>
          </w:p>
        </w:tc>
        <w:tc>
          <w:tcPr>
            <w:tcW w:w="1195" w:type="dxa"/>
          </w:tcPr>
          <w:p w:rsidR="0095650B" w:rsidRPr="00836A37" w:rsidRDefault="0095650B" w:rsidP="00C05FAA">
            <w:pPr>
              <w:jc w:val="center"/>
              <w:rPr>
                <w:sz w:val="20"/>
                <w:szCs w:val="20"/>
              </w:rPr>
            </w:pPr>
            <w:r>
              <w:rPr>
                <w:sz w:val="20"/>
                <w:szCs w:val="20"/>
              </w:rPr>
              <w:t>3,828.8</w:t>
            </w:r>
          </w:p>
        </w:tc>
        <w:tc>
          <w:tcPr>
            <w:tcW w:w="1082" w:type="dxa"/>
          </w:tcPr>
          <w:p w:rsidR="0095650B" w:rsidRPr="00836A37" w:rsidRDefault="0095650B" w:rsidP="00C05FAA">
            <w:pPr>
              <w:jc w:val="center"/>
              <w:rPr>
                <w:sz w:val="20"/>
                <w:szCs w:val="20"/>
              </w:rPr>
            </w:pPr>
            <w:r>
              <w:rPr>
                <w:sz w:val="20"/>
                <w:szCs w:val="20"/>
              </w:rPr>
              <w:t>+1.7%</w:t>
            </w:r>
          </w:p>
        </w:tc>
        <w:tc>
          <w:tcPr>
            <w:tcW w:w="1068" w:type="dxa"/>
          </w:tcPr>
          <w:p w:rsidR="0095650B" w:rsidRPr="00836A37" w:rsidRDefault="0095650B" w:rsidP="00C05FAA">
            <w:pPr>
              <w:jc w:val="center"/>
              <w:rPr>
                <w:sz w:val="20"/>
                <w:szCs w:val="20"/>
              </w:rPr>
            </w:pPr>
            <w:r>
              <w:rPr>
                <w:sz w:val="20"/>
                <w:szCs w:val="20"/>
              </w:rPr>
              <w:t>-0.8%</w:t>
            </w:r>
          </w:p>
        </w:tc>
      </w:tr>
    </w:tbl>
    <w:p w:rsidR="00635B90" w:rsidRDefault="00635B90" w:rsidP="00160C19">
      <w:pPr>
        <w:pStyle w:val="Heading2"/>
      </w:pPr>
      <w:bookmarkStart w:id="93" w:name="_Toc341210790"/>
      <w:bookmarkStart w:id="94" w:name="_Toc341210910"/>
      <w:bookmarkStart w:id="95" w:name="_Toc341265728"/>
      <w:bookmarkStart w:id="96" w:name="_Toc343257290"/>
      <w:bookmarkStart w:id="97" w:name="_Toc343257404"/>
    </w:p>
    <w:p w:rsidR="0095650B" w:rsidRDefault="0095650B" w:rsidP="00160C19">
      <w:pPr>
        <w:pStyle w:val="Heading2"/>
      </w:pPr>
      <w:bookmarkStart w:id="98" w:name="_Toc348711325"/>
      <w:r w:rsidRPr="000E684B">
        <w:t xml:space="preserve">2.1.5 </w:t>
      </w:r>
      <w:proofErr w:type="spellStart"/>
      <w:r>
        <w:t>GoV</w:t>
      </w:r>
      <w:proofErr w:type="spellEnd"/>
      <w:r>
        <w:t xml:space="preserve"> b</w:t>
      </w:r>
      <w:r w:rsidRPr="000E684B">
        <w:t>udgets for post-secondary TVET</w:t>
      </w:r>
      <w:bookmarkEnd w:id="93"/>
      <w:bookmarkEnd w:id="94"/>
      <w:bookmarkEnd w:id="95"/>
      <w:bookmarkEnd w:id="96"/>
      <w:bookmarkEnd w:id="97"/>
      <w:bookmarkEnd w:id="98"/>
    </w:p>
    <w:p w:rsidR="0095650B" w:rsidRDefault="0095650B" w:rsidP="0095650B">
      <w:pPr>
        <w:jc w:val="both"/>
      </w:pPr>
    </w:p>
    <w:p w:rsidR="0095650B" w:rsidRDefault="0095650B" w:rsidP="0095650B">
      <w:pPr>
        <w:jc w:val="both"/>
      </w:pPr>
      <w:r>
        <w:t xml:space="preserve">In the absence of consistent time series data for a wider range of </w:t>
      </w:r>
      <w:proofErr w:type="spellStart"/>
      <w:r>
        <w:t>post secondary</w:t>
      </w:r>
      <w:proofErr w:type="spellEnd"/>
      <w:r>
        <w:t xml:space="preserve"> TVET providers funded by the </w:t>
      </w:r>
      <w:proofErr w:type="spellStart"/>
      <w:r>
        <w:t>GoV</w:t>
      </w:r>
      <w:proofErr w:type="spellEnd"/>
      <w:r>
        <w:t xml:space="preserve"> this summary of budgeted funding trends over the period 2006 to </w:t>
      </w:r>
      <w:proofErr w:type="gramStart"/>
      <w:r>
        <w:t>2012  is</w:t>
      </w:r>
      <w:proofErr w:type="gramEnd"/>
      <w:r>
        <w:t xml:space="preserve"> confined to the following:</w:t>
      </w:r>
    </w:p>
    <w:p w:rsidR="0095650B" w:rsidRDefault="0095650B" w:rsidP="0095650B">
      <w:pPr>
        <w:jc w:val="both"/>
      </w:pPr>
    </w:p>
    <w:p w:rsidR="0095650B" w:rsidRDefault="0095650B" w:rsidP="00501831">
      <w:pPr>
        <w:pStyle w:val="ListParagraph"/>
        <w:numPr>
          <w:ilvl w:val="0"/>
          <w:numId w:val="27"/>
        </w:numPr>
        <w:jc w:val="both"/>
      </w:pPr>
      <w:r>
        <w:t xml:space="preserve">funding of VIT and VITE (within </w:t>
      </w:r>
      <w:proofErr w:type="spellStart"/>
      <w:r>
        <w:t>MoE</w:t>
      </w:r>
      <w:proofErr w:type="spellEnd"/>
      <w:r>
        <w:t>);</w:t>
      </w:r>
    </w:p>
    <w:p w:rsidR="0095650B" w:rsidRDefault="0095650B" w:rsidP="00501831">
      <w:pPr>
        <w:pStyle w:val="ListParagraph"/>
        <w:numPr>
          <w:ilvl w:val="0"/>
          <w:numId w:val="27"/>
        </w:numPr>
        <w:jc w:val="both"/>
      </w:pPr>
      <w:r>
        <w:t>direct funding of TVET functions within MYDT, namely funding of the Office of TVET and the Vanuatu National Training Council</w:t>
      </w:r>
      <w:r>
        <w:rPr>
          <w:rStyle w:val="FootnoteReference"/>
        </w:rPr>
        <w:footnoteReference w:id="19"/>
      </w:r>
      <w:r>
        <w:t>; and</w:t>
      </w:r>
    </w:p>
    <w:p w:rsidR="0095650B" w:rsidRDefault="0095650B" w:rsidP="00501831">
      <w:pPr>
        <w:pStyle w:val="ListParagraph"/>
        <w:numPr>
          <w:ilvl w:val="0"/>
          <w:numId w:val="27"/>
        </w:numPr>
        <w:jc w:val="both"/>
      </w:pPr>
      <w:proofErr w:type="gramStart"/>
      <w:r>
        <w:t>funding</w:t>
      </w:r>
      <w:proofErr w:type="gramEnd"/>
      <w:r>
        <w:t xml:space="preserve"> via grants from MFEM for the following institutions: Vanuatu Rural Training Centres, the Vanuatu Maritime College and (since 2008) the Vanuatu Agricultural College.</w:t>
      </w:r>
    </w:p>
    <w:p w:rsidR="0095650B" w:rsidRDefault="0095650B" w:rsidP="0095650B">
      <w:pPr>
        <w:jc w:val="both"/>
      </w:pPr>
    </w:p>
    <w:p w:rsidR="0095650B" w:rsidRDefault="0095650B" w:rsidP="0095650B">
      <w:pPr>
        <w:jc w:val="both"/>
      </w:pPr>
      <w:r>
        <w:lastRenderedPageBreak/>
        <w:t>The totals for MFEM grant funding exclude annual grants paid to the University of the South Pacific (which have ranged between VT103 million to VT146 million within the period).</w:t>
      </w:r>
    </w:p>
    <w:p w:rsidR="0095650B" w:rsidRDefault="0095650B" w:rsidP="0095650B">
      <w:pPr>
        <w:jc w:val="both"/>
      </w:pPr>
    </w:p>
    <w:p w:rsidR="0095650B" w:rsidRDefault="0095650B" w:rsidP="0095650B">
      <w:pPr>
        <w:jc w:val="both"/>
      </w:pPr>
      <w:r>
        <w:t xml:space="preserve">As noted (Section 2.1.1) </w:t>
      </w:r>
      <w:proofErr w:type="spellStart"/>
      <w:r>
        <w:t>GoV</w:t>
      </w:r>
      <w:proofErr w:type="spellEnd"/>
      <w:r>
        <w:t xml:space="preserve"> funding of </w:t>
      </w:r>
      <w:proofErr w:type="spellStart"/>
      <w:r>
        <w:t>post secondary</w:t>
      </w:r>
      <w:proofErr w:type="spellEnd"/>
      <w:r>
        <w:t xml:space="preserve"> TVET forms </w:t>
      </w:r>
      <w:r w:rsidR="007E3690">
        <w:t>only</w:t>
      </w:r>
      <w:r>
        <w:t xml:space="preserve"> a small proportion of </w:t>
      </w:r>
      <w:proofErr w:type="spellStart"/>
      <w:r>
        <w:t>GoV</w:t>
      </w:r>
      <w:proofErr w:type="spellEnd"/>
      <w:r>
        <w:t xml:space="preserve"> spending on the education sector as a whole.  Nevertheless, budgeted funding via the above providers has been trending upwards in current price terms (see Figure </w:t>
      </w:r>
      <w:r w:rsidR="00C03572">
        <w:t>8</w:t>
      </w:r>
      <w:r>
        <w:t xml:space="preserve">) and also in real terms.  </w:t>
      </w:r>
      <w:proofErr w:type="gramStart"/>
      <w:r>
        <w:t>Albeit from a small base in 2006 for MYDT in particular.</w:t>
      </w:r>
      <w:proofErr w:type="gramEnd"/>
    </w:p>
    <w:p w:rsidR="0095650B" w:rsidRDefault="0095650B" w:rsidP="0095650B">
      <w:pPr>
        <w:jc w:val="both"/>
      </w:pPr>
    </w:p>
    <w:tbl>
      <w:tblPr>
        <w:tblStyle w:val="TableGrid"/>
        <w:tblW w:w="8505" w:type="dxa"/>
        <w:jc w:val="center"/>
        <w:tblLook w:val="04A0" w:firstRow="1" w:lastRow="0" w:firstColumn="1" w:lastColumn="0" w:noHBand="0" w:noVBand="1"/>
        <w:tblCaption w:val="Figure 8: Budgeted expenditure (current prices) on selected post secondary TVET, 2006-2012"/>
        <w:tblDescription w:val="graph showing increases in budget expenditure for MYDT, VITE, VIT and MFEM grants (in order of level of increase from least to most)"/>
      </w:tblPr>
      <w:tblGrid>
        <w:gridCol w:w="8505"/>
      </w:tblGrid>
      <w:tr w:rsidR="0095650B" w:rsidTr="00D339A4">
        <w:trPr>
          <w:tblHeader/>
          <w:jc w:val="center"/>
        </w:trPr>
        <w:tc>
          <w:tcPr>
            <w:tcW w:w="9570" w:type="dxa"/>
            <w:shd w:val="clear" w:color="auto" w:fill="BFBFBF" w:themeFill="background1" w:themeFillShade="BF"/>
          </w:tcPr>
          <w:p w:rsidR="0095650B" w:rsidRDefault="0095650B" w:rsidP="00C03572">
            <w:pPr>
              <w:jc w:val="both"/>
            </w:pPr>
            <w:r>
              <w:t xml:space="preserve">Figure </w:t>
            </w:r>
            <w:r w:rsidR="00C03572">
              <w:t>8</w:t>
            </w:r>
            <w:r>
              <w:t xml:space="preserve">: Budgeted expenditure (current prices) on selected </w:t>
            </w:r>
            <w:proofErr w:type="spellStart"/>
            <w:r>
              <w:t>post secondary</w:t>
            </w:r>
            <w:proofErr w:type="spellEnd"/>
            <w:r>
              <w:t xml:space="preserve"> TVET, 2006-2012</w:t>
            </w:r>
          </w:p>
        </w:tc>
      </w:tr>
      <w:tr w:rsidR="0095650B" w:rsidTr="00C05FAA">
        <w:trPr>
          <w:jc w:val="center"/>
        </w:trPr>
        <w:tc>
          <w:tcPr>
            <w:tcW w:w="9570" w:type="dxa"/>
          </w:tcPr>
          <w:p w:rsidR="0095650B" w:rsidRDefault="0095650B" w:rsidP="00C05FAA">
            <w:pPr>
              <w:jc w:val="both"/>
            </w:pPr>
          </w:p>
          <w:p w:rsidR="0095650B" w:rsidRDefault="0095650B" w:rsidP="00C05FAA">
            <w:pPr>
              <w:jc w:val="center"/>
            </w:pPr>
            <w:r>
              <w:rPr>
                <w:noProof/>
                <w:lang w:eastAsia="en-AU"/>
              </w:rPr>
              <w:drawing>
                <wp:inline distT="0" distB="0" distL="0" distR="0" wp14:anchorId="672A9216" wp14:editId="67334509">
                  <wp:extent cx="4591050" cy="2762250"/>
                  <wp:effectExtent l="0" t="0" r="0" b="0"/>
                  <wp:docPr id="16" name="Picture 9" title="Figure 8: Budgeted expenditure (current prices) on selected post secondary TVET, 2006-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95650B" w:rsidRDefault="0095650B" w:rsidP="00C05FAA">
            <w:pPr>
              <w:jc w:val="both"/>
            </w:pPr>
          </w:p>
        </w:tc>
      </w:tr>
      <w:tr w:rsidR="0095650B" w:rsidTr="00C05FAA">
        <w:trPr>
          <w:jc w:val="center"/>
        </w:trPr>
        <w:tc>
          <w:tcPr>
            <w:tcW w:w="9570" w:type="dxa"/>
          </w:tcPr>
          <w:p w:rsidR="0095650B" w:rsidRDefault="0095650B" w:rsidP="00C05FAA">
            <w:pPr>
              <w:jc w:val="both"/>
            </w:pPr>
            <w:r>
              <w:t>Note and Source:</w:t>
            </w:r>
          </w:p>
          <w:p w:rsidR="0095650B" w:rsidRDefault="0095650B" w:rsidP="007E3690">
            <w:pPr>
              <w:jc w:val="both"/>
            </w:pPr>
            <w:r>
              <w:t xml:space="preserve">Budgeted expenditure excludes unallocated corporate overheads and (for MYDT) budgets for youth and sports development.  Source: Derived from dissection </w:t>
            </w:r>
            <w:proofErr w:type="gramStart"/>
            <w:r>
              <w:t>of  original</w:t>
            </w:r>
            <w:proofErr w:type="gramEnd"/>
            <w:r>
              <w:t xml:space="preserve"> budgets 2006-2012.</w:t>
            </w:r>
          </w:p>
        </w:tc>
      </w:tr>
    </w:tbl>
    <w:p w:rsidR="0095650B" w:rsidRDefault="0095650B" w:rsidP="0095650B">
      <w:pPr>
        <w:jc w:val="both"/>
      </w:pPr>
    </w:p>
    <w:p w:rsidR="0095650B" w:rsidRDefault="0095650B" w:rsidP="0095650B">
      <w:pPr>
        <w:jc w:val="both"/>
      </w:pPr>
      <w:r>
        <w:t>The trend line in budgeted expenditure for MFEM grants needs to be interpreted with caution, being greatly influenced by the commencement of MFEM grant funding for the Vanuatu Agricultural College in 2009.</w:t>
      </w:r>
    </w:p>
    <w:p w:rsidR="001E26C7" w:rsidRDefault="001E26C7" w:rsidP="0095650B">
      <w:pPr>
        <w:jc w:val="both"/>
      </w:pPr>
    </w:p>
    <w:p w:rsidR="001E26C7" w:rsidRDefault="001E26C7" w:rsidP="0095650B">
      <w:pPr>
        <w:jc w:val="both"/>
      </w:pPr>
      <w:r>
        <w:t xml:space="preserve">Earlier in 2012 </w:t>
      </w:r>
      <w:r w:rsidRPr="005B2CD1">
        <w:t>AusAID contracted the Australian Council for Educational Research (ACER)</w:t>
      </w:r>
      <w:r>
        <w:t xml:space="preserve"> to conduct a study of </w:t>
      </w:r>
      <w:r>
        <w:rPr>
          <w:i/>
        </w:rPr>
        <w:t xml:space="preserve">Research into the Financing of Technical and Vocational Education and Training (TVET) in the Pacific </w:t>
      </w:r>
      <w:r>
        <w:t xml:space="preserve">(including in Vanuatu).  The study is to: </w:t>
      </w:r>
    </w:p>
    <w:p w:rsidR="001E26C7" w:rsidRDefault="001E26C7" w:rsidP="0095650B">
      <w:pPr>
        <w:jc w:val="both"/>
      </w:pPr>
    </w:p>
    <w:p w:rsidR="00356D92" w:rsidRDefault="001E26C7" w:rsidP="007B3AE1">
      <w:pPr>
        <w:pStyle w:val="ListParagraph"/>
        <w:numPr>
          <w:ilvl w:val="0"/>
          <w:numId w:val="113"/>
        </w:numPr>
        <w:ind w:left="709" w:hanging="283"/>
        <w:jc w:val="both"/>
        <w:rPr>
          <w:lang w:eastAsia="en-AU"/>
        </w:rPr>
      </w:pPr>
      <w:r>
        <w:rPr>
          <w:lang w:eastAsia="en-AU"/>
        </w:rPr>
        <w:t>identify the current public and private sources of capital and recurrent funding for TVET and the relevant expenditure from each source;</w:t>
      </w:r>
    </w:p>
    <w:p w:rsidR="00356D92" w:rsidRDefault="001E26C7" w:rsidP="007B3AE1">
      <w:pPr>
        <w:pStyle w:val="ListParagraph"/>
        <w:numPr>
          <w:ilvl w:val="0"/>
          <w:numId w:val="113"/>
        </w:numPr>
        <w:ind w:left="709" w:hanging="283"/>
        <w:jc w:val="both"/>
        <w:rPr>
          <w:lang w:eastAsia="en-AU"/>
        </w:rPr>
      </w:pPr>
      <w:r>
        <w:rPr>
          <w:lang w:eastAsia="en-AU"/>
        </w:rPr>
        <w:t>identify where expenditure is directed, taking account of the participation of females and males, and through what distribution mechanisms;</w:t>
      </w:r>
    </w:p>
    <w:p w:rsidR="00356D92" w:rsidRDefault="001E26C7" w:rsidP="007B3AE1">
      <w:pPr>
        <w:pStyle w:val="ListParagraph"/>
        <w:numPr>
          <w:ilvl w:val="0"/>
          <w:numId w:val="113"/>
        </w:numPr>
        <w:ind w:left="709" w:hanging="283"/>
        <w:jc w:val="both"/>
        <w:rPr>
          <w:lang w:eastAsia="en-AU"/>
        </w:rPr>
      </w:pPr>
      <w:r>
        <w:rPr>
          <w:lang w:eastAsia="en-AU"/>
        </w:rPr>
        <w:t>identify the TVET outcomes provided for the funds allocated</w:t>
      </w:r>
    </w:p>
    <w:p w:rsidR="00356D92" w:rsidRDefault="001E26C7" w:rsidP="007B3AE1">
      <w:pPr>
        <w:pStyle w:val="ListParagraph"/>
        <w:numPr>
          <w:ilvl w:val="0"/>
          <w:numId w:val="113"/>
        </w:numPr>
        <w:ind w:left="709" w:hanging="283"/>
        <w:jc w:val="both"/>
        <w:rPr>
          <w:lang w:eastAsia="en-AU"/>
        </w:rPr>
      </w:pPr>
      <w:proofErr w:type="gramStart"/>
      <w:r>
        <w:rPr>
          <w:lang w:eastAsia="en-AU"/>
        </w:rPr>
        <w:t>assess</w:t>
      </w:r>
      <w:proofErr w:type="gramEnd"/>
      <w:r>
        <w:rPr>
          <w:lang w:eastAsia="en-AU"/>
        </w:rPr>
        <w:t xml:space="preserve"> the strengths and weaknesses in different contexts of different financing mechanisms being used and options for alternative financing mechanisms</w:t>
      </w:r>
      <w:r w:rsidR="00B96276">
        <w:rPr>
          <w:lang w:eastAsia="en-AU"/>
        </w:rPr>
        <w:t>.</w:t>
      </w:r>
    </w:p>
    <w:p w:rsidR="00356D92" w:rsidRPr="003E13EF" w:rsidRDefault="00356D92" w:rsidP="003E13EF">
      <w:pPr>
        <w:rPr>
          <w:lang w:eastAsia="en-AU"/>
        </w:rPr>
      </w:pPr>
    </w:p>
    <w:p w:rsidR="00356D92" w:rsidRDefault="00B96276" w:rsidP="007B3AE1">
      <w:r>
        <w:rPr>
          <w:lang w:eastAsia="en-AU"/>
        </w:rPr>
        <w:t>At the date of this report results for Vanuatu from this study were not available.  They will, hopefully, present a fuller</w:t>
      </w:r>
      <w:bookmarkStart w:id="99" w:name="_GoBack"/>
      <w:bookmarkEnd w:id="99"/>
      <w:r>
        <w:rPr>
          <w:lang w:eastAsia="en-AU"/>
        </w:rPr>
        <w:t xml:space="preserve"> picture of the </w:t>
      </w:r>
      <w:proofErr w:type="spellStart"/>
      <w:r>
        <w:rPr>
          <w:lang w:eastAsia="en-AU"/>
        </w:rPr>
        <w:t>GoV’s</w:t>
      </w:r>
      <w:proofErr w:type="spellEnd"/>
      <w:r>
        <w:rPr>
          <w:lang w:eastAsia="en-AU"/>
        </w:rPr>
        <w:t xml:space="preserve"> budgets and expenditures on post-secondary TVET.</w:t>
      </w:r>
      <w:r w:rsidR="001E26C7">
        <w:rPr>
          <w:lang w:eastAsia="en-AU"/>
        </w:rPr>
        <w:t xml:space="preserve"> </w:t>
      </w:r>
    </w:p>
    <w:p w:rsidR="0095650B" w:rsidRDefault="0095650B" w:rsidP="00160C19">
      <w:pPr>
        <w:pStyle w:val="Heading2"/>
      </w:pPr>
      <w:bookmarkStart w:id="100" w:name="_Toc341210791"/>
      <w:bookmarkStart w:id="101" w:name="_Toc341210911"/>
      <w:bookmarkStart w:id="102" w:name="_Toc341265729"/>
      <w:bookmarkStart w:id="103" w:name="_Toc343257291"/>
      <w:bookmarkStart w:id="104" w:name="_Toc343257405"/>
      <w:bookmarkStart w:id="105" w:name="_Toc348711326"/>
      <w:r w:rsidRPr="000E684B">
        <w:lastRenderedPageBreak/>
        <w:t>2.1.6 Has public spending on education reflected strategic priorities?</w:t>
      </w:r>
      <w:bookmarkEnd w:id="100"/>
      <w:bookmarkEnd w:id="101"/>
      <w:bookmarkEnd w:id="102"/>
      <w:bookmarkEnd w:id="103"/>
      <w:bookmarkEnd w:id="104"/>
      <w:bookmarkEnd w:id="105"/>
    </w:p>
    <w:p w:rsidR="0095650B" w:rsidRDefault="0095650B" w:rsidP="0095650B">
      <w:pPr>
        <w:jc w:val="both"/>
      </w:pPr>
    </w:p>
    <w:p w:rsidR="0095650B" w:rsidRDefault="0095650B" w:rsidP="0095650B">
      <w:pPr>
        <w:jc w:val="both"/>
      </w:pPr>
      <w:proofErr w:type="spellStart"/>
      <w:r>
        <w:t>GoV</w:t>
      </w:r>
      <w:proofErr w:type="spellEnd"/>
      <w:r>
        <w:t xml:space="preserve"> total budgets and expenditure have reflected a high and (moderately) increasing commitment to funding of Vanuatu’s education sector as a whole over the past 6-10 years (see Sections 2.1.2, 2.1.5).  The </w:t>
      </w:r>
      <w:proofErr w:type="spellStart"/>
      <w:r>
        <w:t>MoE’s</w:t>
      </w:r>
      <w:proofErr w:type="spellEnd"/>
      <w:r>
        <w:t xml:space="preserve"> ‘Education for All Analytical Report’ (July 2012) stated in its report against ‘Quality’ that “</w:t>
      </w:r>
      <w:r w:rsidRPr="00F24BE3">
        <w:t>While the percentage of government budget to education is relatively high,</w:t>
      </w:r>
      <w:r>
        <w:t xml:space="preserve"> </w:t>
      </w:r>
      <w:r w:rsidRPr="00F24BE3">
        <w:t>there has been a steady decrease over the past 6 years, suggesting a</w:t>
      </w:r>
      <w:r>
        <w:t xml:space="preserve"> </w:t>
      </w:r>
      <w:r w:rsidRPr="00F24BE3">
        <w:t>waning commitment by the government to the</w:t>
      </w:r>
      <w:r>
        <w:t xml:space="preserve"> </w:t>
      </w:r>
      <w:r w:rsidRPr="00F24BE3">
        <w:t>Education sector.</w:t>
      </w:r>
      <w:r>
        <w:t>”  That statement is inconsistent with the data provided by MFEM and th</w:t>
      </w:r>
      <w:r w:rsidR="002609A9">
        <w:t xml:space="preserve">is </w:t>
      </w:r>
      <w:r>
        <w:t>review’s own analysis of budgets and expenditures.</w:t>
      </w:r>
    </w:p>
    <w:p w:rsidR="0095650B" w:rsidRDefault="0095650B" w:rsidP="0095650B">
      <w:pPr>
        <w:jc w:val="both"/>
      </w:pPr>
    </w:p>
    <w:p w:rsidR="0095650B" w:rsidRDefault="0095650B" w:rsidP="0095650B">
      <w:pPr>
        <w:jc w:val="both"/>
      </w:pPr>
      <w:r>
        <w:t xml:space="preserve">At the sub sector level, Pool Partner funding of priorities identified in the VERM and any </w:t>
      </w:r>
      <w:proofErr w:type="spellStart"/>
      <w:r>
        <w:t>GoV</w:t>
      </w:r>
      <w:proofErr w:type="spellEnd"/>
      <w:r>
        <w:t xml:space="preserve"> funding directly linked to Pool Partner funding has been aligned with the main priorities articulated by the VERM, namely improved access to, quality of and management of the education sector.</w:t>
      </w:r>
      <w:r w:rsidR="001F1DE8">
        <w:t xml:space="preserve"> Beyond this, as noted earlier (Section 1), </w:t>
      </w:r>
      <w:r>
        <w:t xml:space="preserve">almost any pattern of, or trends in, </w:t>
      </w:r>
      <w:proofErr w:type="spellStart"/>
      <w:r>
        <w:t>GoV</w:t>
      </w:r>
      <w:proofErr w:type="spellEnd"/>
      <w:r>
        <w:t xml:space="preserve">-funded public expenditure at the sub sector level could be said to be (or not to be) consistent with one or more of the </w:t>
      </w:r>
      <w:proofErr w:type="spellStart"/>
      <w:r>
        <w:t>GoV’s</w:t>
      </w:r>
      <w:proofErr w:type="spellEnd"/>
      <w:r>
        <w:t xml:space="preserve"> stated policy priorities.</w:t>
      </w:r>
    </w:p>
    <w:p w:rsidR="0095650B" w:rsidRDefault="0095650B" w:rsidP="0095650B">
      <w:pPr>
        <w:jc w:val="both"/>
      </w:pPr>
    </w:p>
    <w:p w:rsidR="0095650B" w:rsidRDefault="0095650B" w:rsidP="0095650B">
      <w:pPr>
        <w:jc w:val="both"/>
      </w:pPr>
      <w:r>
        <w:t xml:space="preserve">However, in addition to its own policy statements the </w:t>
      </w:r>
      <w:proofErr w:type="spellStart"/>
      <w:r>
        <w:t>GoV</w:t>
      </w:r>
      <w:proofErr w:type="spellEnd"/>
      <w:r>
        <w:t xml:space="preserve"> has also subscribed to international goals for the education sector, notably the goals contained within the </w:t>
      </w:r>
      <w:r w:rsidR="004A6426">
        <w:t>Millennium</w:t>
      </w:r>
      <w:r>
        <w:t xml:space="preserve"> Development Goals and Education For All initiative, notably (for both) the goal that, by 2015, children everywhere will be able to complete a full course of primary schooling.  Set against this emphasis on access to a quality primary school education </w:t>
      </w:r>
      <w:proofErr w:type="spellStart"/>
      <w:r>
        <w:t>GoV</w:t>
      </w:r>
      <w:proofErr w:type="spellEnd"/>
      <w:r>
        <w:t xml:space="preserve"> budget trends have headed in the opposite direction - see Table </w:t>
      </w:r>
      <w:r w:rsidR="00C03572">
        <w:t>15</w:t>
      </w:r>
      <w:r>
        <w:t xml:space="preserve">. </w:t>
      </w:r>
    </w:p>
    <w:p w:rsidR="0095650B" w:rsidRDefault="0095650B" w:rsidP="0095650B">
      <w:pPr>
        <w:jc w:val="both"/>
      </w:pPr>
    </w:p>
    <w:tbl>
      <w:tblPr>
        <w:tblStyle w:val="TableGrid"/>
        <w:tblW w:w="8505" w:type="dxa"/>
        <w:jc w:val="center"/>
        <w:tblLook w:val="04A0" w:firstRow="1" w:lastRow="0" w:firstColumn="1" w:lastColumn="0" w:noHBand="0" w:noVBand="1"/>
        <w:tblCaption w:val="Table 15: Percentage changes in sub sector budgeted expenditures, 2011 on 2007, in real terms (2006 prices)"/>
        <w:tblDescription w:val="table showing percentage changes in sub-sector budgeted expenditures. Amounts for scholarships increases by 464.1% while amounts for primary and secondary schools decrease."/>
      </w:tblPr>
      <w:tblGrid>
        <w:gridCol w:w="5980"/>
        <w:gridCol w:w="2525"/>
      </w:tblGrid>
      <w:tr w:rsidR="0095650B" w:rsidTr="00D339A4">
        <w:trPr>
          <w:tblHeader/>
          <w:jc w:val="center"/>
        </w:trPr>
        <w:tc>
          <w:tcPr>
            <w:tcW w:w="9570" w:type="dxa"/>
            <w:gridSpan w:val="2"/>
            <w:shd w:val="clear" w:color="auto" w:fill="BFBFBF" w:themeFill="background1" w:themeFillShade="BF"/>
          </w:tcPr>
          <w:p w:rsidR="0095650B" w:rsidRDefault="0095650B" w:rsidP="00C03572">
            <w:r>
              <w:t xml:space="preserve">Table </w:t>
            </w:r>
            <w:r w:rsidR="00C03572">
              <w:t>15</w:t>
            </w:r>
            <w:r>
              <w:t>: Percentage changes in sub sector budgeted expenditures, 2011 on 2007, in real terms (2006 prices)</w:t>
            </w:r>
          </w:p>
        </w:tc>
      </w:tr>
      <w:tr w:rsidR="0095650B" w:rsidTr="00C05FAA">
        <w:trPr>
          <w:jc w:val="center"/>
        </w:trPr>
        <w:tc>
          <w:tcPr>
            <w:tcW w:w="6771" w:type="dxa"/>
          </w:tcPr>
          <w:p w:rsidR="0095650B" w:rsidRDefault="0095650B" w:rsidP="00C05FAA">
            <w:pPr>
              <w:jc w:val="both"/>
            </w:pPr>
          </w:p>
        </w:tc>
        <w:tc>
          <w:tcPr>
            <w:tcW w:w="2799" w:type="dxa"/>
          </w:tcPr>
          <w:p w:rsidR="0095650B" w:rsidRDefault="0095650B" w:rsidP="00C05FAA">
            <w:pPr>
              <w:jc w:val="center"/>
            </w:pPr>
            <w:r>
              <w:t>Real change</w:t>
            </w:r>
          </w:p>
        </w:tc>
      </w:tr>
      <w:tr w:rsidR="0095650B" w:rsidTr="00C05FAA">
        <w:trPr>
          <w:jc w:val="center"/>
        </w:trPr>
        <w:tc>
          <w:tcPr>
            <w:tcW w:w="6771" w:type="dxa"/>
          </w:tcPr>
          <w:p w:rsidR="0095650B" w:rsidRDefault="0095650B" w:rsidP="00C05FAA">
            <w:pPr>
              <w:jc w:val="both"/>
            </w:pPr>
            <w:r>
              <w:t>Primary schools</w:t>
            </w:r>
          </w:p>
        </w:tc>
        <w:tc>
          <w:tcPr>
            <w:tcW w:w="2799" w:type="dxa"/>
          </w:tcPr>
          <w:p w:rsidR="0095650B" w:rsidRDefault="0095650B" w:rsidP="00C05FAA">
            <w:pPr>
              <w:jc w:val="center"/>
            </w:pPr>
            <w:r>
              <w:t>- 0.6%</w:t>
            </w:r>
          </w:p>
        </w:tc>
      </w:tr>
      <w:tr w:rsidR="0095650B" w:rsidTr="00C05FAA">
        <w:trPr>
          <w:jc w:val="center"/>
        </w:trPr>
        <w:tc>
          <w:tcPr>
            <w:tcW w:w="6771" w:type="dxa"/>
          </w:tcPr>
          <w:p w:rsidR="0095650B" w:rsidRDefault="0095650B" w:rsidP="00C05FAA">
            <w:pPr>
              <w:jc w:val="both"/>
            </w:pPr>
            <w:r>
              <w:t>Secondary Schools</w:t>
            </w:r>
          </w:p>
        </w:tc>
        <w:tc>
          <w:tcPr>
            <w:tcW w:w="2799" w:type="dxa"/>
          </w:tcPr>
          <w:p w:rsidR="0095650B" w:rsidRDefault="0095650B" w:rsidP="00C05FAA">
            <w:pPr>
              <w:jc w:val="center"/>
            </w:pPr>
            <w:r>
              <w:t>- 7.3%</w:t>
            </w:r>
          </w:p>
        </w:tc>
      </w:tr>
      <w:tr w:rsidR="0095650B" w:rsidTr="00C05FAA">
        <w:trPr>
          <w:jc w:val="center"/>
        </w:trPr>
        <w:tc>
          <w:tcPr>
            <w:tcW w:w="6771" w:type="dxa"/>
          </w:tcPr>
          <w:p w:rsidR="0095650B" w:rsidRDefault="0095650B" w:rsidP="00C05FAA">
            <w:pPr>
              <w:jc w:val="both"/>
            </w:pPr>
            <w:r>
              <w:t xml:space="preserve">VIT, VITE, MYDT and MFEM </w:t>
            </w:r>
            <w:proofErr w:type="spellStart"/>
            <w:r>
              <w:t>post secondary</w:t>
            </w:r>
            <w:proofErr w:type="spellEnd"/>
            <w:r>
              <w:t xml:space="preserve"> budgets</w:t>
            </w:r>
          </w:p>
        </w:tc>
        <w:tc>
          <w:tcPr>
            <w:tcW w:w="2799" w:type="dxa"/>
          </w:tcPr>
          <w:p w:rsidR="0095650B" w:rsidRDefault="0095650B" w:rsidP="00C05FAA">
            <w:pPr>
              <w:jc w:val="center"/>
            </w:pPr>
            <w:r>
              <w:t>+ 90.9%</w:t>
            </w:r>
          </w:p>
        </w:tc>
      </w:tr>
      <w:tr w:rsidR="0095650B" w:rsidTr="00C05FAA">
        <w:trPr>
          <w:jc w:val="center"/>
        </w:trPr>
        <w:tc>
          <w:tcPr>
            <w:tcW w:w="6771" w:type="dxa"/>
          </w:tcPr>
          <w:p w:rsidR="0095650B" w:rsidRDefault="0095650B" w:rsidP="00C05FAA">
            <w:pPr>
              <w:jc w:val="both"/>
            </w:pPr>
            <w:r>
              <w:t>Scholarships</w:t>
            </w:r>
          </w:p>
        </w:tc>
        <w:tc>
          <w:tcPr>
            <w:tcW w:w="2799" w:type="dxa"/>
          </w:tcPr>
          <w:p w:rsidR="0095650B" w:rsidRDefault="0095650B" w:rsidP="00C05FAA">
            <w:pPr>
              <w:jc w:val="center"/>
            </w:pPr>
            <w:r>
              <w:t>+ 464.1%</w:t>
            </w:r>
          </w:p>
        </w:tc>
      </w:tr>
      <w:tr w:rsidR="0095650B" w:rsidTr="00C05FAA">
        <w:trPr>
          <w:jc w:val="center"/>
        </w:trPr>
        <w:tc>
          <w:tcPr>
            <w:tcW w:w="9570" w:type="dxa"/>
            <w:gridSpan w:val="2"/>
          </w:tcPr>
          <w:p w:rsidR="0095650B" w:rsidRDefault="0095650B" w:rsidP="007E3690">
            <w:r>
              <w:t xml:space="preserve">Source:  Derived from dissection of original budgets 2007-2011, converted to2006 prices by the GDP Price Deflator from ADB Key Indicators for Asia and the Pacific. </w:t>
            </w:r>
          </w:p>
        </w:tc>
      </w:tr>
    </w:tbl>
    <w:p w:rsidR="0095650B" w:rsidRDefault="0095650B" w:rsidP="0095650B">
      <w:pPr>
        <w:jc w:val="both"/>
      </w:pPr>
    </w:p>
    <w:p w:rsidR="002609A9" w:rsidRDefault="0095650B" w:rsidP="002609A9">
      <w:pPr>
        <w:jc w:val="both"/>
      </w:pPr>
      <w:r>
        <w:t xml:space="preserve">Given growth of the population of school age and the majority share of education budgets </w:t>
      </w:r>
      <w:r w:rsidR="001F1DE8">
        <w:t>ab</w:t>
      </w:r>
      <w:r>
        <w:t xml:space="preserve">sorbed by teacher salaries the </w:t>
      </w:r>
      <w:proofErr w:type="spellStart"/>
      <w:r>
        <w:t>GoV</w:t>
      </w:r>
      <w:proofErr w:type="spellEnd"/>
      <w:r>
        <w:t xml:space="preserve"> has very limited room for manoeuvre to re-order sub sector expenditure priorities in the short- or even medium term (see also Section 2.5).  In its country case study of 2005 the World Bank concluded, inter alia, “it is difficult to avoid the conclusion that increasing amounts of public money have been spent just “holding the line” on educational provision, with very little left over to finance increases in the proportion of the school age groups attending school.”</w:t>
      </w:r>
      <w:r w:rsidR="001F1DE8">
        <w:t xml:space="preserve">  </w:t>
      </w:r>
      <w:r>
        <w:t xml:space="preserve">Based on subsequent trends in </w:t>
      </w:r>
      <w:proofErr w:type="spellStart"/>
      <w:r>
        <w:t>GoV</w:t>
      </w:r>
      <w:proofErr w:type="spellEnd"/>
      <w:r>
        <w:t xml:space="preserve"> budgets and expenditures for the primary and secondary sub sectors this would appear to largely remain the case.  </w:t>
      </w:r>
      <w:r w:rsidR="001F1DE8">
        <w:t>I</w:t>
      </w:r>
      <w:r>
        <w:t xml:space="preserve">nsofar as the </w:t>
      </w:r>
      <w:proofErr w:type="spellStart"/>
      <w:r>
        <w:t>GoV</w:t>
      </w:r>
      <w:proofErr w:type="spellEnd"/>
      <w:r w:rsidR="001F1DE8">
        <w:t xml:space="preserve"> has </w:t>
      </w:r>
      <w:r>
        <w:t xml:space="preserve">reoriented </w:t>
      </w:r>
      <w:proofErr w:type="spellStart"/>
      <w:r>
        <w:t>GoV</w:t>
      </w:r>
      <w:proofErr w:type="spellEnd"/>
      <w:r>
        <w:t xml:space="preserve">-funded budgets and expenditures at all since 2005 they have been reoriented away from the primary and secondary sectors towards </w:t>
      </w:r>
      <w:proofErr w:type="spellStart"/>
      <w:r>
        <w:t>post secondary</w:t>
      </w:r>
      <w:proofErr w:type="spellEnd"/>
      <w:r>
        <w:t xml:space="preserve"> TVET and (especially)</w:t>
      </w:r>
      <w:r w:rsidR="001F1DE8">
        <w:t xml:space="preserve"> </w:t>
      </w:r>
      <w:r>
        <w:t>scholarships.</w:t>
      </w:r>
    </w:p>
    <w:p w:rsidR="002609A9" w:rsidRDefault="002609A9" w:rsidP="002609A9"/>
    <w:p w:rsidR="00743573" w:rsidRDefault="00743573" w:rsidP="002609A9">
      <w:pPr>
        <w:sectPr w:rsidR="00743573" w:rsidSect="006425FC">
          <w:pgSz w:w="11906" w:h="16838" w:code="9"/>
          <w:pgMar w:top="1134" w:right="1134" w:bottom="1134" w:left="1418" w:header="709" w:footer="709" w:gutter="0"/>
          <w:cols w:space="708"/>
          <w:docGrid w:linePitch="360"/>
        </w:sectPr>
      </w:pPr>
    </w:p>
    <w:p w:rsidR="0095650B" w:rsidRPr="008C405A" w:rsidRDefault="0095650B" w:rsidP="00160C19">
      <w:pPr>
        <w:pStyle w:val="Heading2"/>
      </w:pPr>
      <w:bookmarkStart w:id="106" w:name="_Toc341210792"/>
      <w:bookmarkStart w:id="107" w:name="_Toc341210912"/>
      <w:bookmarkStart w:id="108" w:name="_Toc341265730"/>
      <w:bookmarkStart w:id="109" w:name="_Toc343257292"/>
      <w:bookmarkStart w:id="110" w:name="_Toc343257406"/>
      <w:bookmarkStart w:id="111" w:name="_Toc348711327"/>
      <w:r w:rsidRPr="008C405A">
        <w:lastRenderedPageBreak/>
        <w:t>2.2 Efficiency of public expenditure on education</w:t>
      </w:r>
      <w:bookmarkEnd w:id="106"/>
      <w:bookmarkEnd w:id="107"/>
      <w:bookmarkEnd w:id="108"/>
      <w:bookmarkEnd w:id="109"/>
      <w:bookmarkEnd w:id="110"/>
      <w:bookmarkEnd w:id="111"/>
    </w:p>
    <w:p w:rsidR="0095650B" w:rsidRDefault="0095650B" w:rsidP="0095650B">
      <w:pPr>
        <w:jc w:val="both"/>
      </w:pPr>
    </w:p>
    <w:p w:rsidR="0095650B" w:rsidRDefault="0095650B" w:rsidP="0095650B">
      <w:pPr>
        <w:jc w:val="both"/>
      </w:pPr>
      <w:r>
        <w:t>Four key measures of the efficiency of public expenditure on education have been suggested</w:t>
      </w:r>
      <w:r>
        <w:rPr>
          <w:rStyle w:val="FootnoteReference"/>
        </w:rPr>
        <w:footnoteReference w:id="20"/>
      </w:r>
      <w:r>
        <w:t>:</w:t>
      </w:r>
    </w:p>
    <w:p w:rsidR="0095650B" w:rsidRDefault="0095650B" w:rsidP="0095650B">
      <w:pPr>
        <w:jc w:val="both"/>
      </w:pPr>
    </w:p>
    <w:p w:rsidR="0095650B" w:rsidRDefault="0095650B" w:rsidP="00501831">
      <w:pPr>
        <w:pStyle w:val="ListParagraph"/>
        <w:numPr>
          <w:ilvl w:val="0"/>
          <w:numId w:val="34"/>
        </w:numPr>
        <w:jc w:val="both"/>
      </w:pPr>
      <w:r>
        <w:t>Internal efficiency of the education system: “</w:t>
      </w:r>
      <w:proofErr w:type="gramStart"/>
      <w:r w:rsidRPr="00906A62">
        <w:t>the rate</w:t>
      </w:r>
      <w:proofErr w:type="gramEnd"/>
      <w:r w:rsidRPr="00906A62">
        <w:t xml:space="preserve"> at which a system enrols and has its student body</w:t>
      </w:r>
      <w:r>
        <w:t xml:space="preserve"> </w:t>
      </w:r>
      <w:r w:rsidRPr="00906A62">
        <w:t>complete each level of schooling</w:t>
      </w:r>
      <w:r>
        <w:t xml:space="preserve">.” </w:t>
      </w:r>
    </w:p>
    <w:p w:rsidR="0095650B" w:rsidRDefault="0095650B" w:rsidP="00501831">
      <w:pPr>
        <w:pStyle w:val="ListParagraph"/>
        <w:numPr>
          <w:ilvl w:val="0"/>
          <w:numId w:val="34"/>
        </w:numPr>
        <w:jc w:val="both"/>
      </w:pPr>
      <w:r>
        <w:t>Administrative burden of education system management: “</w:t>
      </w:r>
      <w:r w:rsidRPr="00E56131">
        <w:t>the proportion of budget</w:t>
      </w:r>
      <w:r>
        <w:t xml:space="preserve"> </w:t>
      </w:r>
      <w:r w:rsidRPr="00E56131">
        <w:t>allocated for system management.</w:t>
      </w:r>
      <w:r>
        <w:t>”</w:t>
      </w:r>
    </w:p>
    <w:p w:rsidR="0095650B" w:rsidRDefault="0095650B" w:rsidP="00501831">
      <w:pPr>
        <w:pStyle w:val="ListParagraph"/>
        <w:numPr>
          <w:ilvl w:val="0"/>
          <w:numId w:val="34"/>
        </w:numPr>
        <w:jc w:val="both"/>
      </w:pPr>
      <w:r>
        <w:t xml:space="preserve">Resource prioritisation for education sub-sectors: </w:t>
      </w:r>
      <w:r w:rsidRPr="00E56131">
        <w:t>how the funding pie is divided between</w:t>
      </w:r>
      <w:r>
        <w:t xml:space="preserve"> </w:t>
      </w:r>
      <w:r w:rsidRPr="00E56131">
        <w:t>different levels of education.</w:t>
      </w:r>
      <w:r>
        <w:t>”</w:t>
      </w:r>
    </w:p>
    <w:p w:rsidR="0095650B" w:rsidRDefault="0095650B" w:rsidP="00501831">
      <w:pPr>
        <w:pStyle w:val="ListParagraph"/>
        <w:numPr>
          <w:ilvl w:val="0"/>
          <w:numId w:val="34"/>
        </w:numPr>
        <w:jc w:val="both"/>
      </w:pPr>
      <w:r>
        <w:t>Salary and non-salary shares of expenditure: “</w:t>
      </w:r>
      <w:r w:rsidRPr="00E56131">
        <w:t>the amount of funds available to a system</w:t>
      </w:r>
      <w:r>
        <w:t xml:space="preserve"> </w:t>
      </w:r>
      <w:r w:rsidRPr="00E56131">
        <w:t>to</w:t>
      </w:r>
      <w:r>
        <w:t xml:space="preserve"> </w:t>
      </w:r>
      <w:r w:rsidRPr="00E56131">
        <w:t xml:space="preserve">spend on equipment, materials and facilities </w:t>
      </w:r>
      <w:proofErr w:type="gramStart"/>
      <w:r w:rsidRPr="00E56131">
        <w:t>that are</w:t>
      </w:r>
      <w:proofErr w:type="gramEnd"/>
      <w:r w:rsidRPr="00E56131">
        <w:t xml:space="preserve"> important to education quality.</w:t>
      </w:r>
      <w:r>
        <w:t>”</w:t>
      </w:r>
    </w:p>
    <w:p w:rsidR="0095650B" w:rsidRDefault="0095650B" w:rsidP="0095650B">
      <w:pPr>
        <w:jc w:val="both"/>
      </w:pPr>
    </w:p>
    <w:p w:rsidR="0095650B" w:rsidRDefault="0095650B" w:rsidP="0095650B">
      <w:pPr>
        <w:jc w:val="both"/>
      </w:pPr>
      <w:r>
        <w:t>Item (a) is addressed in Section 2.2.1.  Items (b) and (d) are addressed in reviewing Vanuatu’s education system management (Section 2.2.2).  Item (c) has been addressed in Section 2.1 and is not examined further in this Section.  An additional issue, whether budgeted expenditure on education reaches its intended beneficiari</w:t>
      </w:r>
      <w:r w:rsidR="00142AAB">
        <w:t>es, is explored in Section 2.2.</w:t>
      </w:r>
      <w:r>
        <w:t xml:space="preserve"> </w:t>
      </w:r>
    </w:p>
    <w:p w:rsidR="0095650B" w:rsidRDefault="0095650B" w:rsidP="00160C19">
      <w:pPr>
        <w:pStyle w:val="Heading2"/>
      </w:pPr>
      <w:bookmarkStart w:id="112" w:name="_Toc341210793"/>
      <w:bookmarkStart w:id="113" w:name="_Toc341210913"/>
      <w:bookmarkStart w:id="114" w:name="_Toc341265731"/>
      <w:bookmarkStart w:id="115" w:name="_Toc343257293"/>
      <w:bookmarkStart w:id="116" w:name="_Toc343257407"/>
      <w:bookmarkStart w:id="117" w:name="_Toc348711328"/>
      <w:r w:rsidRPr="002F2E17">
        <w:t>2.2.1 Internal efficiency of the education system</w:t>
      </w:r>
      <w:bookmarkEnd w:id="112"/>
      <w:bookmarkEnd w:id="113"/>
      <w:bookmarkEnd w:id="114"/>
      <w:bookmarkEnd w:id="115"/>
      <w:bookmarkEnd w:id="116"/>
      <w:bookmarkEnd w:id="117"/>
    </w:p>
    <w:p w:rsidR="0095650B" w:rsidRDefault="0095650B" w:rsidP="0095650B">
      <w:pPr>
        <w:jc w:val="both"/>
      </w:pPr>
    </w:p>
    <w:p w:rsidR="0095650B" w:rsidRDefault="0095650B" w:rsidP="0095650B">
      <w:pPr>
        <w:jc w:val="both"/>
      </w:pPr>
      <w:r>
        <w:t>From a long-term perspective</w:t>
      </w:r>
      <w:r w:rsidR="00814450">
        <w:t xml:space="preserve">, in terms of </w:t>
      </w:r>
      <w:r>
        <w:t xml:space="preserve">the proportion of school-aged children attending school - Vanuatu has made significant progress over the past forty years (see Table </w:t>
      </w:r>
      <w:r w:rsidR="00C03572">
        <w:t>16</w:t>
      </w:r>
      <w:r>
        <w:t>).</w:t>
      </w:r>
    </w:p>
    <w:p w:rsidR="0095650B" w:rsidRDefault="0095650B" w:rsidP="0095650B">
      <w:pPr>
        <w:jc w:val="both"/>
      </w:pPr>
    </w:p>
    <w:tbl>
      <w:tblPr>
        <w:tblStyle w:val="TableGrid"/>
        <w:tblW w:w="8505" w:type="dxa"/>
        <w:jc w:val="center"/>
        <w:tblLook w:val="04A0" w:firstRow="1" w:lastRow="0" w:firstColumn="1" w:lastColumn="0" w:noHBand="0" w:noVBand="1"/>
        <w:tblCaption w:val="Table 16: Proportion of persons aged 6 to 19 years inclusive attending school"/>
      </w:tblPr>
      <w:tblGrid>
        <w:gridCol w:w="2125"/>
        <w:gridCol w:w="2127"/>
        <w:gridCol w:w="2126"/>
        <w:gridCol w:w="2127"/>
      </w:tblGrid>
      <w:tr w:rsidR="0095650B" w:rsidTr="00D339A4">
        <w:trPr>
          <w:tblHeader/>
          <w:jc w:val="center"/>
        </w:trPr>
        <w:tc>
          <w:tcPr>
            <w:tcW w:w="9570" w:type="dxa"/>
            <w:gridSpan w:val="4"/>
            <w:shd w:val="clear" w:color="auto" w:fill="BFBFBF" w:themeFill="background1" w:themeFillShade="BF"/>
          </w:tcPr>
          <w:p w:rsidR="0095650B" w:rsidRDefault="0095650B" w:rsidP="00C03572">
            <w:pPr>
              <w:jc w:val="both"/>
            </w:pPr>
            <w:r>
              <w:t xml:space="preserve">Table </w:t>
            </w:r>
            <w:r w:rsidR="00C03572">
              <w:t>16</w:t>
            </w:r>
            <w:r>
              <w:t>: Proportion of persons aged 6 to 19 years inclusive attending school</w:t>
            </w:r>
          </w:p>
        </w:tc>
      </w:tr>
      <w:tr w:rsidR="0095650B" w:rsidTr="008C405A">
        <w:trPr>
          <w:jc w:val="center"/>
        </w:trPr>
        <w:tc>
          <w:tcPr>
            <w:tcW w:w="2392" w:type="dxa"/>
          </w:tcPr>
          <w:p w:rsidR="0095650B" w:rsidRDefault="0095650B" w:rsidP="00C05FAA">
            <w:pPr>
              <w:jc w:val="right"/>
            </w:pPr>
            <w:r>
              <w:t>Year</w:t>
            </w:r>
          </w:p>
        </w:tc>
        <w:tc>
          <w:tcPr>
            <w:tcW w:w="2393" w:type="dxa"/>
          </w:tcPr>
          <w:p w:rsidR="0095650B" w:rsidRDefault="0095650B" w:rsidP="00C05FAA">
            <w:pPr>
              <w:jc w:val="center"/>
            </w:pPr>
            <w:r>
              <w:t>1967</w:t>
            </w:r>
          </w:p>
        </w:tc>
        <w:tc>
          <w:tcPr>
            <w:tcW w:w="2392" w:type="dxa"/>
          </w:tcPr>
          <w:p w:rsidR="0095650B" w:rsidRDefault="0095650B" w:rsidP="00C05FAA">
            <w:pPr>
              <w:jc w:val="center"/>
            </w:pPr>
            <w:r>
              <w:t>2003</w:t>
            </w:r>
          </w:p>
        </w:tc>
        <w:tc>
          <w:tcPr>
            <w:tcW w:w="2393" w:type="dxa"/>
          </w:tcPr>
          <w:p w:rsidR="0095650B" w:rsidRDefault="0095650B" w:rsidP="00C05FAA">
            <w:pPr>
              <w:jc w:val="center"/>
            </w:pPr>
            <w:r>
              <w:t>2009</w:t>
            </w:r>
          </w:p>
        </w:tc>
      </w:tr>
      <w:tr w:rsidR="0095650B" w:rsidTr="008C405A">
        <w:trPr>
          <w:jc w:val="center"/>
        </w:trPr>
        <w:tc>
          <w:tcPr>
            <w:tcW w:w="2392" w:type="dxa"/>
          </w:tcPr>
          <w:p w:rsidR="0095650B" w:rsidRDefault="0095650B" w:rsidP="00C05FAA">
            <w:pPr>
              <w:jc w:val="right"/>
            </w:pPr>
          </w:p>
        </w:tc>
        <w:tc>
          <w:tcPr>
            <w:tcW w:w="2393" w:type="dxa"/>
          </w:tcPr>
          <w:p w:rsidR="0095650B" w:rsidRDefault="0095650B" w:rsidP="00C05FAA">
            <w:pPr>
              <w:jc w:val="center"/>
            </w:pPr>
            <w:r>
              <w:t>58%</w:t>
            </w:r>
          </w:p>
        </w:tc>
        <w:tc>
          <w:tcPr>
            <w:tcW w:w="2392" w:type="dxa"/>
          </w:tcPr>
          <w:p w:rsidR="0095650B" w:rsidRDefault="0095650B" w:rsidP="00C05FAA">
            <w:pPr>
              <w:jc w:val="center"/>
            </w:pPr>
            <w:r>
              <w:t>63%</w:t>
            </w:r>
          </w:p>
        </w:tc>
        <w:tc>
          <w:tcPr>
            <w:tcW w:w="2393" w:type="dxa"/>
          </w:tcPr>
          <w:p w:rsidR="0095650B" w:rsidRDefault="0095650B" w:rsidP="00C05FAA">
            <w:pPr>
              <w:jc w:val="center"/>
            </w:pPr>
            <w:r>
              <w:t>72%</w:t>
            </w:r>
          </w:p>
        </w:tc>
      </w:tr>
      <w:tr w:rsidR="0095650B" w:rsidTr="008C405A">
        <w:trPr>
          <w:jc w:val="center"/>
        </w:trPr>
        <w:tc>
          <w:tcPr>
            <w:tcW w:w="9570" w:type="dxa"/>
            <w:gridSpan w:val="4"/>
          </w:tcPr>
          <w:p w:rsidR="0095650B" w:rsidRDefault="0095650B" w:rsidP="00814450">
            <w:r>
              <w:t xml:space="preserve">Sources:  </w:t>
            </w:r>
            <w:r w:rsidR="00814450">
              <w:t xml:space="preserve">Percentages </w:t>
            </w:r>
            <w:r>
              <w:t>for 1967 and 2003 taken from ‘Republic of Vanuatu: Country Case Study’, World Bank, (2005), page 33.  The percentage for 2009 derived from National Population and Housing Census 2009, Basic Tables Report, Table 6.2.</w:t>
            </w:r>
          </w:p>
        </w:tc>
      </w:tr>
    </w:tbl>
    <w:p w:rsidR="0095650B" w:rsidRDefault="0095650B" w:rsidP="0095650B">
      <w:pPr>
        <w:jc w:val="both"/>
      </w:pPr>
    </w:p>
    <w:p w:rsidR="00FC5C59" w:rsidRDefault="0095650B">
      <w:r>
        <w:t>Reliable time series data for a wider range of indicators are not available for this extended period.  However, the (draft) Design for the forthcoming Vanuatu Education Sector Program contains a</w:t>
      </w:r>
      <w:r w:rsidR="00814450">
        <w:t xml:space="preserve"> </w:t>
      </w:r>
      <w:r>
        <w:t xml:space="preserve">succinct summary of more recent trends for key sub sector indicators.  This, together with the Design Team’s commentary, is reproduced verbatim </w:t>
      </w:r>
      <w:r w:rsidR="008C405A">
        <w:t>below</w:t>
      </w:r>
      <w:r w:rsidR="00814450">
        <w:t>.</w:t>
      </w:r>
    </w:p>
    <w:p w:rsidR="00FC5C59" w:rsidRDefault="00FC5C59"/>
    <w:p w:rsidR="00FC5C59" w:rsidRDefault="00FC5C59">
      <w:r>
        <w:br w:type="page"/>
      </w:r>
    </w:p>
    <w:tbl>
      <w:tblPr>
        <w:tblStyle w:val="TableGrid"/>
        <w:tblW w:w="0" w:type="auto"/>
        <w:tblLook w:val="04A0" w:firstRow="1" w:lastRow="0" w:firstColumn="1" w:lastColumn="0" w:noHBand="0" w:noVBand="1"/>
        <w:tblCaption w:val="Table 17: Statistics on access and quality"/>
      </w:tblPr>
      <w:tblGrid>
        <w:gridCol w:w="9570"/>
      </w:tblGrid>
      <w:tr w:rsidR="009C5162" w:rsidRPr="009C5162" w:rsidTr="00D339A4">
        <w:trPr>
          <w:tblHeader/>
        </w:trPr>
        <w:tc>
          <w:tcPr>
            <w:tcW w:w="9570" w:type="dxa"/>
            <w:shd w:val="clear" w:color="auto" w:fill="BFBFBF" w:themeFill="background1" w:themeFillShade="BF"/>
          </w:tcPr>
          <w:p w:rsidR="009C5162" w:rsidRPr="00CE0F6F" w:rsidRDefault="009C5162" w:rsidP="005727F2">
            <w:pPr>
              <w:jc w:val="both"/>
            </w:pPr>
            <w:r>
              <w:lastRenderedPageBreak/>
              <w:t>Table 17: St</w:t>
            </w:r>
            <w:r w:rsidR="00FC5C59">
              <w:t>atistics on access and quality</w:t>
            </w:r>
          </w:p>
        </w:tc>
      </w:tr>
      <w:bookmarkStart w:id="118" w:name="_MON_1421839686"/>
      <w:bookmarkEnd w:id="118"/>
      <w:tr w:rsidR="009C5162" w:rsidRPr="009C5162" w:rsidTr="00FC5C59">
        <w:trPr>
          <w:tblHeader/>
        </w:trPr>
        <w:tc>
          <w:tcPr>
            <w:tcW w:w="9570" w:type="dxa"/>
          </w:tcPr>
          <w:p w:rsidR="009C5162" w:rsidRDefault="009C5162" w:rsidP="005727F2">
            <w:pPr>
              <w:jc w:val="both"/>
            </w:pPr>
            <w:r w:rsidRPr="00CE0F6F">
              <w:object w:dxaOrig="8237" w:dyaOrig="13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y statistics on access, equity and quality of primary education (excerpt from VESP design document 2012)" style="width:410.5pt;height:673.8pt;mso-position-vertical:absolute" o:ole="">
                  <v:imagedata r:id="rId20" o:title=""/>
                </v:shape>
                <o:OLEObject Type="Embed" ProgID="Word.Document.12" ShapeID="_x0000_i1025" DrawAspect="Content" ObjectID="_1422776055" r:id="rId21">
                  <o:FieldCodes>\s</o:FieldCodes>
                </o:OLEObject>
              </w:object>
            </w:r>
          </w:p>
          <w:p w:rsidR="009C5162" w:rsidRPr="009C5162" w:rsidRDefault="009C5162" w:rsidP="005727F2">
            <w:pPr>
              <w:jc w:val="both"/>
            </w:pPr>
          </w:p>
        </w:tc>
      </w:tr>
      <w:tr w:rsidR="009C5162" w:rsidRPr="009C5162" w:rsidTr="005727F2">
        <w:tc>
          <w:tcPr>
            <w:tcW w:w="9570" w:type="dxa"/>
          </w:tcPr>
          <w:p w:rsidR="009C5162" w:rsidRPr="009C5162" w:rsidRDefault="009C5162" w:rsidP="005727F2">
            <w:pPr>
              <w:jc w:val="both"/>
            </w:pPr>
            <w:r w:rsidRPr="009C5162">
              <w:t>Source:  Draft VESP Design (3 September 2011) page 11.</w:t>
            </w:r>
          </w:p>
        </w:tc>
      </w:tr>
    </w:tbl>
    <w:p w:rsidR="0095650B" w:rsidRDefault="0095650B" w:rsidP="0095650B">
      <w:pPr>
        <w:jc w:val="both"/>
      </w:pPr>
      <w:r>
        <w:lastRenderedPageBreak/>
        <w:t xml:space="preserve">A further (related) indicator of internal efficiency is the ‘Coefficient of Efficiency’, defined by VEMIS as “The ideal (optimal) number of pupil years required (i.e. without repetition and dropout) to produce a number of graduates from a given school cohort for a cycle or level of education as a percentage of the actual number of pupil years spent to produce the same number of graduates.”  Figure </w:t>
      </w:r>
      <w:r w:rsidR="00C03572">
        <w:t>9</w:t>
      </w:r>
      <w:r>
        <w:t xml:space="preserve"> reproduces the Coefficient of Efficiency for the years 2007-2010.  It shows no obvious improving trend over this period (e.g. the coefficients of efficiency were lower in 2010 than in 2007 for every school cohort between Years 1 and 13).</w:t>
      </w:r>
    </w:p>
    <w:p w:rsidR="0095650B" w:rsidRDefault="0095650B" w:rsidP="0095650B">
      <w:pPr>
        <w:jc w:val="both"/>
      </w:pPr>
    </w:p>
    <w:tbl>
      <w:tblPr>
        <w:tblStyle w:val="TableGrid"/>
        <w:tblW w:w="8505" w:type="dxa"/>
        <w:jc w:val="center"/>
        <w:tblLook w:val="04A0" w:firstRow="1" w:lastRow="0" w:firstColumn="1" w:lastColumn="0" w:noHBand="0" w:noVBand="1"/>
        <w:tblCaption w:val="Figure 9: Coefficient of Efficiency 2007-2010"/>
        <w:tblDescription w:val="graph: coefficient of efficiency decreases the later the year in school (also shows levels for each year between 2007-2010"/>
      </w:tblPr>
      <w:tblGrid>
        <w:gridCol w:w="8505"/>
      </w:tblGrid>
      <w:tr w:rsidR="0095650B" w:rsidTr="00D339A4">
        <w:trPr>
          <w:tblHeader/>
          <w:jc w:val="center"/>
        </w:trPr>
        <w:tc>
          <w:tcPr>
            <w:tcW w:w="9570" w:type="dxa"/>
            <w:shd w:val="clear" w:color="auto" w:fill="BFBFBF" w:themeFill="background1" w:themeFillShade="BF"/>
          </w:tcPr>
          <w:p w:rsidR="0095650B" w:rsidRDefault="0095650B" w:rsidP="00C03572">
            <w:pPr>
              <w:jc w:val="both"/>
            </w:pPr>
            <w:r>
              <w:t xml:space="preserve">Figure </w:t>
            </w:r>
            <w:r w:rsidR="00C03572">
              <w:t>9</w:t>
            </w:r>
            <w:r>
              <w:t>: Coefficient of Efficiency 2007-2010</w:t>
            </w:r>
          </w:p>
        </w:tc>
      </w:tr>
      <w:tr w:rsidR="0095650B" w:rsidTr="009F0F0A">
        <w:trPr>
          <w:jc w:val="center"/>
        </w:trPr>
        <w:tc>
          <w:tcPr>
            <w:tcW w:w="9570" w:type="dxa"/>
          </w:tcPr>
          <w:p w:rsidR="0095650B" w:rsidRDefault="0095650B" w:rsidP="00C05FAA">
            <w:pPr>
              <w:jc w:val="both"/>
            </w:pPr>
          </w:p>
          <w:p w:rsidR="0095650B" w:rsidRDefault="0095650B" w:rsidP="00C05FAA">
            <w:pPr>
              <w:jc w:val="center"/>
            </w:pPr>
            <w:r>
              <w:rPr>
                <w:noProof/>
                <w:lang w:eastAsia="en-AU"/>
              </w:rPr>
              <w:drawing>
                <wp:inline distT="0" distB="0" distL="0" distR="0" wp14:anchorId="34EC4B74" wp14:editId="68176B2B">
                  <wp:extent cx="4162425" cy="2647950"/>
                  <wp:effectExtent l="0" t="0" r="9525" b="0"/>
                  <wp:docPr id="11" name="Picture 11" descr="graph: coefficient of efficiency decreases the later the year in school (also shows levels for each year between 2007-2010" title="Figure 9: Coefficient of Efficiency 200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4162425" cy="2647950"/>
                          </a:xfrm>
                          <a:prstGeom prst="rect">
                            <a:avLst/>
                          </a:prstGeom>
                          <a:noFill/>
                          <a:ln w="9525">
                            <a:noFill/>
                            <a:miter lim="800000"/>
                            <a:headEnd/>
                            <a:tailEnd/>
                          </a:ln>
                        </pic:spPr>
                      </pic:pic>
                    </a:graphicData>
                  </a:graphic>
                </wp:inline>
              </w:drawing>
            </w:r>
          </w:p>
          <w:p w:rsidR="009F0F0A" w:rsidRDefault="009F0F0A" w:rsidP="00C05FAA">
            <w:pPr>
              <w:jc w:val="both"/>
            </w:pPr>
          </w:p>
        </w:tc>
      </w:tr>
      <w:tr w:rsidR="0095650B" w:rsidTr="009F0F0A">
        <w:trPr>
          <w:jc w:val="center"/>
        </w:trPr>
        <w:tc>
          <w:tcPr>
            <w:tcW w:w="9570" w:type="dxa"/>
          </w:tcPr>
          <w:p w:rsidR="0095650B" w:rsidRDefault="0095650B" w:rsidP="00C05FAA">
            <w:pPr>
              <w:jc w:val="both"/>
            </w:pPr>
            <w:r>
              <w:t>Source:  Reproduced from ‘Annual Statistical Report 2010-2011’, Ministry of Education (June 2012), page 41.</w:t>
            </w:r>
          </w:p>
        </w:tc>
      </w:tr>
    </w:tbl>
    <w:p w:rsidR="0095650B" w:rsidRDefault="0095650B" w:rsidP="0095650B">
      <w:pPr>
        <w:jc w:val="both"/>
      </w:pPr>
    </w:p>
    <w:p w:rsidR="00907264" w:rsidRDefault="0095650B" w:rsidP="0095650B">
      <w:pPr>
        <w:jc w:val="both"/>
      </w:pPr>
      <w:r>
        <w:t xml:space="preserve">Pacific region data for internal efficiency indicators is limited, of variable quality and should be interpreted with considerable caution.  With these qualifications Table </w:t>
      </w:r>
      <w:r w:rsidR="00C03572">
        <w:t>18</w:t>
      </w:r>
      <w:r>
        <w:t xml:space="preserve"> presents data compiled by </w:t>
      </w:r>
      <w:r w:rsidR="00A63450">
        <w:t>the Secretariat of the Pacific Community.</w:t>
      </w:r>
    </w:p>
    <w:p w:rsidR="00907264" w:rsidRDefault="00907264" w:rsidP="0095650B">
      <w:pPr>
        <w:jc w:val="both"/>
      </w:pPr>
    </w:p>
    <w:tbl>
      <w:tblPr>
        <w:tblStyle w:val="TableGrid"/>
        <w:tblW w:w="0" w:type="auto"/>
        <w:tblLook w:val="04A0" w:firstRow="1" w:lastRow="0" w:firstColumn="1" w:lastColumn="0" w:noHBand="0" w:noVBand="1"/>
        <w:tblCaption w:val="Table 18: Pacific Region Education Indicators"/>
        <w:tblDescription w:val="Stats for Cook Islands, Fiji, Kiribati, Samoa, Solomon Islands, Tonga and Vanuatu. Stats are Gross Enrolment Rate (primary), Gross Enrolment Rate (secondary), net enrolment rate, survival rate grade 1 to grade 6"/>
      </w:tblPr>
      <w:tblGrid>
        <w:gridCol w:w="1436"/>
        <w:gridCol w:w="676"/>
        <w:gridCol w:w="899"/>
        <w:gridCol w:w="661"/>
        <w:gridCol w:w="884"/>
        <w:gridCol w:w="661"/>
        <w:gridCol w:w="884"/>
        <w:gridCol w:w="705"/>
        <w:gridCol w:w="928"/>
        <w:gridCol w:w="1836"/>
      </w:tblGrid>
      <w:tr w:rsidR="00907264" w:rsidTr="00D339A4">
        <w:trPr>
          <w:tblHeader/>
        </w:trPr>
        <w:tc>
          <w:tcPr>
            <w:tcW w:w="9570" w:type="dxa"/>
            <w:gridSpan w:val="10"/>
            <w:shd w:val="clear" w:color="auto" w:fill="BFBFBF" w:themeFill="background1" w:themeFillShade="BF"/>
          </w:tcPr>
          <w:p w:rsidR="00356D92" w:rsidRPr="003E13EF" w:rsidRDefault="00907264" w:rsidP="003E13EF">
            <w:r>
              <w:t>Table 18: Pacific Region Education Indicators</w:t>
            </w:r>
          </w:p>
        </w:tc>
      </w:tr>
      <w:tr w:rsidR="00907264" w:rsidTr="00907264">
        <w:tc>
          <w:tcPr>
            <w:tcW w:w="1436" w:type="dxa"/>
          </w:tcPr>
          <w:p w:rsidR="00907264" w:rsidRDefault="00907264" w:rsidP="00907264">
            <w:pPr>
              <w:rPr>
                <w:b/>
              </w:rPr>
            </w:pPr>
          </w:p>
        </w:tc>
        <w:tc>
          <w:tcPr>
            <w:tcW w:w="1575" w:type="dxa"/>
            <w:gridSpan w:val="2"/>
          </w:tcPr>
          <w:p w:rsidR="00907264" w:rsidRDefault="00907264" w:rsidP="00907264">
            <w:pPr>
              <w:jc w:val="center"/>
              <w:rPr>
                <w:b/>
              </w:rPr>
            </w:pPr>
            <w:r>
              <w:rPr>
                <w:b/>
              </w:rPr>
              <w:t>Gross Enrolment Rate - Primary</w:t>
            </w:r>
          </w:p>
        </w:tc>
        <w:tc>
          <w:tcPr>
            <w:tcW w:w="1545" w:type="dxa"/>
            <w:gridSpan w:val="2"/>
          </w:tcPr>
          <w:p w:rsidR="00907264" w:rsidRDefault="00907264" w:rsidP="00907264">
            <w:pPr>
              <w:jc w:val="center"/>
              <w:rPr>
                <w:b/>
              </w:rPr>
            </w:pPr>
            <w:r>
              <w:rPr>
                <w:b/>
              </w:rPr>
              <w:t>Gross Enrolment Rate - Secondary</w:t>
            </w:r>
          </w:p>
        </w:tc>
        <w:tc>
          <w:tcPr>
            <w:tcW w:w="1545" w:type="dxa"/>
            <w:gridSpan w:val="2"/>
          </w:tcPr>
          <w:p w:rsidR="00907264" w:rsidRDefault="00907264" w:rsidP="00907264">
            <w:pPr>
              <w:jc w:val="center"/>
              <w:rPr>
                <w:b/>
              </w:rPr>
            </w:pPr>
            <w:r>
              <w:rPr>
                <w:b/>
              </w:rPr>
              <w:t>Net Enrolment Rate - Primary</w:t>
            </w:r>
          </w:p>
        </w:tc>
        <w:tc>
          <w:tcPr>
            <w:tcW w:w="1633" w:type="dxa"/>
            <w:gridSpan w:val="2"/>
          </w:tcPr>
          <w:p w:rsidR="00907264" w:rsidRDefault="00907264" w:rsidP="00907264">
            <w:pPr>
              <w:jc w:val="center"/>
              <w:rPr>
                <w:b/>
              </w:rPr>
            </w:pPr>
            <w:r>
              <w:rPr>
                <w:b/>
              </w:rPr>
              <w:t>Survival Rate to Grade 1 to Grade 6</w:t>
            </w:r>
          </w:p>
        </w:tc>
        <w:tc>
          <w:tcPr>
            <w:tcW w:w="1836" w:type="dxa"/>
          </w:tcPr>
          <w:p w:rsidR="00907264" w:rsidRDefault="00907264" w:rsidP="00907264">
            <w:pPr>
              <w:jc w:val="center"/>
              <w:rPr>
                <w:b/>
              </w:rPr>
            </w:pPr>
            <w:r>
              <w:rPr>
                <w:b/>
              </w:rPr>
              <w:t xml:space="preserve">Source </w:t>
            </w:r>
          </w:p>
          <w:p w:rsidR="00907264" w:rsidRPr="00EA7789" w:rsidRDefault="00907264" w:rsidP="00907264">
            <w:pPr>
              <w:jc w:val="center"/>
            </w:pPr>
            <w:r>
              <w:t>(Year of data in brackets)</w:t>
            </w:r>
          </w:p>
        </w:tc>
      </w:tr>
      <w:tr w:rsidR="00907264" w:rsidTr="00907264">
        <w:tc>
          <w:tcPr>
            <w:tcW w:w="1436" w:type="dxa"/>
          </w:tcPr>
          <w:p w:rsidR="00907264" w:rsidRDefault="00907264" w:rsidP="00907264">
            <w:pPr>
              <w:rPr>
                <w:b/>
              </w:rPr>
            </w:pPr>
          </w:p>
        </w:tc>
        <w:tc>
          <w:tcPr>
            <w:tcW w:w="676" w:type="dxa"/>
            <w:tcBorders>
              <w:right w:val="nil"/>
            </w:tcBorders>
          </w:tcPr>
          <w:p w:rsidR="00907264" w:rsidRPr="001A0265" w:rsidRDefault="00907264" w:rsidP="00907264">
            <w:pPr>
              <w:jc w:val="center"/>
            </w:pPr>
            <w:r w:rsidRPr="001A0265">
              <w:t>(%)</w:t>
            </w:r>
          </w:p>
        </w:tc>
        <w:tc>
          <w:tcPr>
            <w:tcW w:w="899" w:type="dxa"/>
            <w:tcBorders>
              <w:left w:val="nil"/>
              <w:bottom w:val="single" w:sz="4" w:space="0" w:color="auto"/>
            </w:tcBorders>
          </w:tcPr>
          <w:p w:rsidR="00907264" w:rsidRPr="001A0265" w:rsidRDefault="00907264" w:rsidP="00907264">
            <w:pPr>
              <w:jc w:val="center"/>
            </w:pPr>
          </w:p>
        </w:tc>
        <w:tc>
          <w:tcPr>
            <w:tcW w:w="661" w:type="dxa"/>
            <w:tcBorders>
              <w:right w:val="nil"/>
            </w:tcBorders>
          </w:tcPr>
          <w:p w:rsidR="00907264" w:rsidRPr="001A0265" w:rsidRDefault="00907264" w:rsidP="00907264">
            <w:pPr>
              <w:jc w:val="center"/>
            </w:pPr>
            <w:r w:rsidRPr="001A0265">
              <w:t>(%)</w:t>
            </w:r>
          </w:p>
        </w:tc>
        <w:tc>
          <w:tcPr>
            <w:tcW w:w="884" w:type="dxa"/>
            <w:tcBorders>
              <w:left w:val="nil"/>
              <w:bottom w:val="single" w:sz="4" w:space="0" w:color="auto"/>
            </w:tcBorders>
          </w:tcPr>
          <w:p w:rsidR="00907264" w:rsidRPr="001A0265" w:rsidRDefault="00907264" w:rsidP="00907264">
            <w:pPr>
              <w:jc w:val="center"/>
            </w:pPr>
          </w:p>
        </w:tc>
        <w:tc>
          <w:tcPr>
            <w:tcW w:w="661" w:type="dxa"/>
            <w:tcBorders>
              <w:right w:val="nil"/>
            </w:tcBorders>
          </w:tcPr>
          <w:p w:rsidR="00907264" w:rsidRPr="001A0265" w:rsidRDefault="00907264" w:rsidP="00907264">
            <w:pPr>
              <w:jc w:val="center"/>
            </w:pPr>
            <w:r w:rsidRPr="001A0265">
              <w:t>(%)</w:t>
            </w:r>
          </w:p>
        </w:tc>
        <w:tc>
          <w:tcPr>
            <w:tcW w:w="884" w:type="dxa"/>
            <w:tcBorders>
              <w:left w:val="nil"/>
              <w:bottom w:val="single" w:sz="4" w:space="0" w:color="auto"/>
            </w:tcBorders>
          </w:tcPr>
          <w:p w:rsidR="00907264" w:rsidRPr="001A0265" w:rsidRDefault="00907264" w:rsidP="00907264">
            <w:pPr>
              <w:jc w:val="center"/>
            </w:pPr>
          </w:p>
        </w:tc>
        <w:tc>
          <w:tcPr>
            <w:tcW w:w="705" w:type="dxa"/>
            <w:tcBorders>
              <w:right w:val="nil"/>
            </w:tcBorders>
          </w:tcPr>
          <w:p w:rsidR="00907264" w:rsidRPr="001A0265" w:rsidRDefault="00907264" w:rsidP="00907264">
            <w:pPr>
              <w:jc w:val="center"/>
            </w:pPr>
            <w:r w:rsidRPr="001A0265">
              <w:t>(%)</w:t>
            </w:r>
          </w:p>
        </w:tc>
        <w:tc>
          <w:tcPr>
            <w:tcW w:w="928" w:type="dxa"/>
            <w:tcBorders>
              <w:left w:val="nil"/>
              <w:bottom w:val="single" w:sz="4" w:space="0" w:color="auto"/>
            </w:tcBorders>
          </w:tcPr>
          <w:p w:rsidR="00907264" w:rsidRPr="001A0265" w:rsidRDefault="00907264" w:rsidP="00907264">
            <w:pPr>
              <w:jc w:val="center"/>
            </w:pPr>
          </w:p>
        </w:tc>
        <w:tc>
          <w:tcPr>
            <w:tcW w:w="1836" w:type="dxa"/>
            <w:vMerge w:val="restart"/>
          </w:tcPr>
          <w:p w:rsidR="00907264" w:rsidRPr="001A0265" w:rsidRDefault="00907264" w:rsidP="00907264">
            <w:r>
              <w:t>Secretariat of the Pacific Community: National Development Minimum Indicators - Population and Development, Education</w:t>
            </w:r>
          </w:p>
        </w:tc>
      </w:tr>
      <w:tr w:rsidR="00907264" w:rsidTr="00907264">
        <w:tc>
          <w:tcPr>
            <w:tcW w:w="1436" w:type="dxa"/>
          </w:tcPr>
          <w:p w:rsidR="00907264" w:rsidRPr="00EA7789" w:rsidRDefault="00907264" w:rsidP="00907264">
            <w:r>
              <w:t>Cook Islands</w:t>
            </w:r>
          </w:p>
        </w:tc>
        <w:tc>
          <w:tcPr>
            <w:tcW w:w="676" w:type="dxa"/>
            <w:tcBorders>
              <w:right w:val="nil"/>
            </w:tcBorders>
          </w:tcPr>
          <w:p w:rsidR="00907264" w:rsidRPr="00EA7789" w:rsidRDefault="00907264" w:rsidP="00907264">
            <w:pPr>
              <w:jc w:val="center"/>
            </w:pPr>
            <w:r>
              <w:t>108</w:t>
            </w:r>
          </w:p>
        </w:tc>
        <w:tc>
          <w:tcPr>
            <w:tcW w:w="899" w:type="dxa"/>
            <w:tcBorders>
              <w:left w:val="nil"/>
              <w:bottom w:val="single" w:sz="4" w:space="0" w:color="auto"/>
            </w:tcBorders>
          </w:tcPr>
          <w:p w:rsidR="00907264" w:rsidRPr="00EA7789" w:rsidRDefault="00907264" w:rsidP="00907264">
            <w:pPr>
              <w:jc w:val="center"/>
            </w:pPr>
            <w:r>
              <w:t>(2012)</w:t>
            </w:r>
          </w:p>
        </w:tc>
        <w:tc>
          <w:tcPr>
            <w:tcW w:w="661" w:type="dxa"/>
            <w:tcBorders>
              <w:right w:val="nil"/>
            </w:tcBorders>
          </w:tcPr>
          <w:p w:rsidR="00907264" w:rsidRPr="00EA7789" w:rsidRDefault="00907264" w:rsidP="00907264">
            <w:pPr>
              <w:jc w:val="center"/>
            </w:pPr>
            <w:r>
              <w:t>84</w:t>
            </w:r>
          </w:p>
        </w:tc>
        <w:tc>
          <w:tcPr>
            <w:tcW w:w="884" w:type="dxa"/>
            <w:tcBorders>
              <w:left w:val="nil"/>
              <w:bottom w:val="single" w:sz="4" w:space="0" w:color="auto"/>
            </w:tcBorders>
          </w:tcPr>
          <w:p w:rsidR="00907264" w:rsidRPr="00EA7789" w:rsidRDefault="00907264" w:rsidP="00907264">
            <w:pPr>
              <w:jc w:val="center"/>
            </w:pPr>
            <w:r>
              <w:t>(2012)</w:t>
            </w:r>
          </w:p>
        </w:tc>
        <w:tc>
          <w:tcPr>
            <w:tcW w:w="661" w:type="dxa"/>
            <w:tcBorders>
              <w:right w:val="nil"/>
            </w:tcBorders>
          </w:tcPr>
          <w:p w:rsidR="00907264" w:rsidRPr="00EA7789" w:rsidRDefault="00907264" w:rsidP="00907264">
            <w:pPr>
              <w:jc w:val="center"/>
            </w:pPr>
            <w:r>
              <w:t>98</w:t>
            </w:r>
          </w:p>
        </w:tc>
        <w:tc>
          <w:tcPr>
            <w:tcW w:w="884" w:type="dxa"/>
            <w:tcBorders>
              <w:left w:val="nil"/>
              <w:bottom w:val="single" w:sz="4" w:space="0" w:color="auto"/>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75</w:t>
            </w:r>
          </w:p>
        </w:tc>
        <w:tc>
          <w:tcPr>
            <w:tcW w:w="928" w:type="dxa"/>
            <w:tcBorders>
              <w:left w:val="nil"/>
              <w:bottom w:val="single" w:sz="4" w:space="0" w:color="auto"/>
            </w:tcBorders>
          </w:tcPr>
          <w:p w:rsidR="00907264" w:rsidRPr="00EA7789" w:rsidRDefault="00907264" w:rsidP="00907264">
            <w:pPr>
              <w:jc w:val="center"/>
            </w:pPr>
            <w:r>
              <w:t>(2010)</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Fiji</w:t>
            </w:r>
          </w:p>
        </w:tc>
        <w:tc>
          <w:tcPr>
            <w:tcW w:w="676" w:type="dxa"/>
            <w:tcBorders>
              <w:right w:val="nil"/>
            </w:tcBorders>
          </w:tcPr>
          <w:p w:rsidR="00907264" w:rsidRPr="00EA7789" w:rsidRDefault="00907264" w:rsidP="00907264">
            <w:pPr>
              <w:jc w:val="center"/>
            </w:pPr>
            <w:r>
              <w:t>108</w:t>
            </w:r>
          </w:p>
        </w:tc>
        <w:tc>
          <w:tcPr>
            <w:tcW w:w="899" w:type="dxa"/>
            <w:tcBorders>
              <w:left w:val="nil"/>
              <w:bottom w:val="single" w:sz="4" w:space="0" w:color="auto"/>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96</w:t>
            </w:r>
          </w:p>
        </w:tc>
        <w:tc>
          <w:tcPr>
            <w:tcW w:w="884" w:type="dxa"/>
            <w:tcBorders>
              <w:left w:val="nil"/>
              <w:bottom w:val="single" w:sz="4" w:space="0" w:color="auto"/>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97</w:t>
            </w:r>
          </w:p>
        </w:tc>
        <w:tc>
          <w:tcPr>
            <w:tcW w:w="884" w:type="dxa"/>
            <w:tcBorders>
              <w:left w:val="nil"/>
              <w:bottom w:val="single" w:sz="4" w:space="0" w:color="auto"/>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98</w:t>
            </w:r>
          </w:p>
        </w:tc>
        <w:tc>
          <w:tcPr>
            <w:tcW w:w="928" w:type="dxa"/>
            <w:tcBorders>
              <w:left w:val="nil"/>
              <w:bottom w:val="single" w:sz="4" w:space="0" w:color="auto"/>
            </w:tcBorders>
          </w:tcPr>
          <w:p w:rsidR="00907264" w:rsidRPr="00EA7789" w:rsidRDefault="00907264" w:rsidP="00907264">
            <w:pPr>
              <w:jc w:val="center"/>
            </w:pPr>
            <w:r>
              <w:t>(2011)</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Kiribati</w:t>
            </w:r>
          </w:p>
        </w:tc>
        <w:tc>
          <w:tcPr>
            <w:tcW w:w="676" w:type="dxa"/>
            <w:tcBorders>
              <w:right w:val="nil"/>
            </w:tcBorders>
          </w:tcPr>
          <w:p w:rsidR="00907264" w:rsidRPr="00EA7789" w:rsidRDefault="00907264" w:rsidP="00907264">
            <w:pPr>
              <w:jc w:val="center"/>
            </w:pPr>
            <w:r>
              <w:t>90</w:t>
            </w:r>
          </w:p>
        </w:tc>
        <w:tc>
          <w:tcPr>
            <w:tcW w:w="899" w:type="dxa"/>
            <w:tcBorders>
              <w:left w:val="nil"/>
              <w:bottom w:val="single" w:sz="4" w:space="0" w:color="auto"/>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86</w:t>
            </w:r>
          </w:p>
        </w:tc>
        <w:tc>
          <w:tcPr>
            <w:tcW w:w="884" w:type="dxa"/>
            <w:tcBorders>
              <w:left w:val="nil"/>
              <w:bottom w:val="single" w:sz="4" w:space="0" w:color="auto"/>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82</w:t>
            </w:r>
          </w:p>
        </w:tc>
        <w:tc>
          <w:tcPr>
            <w:tcW w:w="884" w:type="dxa"/>
            <w:tcBorders>
              <w:left w:val="nil"/>
              <w:bottom w:val="single" w:sz="4" w:space="0" w:color="auto"/>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90</w:t>
            </w:r>
          </w:p>
        </w:tc>
        <w:tc>
          <w:tcPr>
            <w:tcW w:w="928" w:type="dxa"/>
            <w:tcBorders>
              <w:left w:val="nil"/>
              <w:bottom w:val="single" w:sz="4" w:space="0" w:color="auto"/>
            </w:tcBorders>
          </w:tcPr>
          <w:p w:rsidR="00907264" w:rsidRPr="00EA7789" w:rsidRDefault="00907264" w:rsidP="00907264">
            <w:pPr>
              <w:jc w:val="center"/>
            </w:pPr>
            <w:r>
              <w:t>(2009)</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Samoa</w:t>
            </w:r>
          </w:p>
        </w:tc>
        <w:tc>
          <w:tcPr>
            <w:tcW w:w="676" w:type="dxa"/>
            <w:tcBorders>
              <w:right w:val="nil"/>
            </w:tcBorders>
          </w:tcPr>
          <w:p w:rsidR="00907264" w:rsidRPr="00EA7789" w:rsidRDefault="00907264" w:rsidP="00907264">
            <w:pPr>
              <w:jc w:val="center"/>
            </w:pPr>
            <w:r>
              <w:t>103</w:t>
            </w:r>
          </w:p>
        </w:tc>
        <w:tc>
          <w:tcPr>
            <w:tcW w:w="899" w:type="dxa"/>
            <w:tcBorders>
              <w:left w:val="nil"/>
              <w:bottom w:val="single" w:sz="4" w:space="0" w:color="auto"/>
            </w:tcBorders>
          </w:tcPr>
          <w:p w:rsidR="00907264" w:rsidRPr="00EA7789" w:rsidRDefault="00907264" w:rsidP="00907264">
            <w:pPr>
              <w:jc w:val="center"/>
            </w:pPr>
            <w:r>
              <w:t>(2012)</w:t>
            </w:r>
          </w:p>
        </w:tc>
        <w:tc>
          <w:tcPr>
            <w:tcW w:w="661" w:type="dxa"/>
            <w:tcBorders>
              <w:right w:val="nil"/>
            </w:tcBorders>
          </w:tcPr>
          <w:p w:rsidR="00907264" w:rsidRPr="00EA7789" w:rsidRDefault="00907264" w:rsidP="00907264">
            <w:pPr>
              <w:jc w:val="center"/>
            </w:pPr>
            <w:r>
              <w:t>75</w:t>
            </w:r>
          </w:p>
        </w:tc>
        <w:tc>
          <w:tcPr>
            <w:tcW w:w="884" w:type="dxa"/>
            <w:tcBorders>
              <w:left w:val="nil"/>
              <w:bottom w:val="single" w:sz="4" w:space="0" w:color="auto"/>
            </w:tcBorders>
          </w:tcPr>
          <w:p w:rsidR="00907264" w:rsidRPr="00EA7789" w:rsidRDefault="00907264" w:rsidP="00907264">
            <w:pPr>
              <w:jc w:val="center"/>
            </w:pPr>
            <w:r>
              <w:t>(2012)</w:t>
            </w:r>
          </w:p>
        </w:tc>
        <w:tc>
          <w:tcPr>
            <w:tcW w:w="661" w:type="dxa"/>
            <w:tcBorders>
              <w:right w:val="nil"/>
            </w:tcBorders>
          </w:tcPr>
          <w:p w:rsidR="00907264" w:rsidRPr="00EA7789" w:rsidRDefault="00907264" w:rsidP="00907264">
            <w:pPr>
              <w:jc w:val="center"/>
            </w:pPr>
            <w:r>
              <w:t>94</w:t>
            </w:r>
          </w:p>
        </w:tc>
        <w:tc>
          <w:tcPr>
            <w:tcW w:w="884" w:type="dxa"/>
            <w:tcBorders>
              <w:left w:val="nil"/>
              <w:bottom w:val="single" w:sz="4" w:space="0" w:color="auto"/>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84</w:t>
            </w:r>
          </w:p>
        </w:tc>
        <w:tc>
          <w:tcPr>
            <w:tcW w:w="928" w:type="dxa"/>
            <w:tcBorders>
              <w:left w:val="nil"/>
              <w:bottom w:val="single" w:sz="4" w:space="0" w:color="auto"/>
            </w:tcBorders>
          </w:tcPr>
          <w:p w:rsidR="00907264" w:rsidRPr="00EA7789" w:rsidRDefault="00907264" w:rsidP="00907264">
            <w:pPr>
              <w:jc w:val="center"/>
            </w:pPr>
            <w:r>
              <w:t>(2012)</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Solomon Islands</w:t>
            </w:r>
          </w:p>
        </w:tc>
        <w:tc>
          <w:tcPr>
            <w:tcW w:w="676" w:type="dxa"/>
            <w:tcBorders>
              <w:right w:val="nil"/>
            </w:tcBorders>
          </w:tcPr>
          <w:p w:rsidR="00907264" w:rsidRPr="00EA7789" w:rsidRDefault="00907264" w:rsidP="00907264">
            <w:pPr>
              <w:jc w:val="center"/>
            </w:pPr>
            <w:r>
              <w:t>126</w:t>
            </w:r>
          </w:p>
        </w:tc>
        <w:tc>
          <w:tcPr>
            <w:tcW w:w="899" w:type="dxa"/>
            <w:tcBorders>
              <w:left w:val="nil"/>
              <w:bottom w:val="single" w:sz="4" w:space="0" w:color="auto"/>
            </w:tcBorders>
          </w:tcPr>
          <w:p w:rsidR="00907264" w:rsidRPr="00EA7789" w:rsidRDefault="00907264" w:rsidP="00907264">
            <w:pPr>
              <w:jc w:val="center"/>
            </w:pPr>
            <w:r>
              <w:t>(2010)</w:t>
            </w:r>
          </w:p>
        </w:tc>
        <w:tc>
          <w:tcPr>
            <w:tcW w:w="661" w:type="dxa"/>
            <w:tcBorders>
              <w:right w:val="nil"/>
            </w:tcBorders>
          </w:tcPr>
          <w:p w:rsidR="00907264" w:rsidRPr="00EA7789" w:rsidRDefault="00907264" w:rsidP="00907264">
            <w:pPr>
              <w:jc w:val="center"/>
            </w:pPr>
            <w:r>
              <w:t>74</w:t>
            </w:r>
          </w:p>
        </w:tc>
        <w:tc>
          <w:tcPr>
            <w:tcW w:w="884" w:type="dxa"/>
            <w:tcBorders>
              <w:left w:val="nil"/>
              <w:bottom w:val="single" w:sz="4" w:space="0" w:color="auto"/>
            </w:tcBorders>
          </w:tcPr>
          <w:p w:rsidR="00907264" w:rsidRPr="00EA7789" w:rsidRDefault="00907264" w:rsidP="00907264">
            <w:pPr>
              <w:jc w:val="center"/>
            </w:pPr>
            <w:r>
              <w:t>(2010)</w:t>
            </w:r>
          </w:p>
        </w:tc>
        <w:tc>
          <w:tcPr>
            <w:tcW w:w="661" w:type="dxa"/>
            <w:tcBorders>
              <w:right w:val="nil"/>
            </w:tcBorders>
          </w:tcPr>
          <w:p w:rsidR="00907264" w:rsidRPr="00EA7789" w:rsidRDefault="00907264" w:rsidP="00907264">
            <w:pPr>
              <w:jc w:val="center"/>
            </w:pPr>
            <w:r>
              <w:t>90</w:t>
            </w:r>
          </w:p>
        </w:tc>
        <w:tc>
          <w:tcPr>
            <w:tcW w:w="884" w:type="dxa"/>
            <w:tcBorders>
              <w:left w:val="nil"/>
              <w:bottom w:val="single" w:sz="4" w:space="0" w:color="auto"/>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92</w:t>
            </w:r>
          </w:p>
        </w:tc>
        <w:tc>
          <w:tcPr>
            <w:tcW w:w="928" w:type="dxa"/>
            <w:tcBorders>
              <w:left w:val="nil"/>
              <w:bottom w:val="single" w:sz="4" w:space="0" w:color="auto"/>
            </w:tcBorders>
          </w:tcPr>
          <w:p w:rsidR="00907264" w:rsidRPr="00EA7789" w:rsidRDefault="00907264" w:rsidP="00907264">
            <w:pPr>
              <w:jc w:val="center"/>
            </w:pPr>
            <w:r>
              <w:t>(2009)</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Tonga</w:t>
            </w:r>
          </w:p>
        </w:tc>
        <w:tc>
          <w:tcPr>
            <w:tcW w:w="676" w:type="dxa"/>
            <w:tcBorders>
              <w:right w:val="nil"/>
            </w:tcBorders>
          </w:tcPr>
          <w:p w:rsidR="00907264" w:rsidRPr="00EA7789" w:rsidRDefault="00907264" w:rsidP="00907264">
            <w:pPr>
              <w:jc w:val="center"/>
            </w:pPr>
            <w:r>
              <w:t>110</w:t>
            </w:r>
          </w:p>
        </w:tc>
        <w:tc>
          <w:tcPr>
            <w:tcW w:w="899" w:type="dxa"/>
            <w:tcBorders>
              <w:left w:val="nil"/>
              <w:bottom w:val="single" w:sz="4" w:space="0" w:color="auto"/>
            </w:tcBorders>
          </w:tcPr>
          <w:p w:rsidR="00907264" w:rsidRPr="00EA7789" w:rsidRDefault="00907264" w:rsidP="00907264">
            <w:pPr>
              <w:jc w:val="center"/>
            </w:pPr>
            <w:r>
              <w:t>(2007)</w:t>
            </w:r>
          </w:p>
        </w:tc>
        <w:tc>
          <w:tcPr>
            <w:tcW w:w="661" w:type="dxa"/>
            <w:tcBorders>
              <w:right w:val="nil"/>
            </w:tcBorders>
          </w:tcPr>
          <w:p w:rsidR="00907264" w:rsidRPr="00EA7789" w:rsidRDefault="00907264" w:rsidP="00907264">
            <w:pPr>
              <w:jc w:val="center"/>
            </w:pPr>
            <w:r>
              <w:t>88</w:t>
            </w:r>
          </w:p>
        </w:tc>
        <w:tc>
          <w:tcPr>
            <w:tcW w:w="884" w:type="dxa"/>
            <w:tcBorders>
              <w:left w:val="nil"/>
              <w:bottom w:val="single" w:sz="4" w:space="0" w:color="auto"/>
            </w:tcBorders>
          </w:tcPr>
          <w:p w:rsidR="00907264" w:rsidRPr="00EA7789" w:rsidRDefault="00907264" w:rsidP="00907264">
            <w:pPr>
              <w:jc w:val="center"/>
            </w:pPr>
            <w:r>
              <w:t>(2007)</w:t>
            </w:r>
          </w:p>
        </w:tc>
        <w:tc>
          <w:tcPr>
            <w:tcW w:w="661" w:type="dxa"/>
            <w:tcBorders>
              <w:right w:val="nil"/>
            </w:tcBorders>
          </w:tcPr>
          <w:p w:rsidR="00907264" w:rsidRPr="00EA7789" w:rsidRDefault="00907264" w:rsidP="00907264">
            <w:pPr>
              <w:jc w:val="center"/>
            </w:pPr>
            <w:r>
              <w:t>93</w:t>
            </w:r>
          </w:p>
        </w:tc>
        <w:tc>
          <w:tcPr>
            <w:tcW w:w="884" w:type="dxa"/>
            <w:tcBorders>
              <w:left w:val="nil"/>
              <w:bottom w:val="single" w:sz="4" w:space="0" w:color="auto"/>
            </w:tcBorders>
          </w:tcPr>
          <w:p w:rsidR="00907264" w:rsidRPr="00EA7789" w:rsidRDefault="00907264" w:rsidP="00907264">
            <w:pPr>
              <w:jc w:val="center"/>
            </w:pPr>
            <w:r>
              <w:t>(2008)</w:t>
            </w:r>
          </w:p>
        </w:tc>
        <w:tc>
          <w:tcPr>
            <w:tcW w:w="705" w:type="dxa"/>
            <w:tcBorders>
              <w:right w:val="nil"/>
            </w:tcBorders>
          </w:tcPr>
          <w:p w:rsidR="00907264" w:rsidRPr="00EA7789" w:rsidRDefault="00907264" w:rsidP="00907264">
            <w:pPr>
              <w:jc w:val="center"/>
            </w:pPr>
            <w:r>
              <w:t>90</w:t>
            </w:r>
          </w:p>
        </w:tc>
        <w:tc>
          <w:tcPr>
            <w:tcW w:w="928" w:type="dxa"/>
            <w:tcBorders>
              <w:left w:val="nil"/>
              <w:bottom w:val="single" w:sz="4" w:space="0" w:color="auto"/>
            </w:tcBorders>
          </w:tcPr>
          <w:p w:rsidR="00907264" w:rsidRPr="00EA7789" w:rsidRDefault="00907264" w:rsidP="00907264">
            <w:pPr>
              <w:jc w:val="center"/>
            </w:pPr>
            <w:r>
              <w:t>(2007)</w:t>
            </w:r>
          </w:p>
        </w:tc>
        <w:tc>
          <w:tcPr>
            <w:tcW w:w="1836" w:type="dxa"/>
            <w:vMerge/>
          </w:tcPr>
          <w:p w:rsidR="00907264" w:rsidRPr="00EA7789" w:rsidRDefault="00907264" w:rsidP="00907264">
            <w:pPr>
              <w:jc w:val="center"/>
            </w:pPr>
          </w:p>
        </w:tc>
      </w:tr>
      <w:tr w:rsidR="00907264" w:rsidTr="00907264">
        <w:tc>
          <w:tcPr>
            <w:tcW w:w="1436" w:type="dxa"/>
          </w:tcPr>
          <w:p w:rsidR="00907264" w:rsidRPr="00EA7789" w:rsidRDefault="00907264" w:rsidP="00907264">
            <w:r>
              <w:t>Vanuatu</w:t>
            </w:r>
          </w:p>
        </w:tc>
        <w:tc>
          <w:tcPr>
            <w:tcW w:w="676" w:type="dxa"/>
            <w:tcBorders>
              <w:right w:val="nil"/>
            </w:tcBorders>
          </w:tcPr>
          <w:p w:rsidR="00907264" w:rsidRPr="00EA7789" w:rsidRDefault="00907264" w:rsidP="00907264">
            <w:pPr>
              <w:jc w:val="center"/>
            </w:pPr>
            <w:r>
              <w:t>119</w:t>
            </w:r>
          </w:p>
        </w:tc>
        <w:tc>
          <w:tcPr>
            <w:tcW w:w="899" w:type="dxa"/>
            <w:tcBorders>
              <w:left w:val="nil"/>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41</w:t>
            </w:r>
          </w:p>
        </w:tc>
        <w:tc>
          <w:tcPr>
            <w:tcW w:w="884" w:type="dxa"/>
            <w:tcBorders>
              <w:left w:val="nil"/>
            </w:tcBorders>
          </w:tcPr>
          <w:p w:rsidR="00907264" w:rsidRPr="00EA7789" w:rsidRDefault="00907264" w:rsidP="00907264">
            <w:pPr>
              <w:jc w:val="center"/>
            </w:pPr>
            <w:r>
              <w:t>(2011)</w:t>
            </w:r>
          </w:p>
        </w:tc>
        <w:tc>
          <w:tcPr>
            <w:tcW w:w="661" w:type="dxa"/>
            <w:tcBorders>
              <w:right w:val="nil"/>
            </w:tcBorders>
          </w:tcPr>
          <w:p w:rsidR="00907264" w:rsidRPr="00EA7789" w:rsidRDefault="00907264" w:rsidP="00907264">
            <w:pPr>
              <w:jc w:val="center"/>
            </w:pPr>
            <w:r>
              <w:t>88</w:t>
            </w:r>
          </w:p>
        </w:tc>
        <w:tc>
          <w:tcPr>
            <w:tcW w:w="884" w:type="dxa"/>
            <w:tcBorders>
              <w:left w:val="nil"/>
            </w:tcBorders>
          </w:tcPr>
          <w:p w:rsidR="00907264" w:rsidRPr="00EA7789" w:rsidRDefault="00907264" w:rsidP="00907264">
            <w:pPr>
              <w:jc w:val="center"/>
            </w:pPr>
            <w:r>
              <w:t>(2011)</w:t>
            </w:r>
          </w:p>
        </w:tc>
        <w:tc>
          <w:tcPr>
            <w:tcW w:w="705" w:type="dxa"/>
            <w:tcBorders>
              <w:right w:val="nil"/>
            </w:tcBorders>
          </w:tcPr>
          <w:p w:rsidR="00907264" w:rsidRPr="00EA7789" w:rsidRDefault="00907264" w:rsidP="00907264">
            <w:pPr>
              <w:jc w:val="center"/>
            </w:pPr>
            <w:r>
              <w:t>77</w:t>
            </w:r>
          </w:p>
        </w:tc>
        <w:tc>
          <w:tcPr>
            <w:tcW w:w="928" w:type="dxa"/>
            <w:tcBorders>
              <w:left w:val="nil"/>
            </w:tcBorders>
          </w:tcPr>
          <w:p w:rsidR="00907264" w:rsidRPr="00EA7789" w:rsidRDefault="00907264" w:rsidP="00907264">
            <w:pPr>
              <w:jc w:val="center"/>
            </w:pPr>
            <w:r>
              <w:t>(2010)</w:t>
            </w:r>
          </w:p>
        </w:tc>
        <w:tc>
          <w:tcPr>
            <w:tcW w:w="1836" w:type="dxa"/>
            <w:vMerge/>
          </w:tcPr>
          <w:p w:rsidR="00907264" w:rsidRPr="00EA7789" w:rsidRDefault="00907264" w:rsidP="00907264">
            <w:pPr>
              <w:jc w:val="center"/>
            </w:pPr>
          </w:p>
        </w:tc>
      </w:tr>
    </w:tbl>
    <w:p w:rsidR="00907264" w:rsidRDefault="00907264" w:rsidP="00907264"/>
    <w:p w:rsidR="0095650B" w:rsidRDefault="0095650B" w:rsidP="0095650B">
      <w:pPr>
        <w:jc w:val="both"/>
      </w:pPr>
      <w:r>
        <w:t xml:space="preserve">Notwithstanding the limitations of the data in Table </w:t>
      </w:r>
      <w:r w:rsidR="00C03572">
        <w:t>18</w:t>
      </w:r>
      <w:r>
        <w:t xml:space="preserve"> Vanuatu’s </w:t>
      </w:r>
      <w:r w:rsidR="00907264">
        <w:t xml:space="preserve">relatively </w:t>
      </w:r>
      <w:r>
        <w:t>poor showing in terms of the survival rate to Year 6 in particular is consistent with the findings of other studies over time.</w:t>
      </w:r>
    </w:p>
    <w:p w:rsidR="0095650B" w:rsidRDefault="0095650B" w:rsidP="0095650B">
      <w:pPr>
        <w:jc w:val="both"/>
      </w:pPr>
    </w:p>
    <w:p w:rsidR="0095650B" w:rsidRDefault="0095650B" w:rsidP="0095650B">
      <w:pPr>
        <w:jc w:val="both"/>
      </w:pPr>
      <w:r>
        <w:t xml:space="preserve">The cost to the </w:t>
      </w:r>
      <w:proofErr w:type="spellStart"/>
      <w:r>
        <w:t>GoV</w:t>
      </w:r>
      <w:proofErr w:type="spellEnd"/>
      <w:r>
        <w:t xml:space="preserve"> of repetitions and drop-outs amongst primary school students is considerable.  Based on data for repetitions in 2009 their cost has previously been estimated at some VT170 million for that year.</w:t>
      </w:r>
      <w:r>
        <w:rPr>
          <w:rStyle w:val="FootnoteReference"/>
        </w:rPr>
        <w:footnoteReference w:id="21"/>
      </w:r>
      <w:r>
        <w:t xml:space="preserve">  Derived from the more recent study of teacher supply and demand to 2022 the present review estimates the cost of repetitions and drop-outs at the lower but still considerable figure of VT96 million a year.</w:t>
      </w:r>
      <w:r>
        <w:rPr>
          <w:rStyle w:val="FootnoteReference"/>
        </w:rPr>
        <w:footnoteReference w:id="22"/>
      </w:r>
    </w:p>
    <w:p w:rsidR="0095650B" w:rsidRDefault="0095650B" w:rsidP="00160C19">
      <w:pPr>
        <w:pStyle w:val="Heading2"/>
      </w:pPr>
      <w:bookmarkStart w:id="119" w:name="_Toc341210794"/>
      <w:bookmarkStart w:id="120" w:name="_Toc341210914"/>
      <w:bookmarkStart w:id="121" w:name="_Toc341265732"/>
      <w:bookmarkStart w:id="122" w:name="_Toc343257294"/>
      <w:bookmarkStart w:id="123" w:name="_Toc343257408"/>
      <w:bookmarkStart w:id="124" w:name="_Toc348711329"/>
      <w:r w:rsidRPr="002F2E17">
        <w:t>2.2.2 Education system management</w:t>
      </w:r>
      <w:bookmarkEnd w:id="119"/>
      <w:bookmarkEnd w:id="120"/>
      <w:bookmarkEnd w:id="121"/>
      <w:bookmarkEnd w:id="122"/>
      <w:bookmarkEnd w:id="123"/>
      <w:bookmarkEnd w:id="124"/>
    </w:p>
    <w:p w:rsidR="0095650B" w:rsidRDefault="0095650B" w:rsidP="0095650B">
      <w:pPr>
        <w:jc w:val="both"/>
      </w:pPr>
    </w:p>
    <w:p w:rsidR="0095650B" w:rsidRDefault="00D604C4" w:rsidP="0095650B">
      <w:pPr>
        <w:jc w:val="both"/>
      </w:pPr>
      <w:r w:rsidRPr="00EB09DF">
        <w:t>This Section reviews efficiency issues associated with the main inputs to the education system.  Section 3.1 addresses at a broader level the extent to which weaknesses in public financial management undermine the efficiency of education system management.</w:t>
      </w:r>
    </w:p>
    <w:p w:rsidR="0095650B" w:rsidRDefault="0095650B" w:rsidP="0095650B">
      <w:pPr>
        <w:jc w:val="both"/>
      </w:pPr>
    </w:p>
    <w:p w:rsidR="0095650B" w:rsidRDefault="0095650B" w:rsidP="0095650B">
      <w:pPr>
        <w:jc w:val="both"/>
        <w:rPr>
          <w:u w:val="single"/>
        </w:rPr>
      </w:pPr>
      <w:r>
        <w:rPr>
          <w:u w:val="single"/>
        </w:rPr>
        <w:t>Teachers</w:t>
      </w:r>
    </w:p>
    <w:p w:rsidR="0095650B" w:rsidRDefault="0095650B" w:rsidP="0095650B">
      <w:pPr>
        <w:jc w:val="both"/>
      </w:pPr>
    </w:p>
    <w:p w:rsidR="0095650B" w:rsidRDefault="0095650B" w:rsidP="0095650B">
      <w:pPr>
        <w:jc w:val="both"/>
      </w:pPr>
      <w:r>
        <w:t xml:space="preserve">The Thornton Study closely reviewed issues surrounding teacher numbers, salaries and efficiency.  The </w:t>
      </w:r>
      <w:proofErr w:type="spellStart"/>
      <w:r>
        <w:t>Bennell</w:t>
      </w:r>
      <w:proofErr w:type="spellEnd"/>
      <w:r>
        <w:t xml:space="preserve"> Study reviewed teacher supply and demand in greater detail.  Key teacher management issues are highlighted by the following conclusions of the Thornton Study.</w:t>
      </w:r>
      <w:r>
        <w:rPr>
          <w:rStyle w:val="FootnoteReference"/>
        </w:rPr>
        <w:footnoteReference w:id="23"/>
      </w:r>
      <w:r>
        <w:t xml:space="preserve"> </w:t>
      </w:r>
    </w:p>
    <w:p w:rsidR="0095650B" w:rsidRDefault="0095650B" w:rsidP="0095650B">
      <w:pPr>
        <w:jc w:val="both"/>
      </w:pPr>
    </w:p>
    <w:p w:rsidR="0095650B" w:rsidRDefault="0095650B" w:rsidP="00D34AA0">
      <w:pPr>
        <w:pStyle w:val="ListParagraph"/>
        <w:numPr>
          <w:ilvl w:val="0"/>
          <w:numId w:val="37"/>
        </w:numPr>
        <w:jc w:val="both"/>
      </w:pPr>
      <w:r>
        <w:t xml:space="preserve">Poor system efficiency represents a considerable cost to the </w:t>
      </w:r>
      <w:proofErr w:type="spellStart"/>
      <w:r>
        <w:t>MoE</w:t>
      </w:r>
      <w:proofErr w:type="spellEnd"/>
      <w:r w:rsidR="00895FB3">
        <w:t>.</w:t>
      </w:r>
    </w:p>
    <w:p w:rsidR="0095650B" w:rsidRDefault="0095650B" w:rsidP="00D34AA0">
      <w:pPr>
        <w:pStyle w:val="ListParagraph"/>
        <w:numPr>
          <w:ilvl w:val="0"/>
          <w:numId w:val="37"/>
        </w:numPr>
        <w:jc w:val="both"/>
      </w:pPr>
      <w:r>
        <w:t>There is no need for further employment of teachers at either primary or secondary level.</w:t>
      </w:r>
      <w:r>
        <w:rPr>
          <w:rStyle w:val="FootnoteReference"/>
        </w:rPr>
        <w:footnoteReference w:id="24"/>
      </w:r>
    </w:p>
    <w:p w:rsidR="0095650B" w:rsidRDefault="0095650B" w:rsidP="00D34AA0">
      <w:pPr>
        <w:pStyle w:val="ListParagraph"/>
        <w:numPr>
          <w:ilvl w:val="0"/>
          <w:numId w:val="37"/>
        </w:numPr>
        <w:jc w:val="both"/>
      </w:pPr>
      <w:r>
        <w:t>The system of transferring teachers at frequent intervals is financially costly and pedagogically unsound.</w:t>
      </w:r>
    </w:p>
    <w:p w:rsidR="0095650B" w:rsidRDefault="0095650B" w:rsidP="00D34AA0">
      <w:pPr>
        <w:pStyle w:val="ListParagraph"/>
        <w:numPr>
          <w:ilvl w:val="0"/>
          <w:numId w:val="37"/>
        </w:numPr>
        <w:jc w:val="both"/>
      </w:pPr>
      <w:r>
        <w:t>The Teaching Service Commission should be given the financial and human resources needed to carry out its tasks.</w:t>
      </w:r>
    </w:p>
    <w:p w:rsidR="0095650B" w:rsidRDefault="0095650B" w:rsidP="00D34AA0">
      <w:pPr>
        <w:pStyle w:val="ListParagraph"/>
        <w:numPr>
          <w:ilvl w:val="0"/>
          <w:numId w:val="37"/>
        </w:numPr>
        <w:jc w:val="both"/>
      </w:pPr>
      <w:r>
        <w:t>Minimum teaching requirements required by law should be enforced, offering upgrading opportunities to teachers who are trainable and reassignment of others as teaching aides.</w:t>
      </w:r>
    </w:p>
    <w:p w:rsidR="0095650B" w:rsidRDefault="0095650B" w:rsidP="00D34AA0">
      <w:pPr>
        <w:pStyle w:val="ListParagraph"/>
        <w:numPr>
          <w:ilvl w:val="0"/>
          <w:numId w:val="37"/>
        </w:numPr>
        <w:jc w:val="both"/>
      </w:pPr>
      <w:r>
        <w:t>The teacher salary structure should be reformed to provide effective incentives that will attract, retain and motivate highly qualified teachers.</w:t>
      </w:r>
    </w:p>
    <w:p w:rsidR="0095650B" w:rsidRDefault="0095650B" w:rsidP="00D34AA0">
      <w:pPr>
        <w:pStyle w:val="ListParagraph"/>
        <w:numPr>
          <w:ilvl w:val="0"/>
          <w:numId w:val="37"/>
        </w:numPr>
        <w:jc w:val="both"/>
      </w:pPr>
      <w:r>
        <w:t>The current system of teacher allowances is generous, favouring those with large families rather than those who are good teachers.</w:t>
      </w:r>
      <w:r>
        <w:rPr>
          <w:rStyle w:val="FootnoteReference"/>
        </w:rPr>
        <w:footnoteReference w:id="25"/>
      </w:r>
    </w:p>
    <w:p w:rsidR="0095650B" w:rsidRDefault="0095650B" w:rsidP="00D34AA0">
      <w:pPr>
        <w:pStyle w:val="ListParagraph"/>
        <w:numPr>
          <w:ilvl w:val="0"/>
          <w:numId w:val="37"/>
        </w:numPr>
        <w:jc w:val="both"/>
      </w:pPr>
      <w:r>
        <w:t xml:space="preserve">The current situation in which the </w:t>
      </w:r>
      <w:proofErr w:type="spellStart"/>
      <w:r>
        <w:t>GoV</w:t>
      </w:r>
      <w:proofErr w:type="spellEnd"/>
      <w:r>
        <w:t xml:space="preserve"> is paying for 20% of teachers who are not qualified and over 20% of teachers who are not certified should be stopped, these teachers to be temporarily reassigned and paid as untrained teachers if possible.</w:t>
      </w:r>
    </w:p>
    <w:p w:rsidR="0095650B" w:rsidRDefault="0095650B" w:rsidP="00D34AA0">
      <w:pPr>
        <w:pStyle w:val="ListParagraph"/>
        <w:numPr>
          <w:ilvl w:val="0"/>
          <w:numId w:val="37"/>
        </w:numPr>
        <w:jc w:val="both"/>
      </w:pPr>
      <w:r>
        <w:t>“Considerable” savings could be made if teachers taught the required 20 hours per week at secondary level.</w:t>
      </w:r>
    </w:p>
    <w:p w:rsidR="0095650B" w:rsidRDefault="0095650B" w:rsidP="0095650B">
      <w:pPr>
        <w:jc w:val="both"/>
      </w:pPr>
    </w:p>
    <w:p w:rsidR="0095650B" w:rsidRDefault="0095650B" w:rsidP="0095650B">
      <w:pPr>
        <w:jc w:val="both"/>
      </w:pPr>
      <w:r>
        <w:t xml:space="preserve">The present review adds </w:t>
      </w:r>
      <w:r w:rsidRPr="00FA0150">
        <w:t>three</w:t>
      </w:r>
      <w:r>
        <w:t xml:space="preserve"> further findings of significance from a public expenditure perspective.</w:t>
      </w:r>
    </w:p>
    <w:p w:rsidR="0095650B" w:rsidRDefault="0095650B" w:rsidP="0095650B">
      <w:pPr>
        <w:jc w:val="both"/>
      </w:pPr>
    </w:p>
    <w:p w:rsidR="0095650B" w:rsidRDefault="0095650B" w:rsidP="00D34AA0">
      <w:pPr>
        <w:pStyle w:val="ListParagraph"/>
        <w:numPr>
          <w:ilvl w:val="0"/>
          <w:numId w:val="36"/>
        </w:numPr>
        <w:jc w:val="both"/>
        <w:rPr>
          <w:i/>
        </w:rPr>
      </w:pPr>
      <w:r w:rsidRPr="00D16A83">
        <w:rPr>
          <w:i/>
        </w:rPr>
        <w:t xml:space="preserve">The </w:t>
      </w:r>
      <w:proofErr w:type="spellStart"/>
      <w:r w:rsidRPr="00D16A83">
        <w:rPr>
          <w:i/>
        </w:rPr>
        <w:t>GoV</w:t>
      </w:r>
      <w:proofErr w:type="spellEnd"/>
      <w:r w:rsidRPr="00D16A83">
        <w:rPr>
          <w:i/>
        </w:rPr>
        <w:t xml:space="preserve"> has under-provided for teacher salaries and allowances in its original annual budgets since 2009 at least.</w:t>
      </w:r>
    </w:p>
    <w:p w:rsidR="0095650B" w:rsidRDefault="0095650B" w:rsidP="0095650B">
      <w:pPr>
        <w:ind w:left="60"/>
        <w:jc w:val="both"/>
      </w:pPr>
    </w:p>
    <w:tbl>
      <w:tblPr>
        <w:tblStyle w:val="TableGrid"/>
        <w:tblW w:w="7655" w:type="dxa"/>
        <w:jc w:val="center"/>
        <w:tblLook w:val="04A0" w:firstRow="1" w:lastRow="0" w:firstColumn="1" w:lastColumn="0" w:noHBand="0" w:noVBand="1"/>
        <w:tblCaption w:val="Table 19: Original budgets and actual expenditure for primary and secondary teacher salaries (VT million)"/>
      </w:tblPr>
      <w:tblGrid>
        <w:gridCol w:w="1162"/>
        <w:gridCol w:w="1389"/>
        <w:gridCol w:w="1163"/>
        <w:gridCol w:w="1389"/>
        <w:gridCol w:w="1163"/>
        <w:gridCol w:w="1389"/>
      </w:tblGrid>
      <w:tr w:rsidR="0095650B" w:rsidTr="00D339A4">
        <w:trPr>
          <w:tblHeader/>
          <w:jc w:val="center"/>
        </w:trPr>
        <w:tc>
          <w:tcPr>
            <w:tcW w:w="7655" w:type="dxa"/>
            <w:gridSpan w:val="6"/>
            <w:shd w:val="clear" w:color="auto" w:fill="BFBFBF" w:themeFill="background1" w:themeFillShade="BF"/>
          </w:tcPr>
          <w:p w:rsidR="0095650B" w:rsidRDefault="0095650B" w:rsidP="00941EFE">
            <w:pPr>
              <w:jc w:val="both"/>
            </w:pPr>
            <w:r>
              <w:t xml:space="preserve">Table </w:t>
            </w:r>
            <w:r w:rsidR="00941EFE">
              <w:t>19</w:t>
            </w:r>
            <w:r>
              <w:t>: Original budgets and actual expenditure for primary and secondary teacher salaries (VT million)</w:t>
            </w:r>
          </w:p>
        </w:tc>
      </w:tr>
      <w:tr w:rsidR="0095650B" w:rsidTr="00C05FAA">
        <w:trPr>
          <w:jc w:val="center"/>
        </w:trPr>
        <w:tc>
          <w:tcPr>
            <w:tcW w:w="2551" w:type="dxa"/>
            <w:gridSpan w:val="2"/>
          </w:tcPr>
          <w:p w:rsidR="0095650B" w:rsidRDefault="0095650B" w:rsidP="00C05FAA">
            <w:pPr>
              <w:jc w:val="center"/>
            </w:pPr>
            <w:r>
              <w:t>2010</w:t>
            </w:r>
          </w:p>
        </w:tc>
        <w:tc>
          <w:tcPr>
            <w:tcW w:w="2552" w:type="dxa"/>
            <w:gridSpan w:val="2"/>
          </w:tcPr>
          <w:p w:rsidR="0095650B" w:rsidRDefault="0095650B" w:rsidP="00C05FAA">
            <w:pPr>
              <w:jc w:val="center"/>
            </w:pPr>
            <w:r>
              <w:t>2011</w:t>
            </w:r>
          </w:p>
        </w:tc>
        <w:tc>
          <w:tcPr>
            <w:tcW w:w="2552" w:type="dxa"/>
            <w:gridSpan w:val="2"/>
          </w:tcPr>
          <w:p w:rsidR="0095650B" w:rsidRDefault="0095650B" w:rsidP="00C05FAA">
            <w:pPr>
              <w:jc w:val="center"/>
            </w:pPr>
            <w:r>
              <w:t>2012</w:t>
            </w:r>
          </w:p>
        </w:tc>
      </w:tr>
      <w:tr w:rsidR="0095650B" w:rsidTr="00C05FAA">
        <w:trPr>
          <w:jc w:val="center"/>
        </w:trPr>
        <w:tc>
          <w:tcPr>
            <w:tcW w:w="1162" w:type="dxa"/>
          </w:tcPr>
          <w:p w:rsidR="0095650B" w:rsidRDefault="0095650B" w:rsidP="00C05FAA">
            <w:pPr>
              <w:jc w:val="both"/>
            </w:pPr>
            <w:r>
              <w:t>O Budget</w:t>
            </w:r>
          </w:p>
        </w:tc>
        <w:tc>
          <w:tcPr>
            <w:tcW w:w="1389" w:type="dxa"/>
          </w:tcPr>
          <w:p w:rsidR="0095650B" w:rsidRDefault="0095650B" w:rsidP="00C05FAA">
            <w:pPr>
              <w:jc w:val="both"/>
            </w:pPr>
            <w:r>
              <w:t>Expenditure</w:t>
            </w:r>
          </w:p>
        </w:tc>
        <w:tc>
          <w:tcPr>
            <w:tcW w:w="1163" w:type="dxa"/>
          </w:tcPr>
          <w:p w:rsidR="0095650B" w:rsidRDefault="0095650B" w:rsidP="00C05FAA">
            <w:pPr>
              <w:jc w:val="both"/>
            </w:pPr>
            <w:r>
              <w:t>O Budget</w:t>
            </w:r>
          </w:p>
        </w:tc>
        <w:tc>
          <w:tcPr>
            <w:tcW w:w="1389" w:type="dxa"/>
          </w:tcPr>
          <w:p w:rsidR="0095650B" w:rsidRDefault="0095650B" w:rsidP="00C05FAA">
            <w:pPr>
              <w:jc w:val="both"/>
            </w:pPr>
            <w:r>
              <w:t>Expenditure</w:t>
            </w:r>
          </w:p>
        </w:tc>
        <w:tc>
          <w:tcPr>
            <w:tcW w:w="1163" w:type="dxa"/>
          </w:tcPr>
          <w:p w:rsidR="0095650B" w:rsidRDefault="0095650B" w:rsidP="00C05FAA">
            <w:pPr>
              <w:jc w:val="both"/>
            </w:pPr>
            <w:r>
              <w:t>O Budget</w:t>
            </w:r>
          </w:p>
        </w:tc>
        <w:tc>
          <w:tcPr>
            <w:tcW w:w="1389" w:type="dxa"/>
          </w:tcPr>
          <w:p w:rsidR="0095650B" w:rsidRDefault="0095650B" w:rsidP="00C05FAA">
            <w:pPr>
              <w:jc w:val="both"/>
            </w:pPr>
            <w:r>
              <w:t>Expenditure</w:t>
            </w:r>
          </w:p>
        </w:tc>
      </w:tr>
      <w:tr w:rsidR="0095650B" w:rsidTr="00C05FAA">
        <w:trPr>
          <w:jc w:val="center"/>
        </w:trPr>
        <w:tc>
          <w:tcPr>
            <w:tcW w:w="1162" w:type="dxa"/>
          </w:tcPr>
          <w:p w:rsidR="0095650B" w:rsidRDefault="0095650B" w:rsidP="00C05FAA">
            <w:pPr>
              <w:jc w:val="center"/>
            </w:pPr>
            <w:r>
              <w:t>2,452.5</w:t>
            </w:r>
          </w:p>
        </w:tc>
        <w:tc>
          <w:tcPr>
            <w:tcW w:w="1389" w:type="dxa"/>
          </w:tcPr>
          <w:p w:rsidR="0095650B" w:rsidRDefault="0095650B" w:rsidP="00C05FAA">
            <w:pPr>
              <w:jc w:val="center"/>
            </w:pPr>
            <w:r>
              <w:t>2,609.9</w:t>
            </w:r>
          </w:p>
        </w:tc>
        <w:tc>
          <w:tcPr>
            <w:tcW w:w="1163" w:type="dxa"/>
          </w:tcPr>
          <w:p w:rsidR="0095650B" w:rsidRDefault="0095650B" w:rsidP="00C05FAA">
            <w:pPr>
              <w:jc w:val="center"/>
            </w:pPr>
            <w:r>
              <w:t>2,576.7</w:t>
            </w:r>
          </w:p>
        </w:tc>
        <w:tc>
          <w:tcPr>
            <w:tcW w:w="1389" w:type="dxa"/>
          </w:tcPr>
          <w:p w:rsidR="0095650B" w:rsidRDefault="0095650B" w:rsidP="00C05FAA">
            <w:pPr>
              <w:jc w:val="center"/>
            </w:pPr>
            <w:r>
              <w:t>2,599.2</w:t>
            </w:r>
          </w:p>
        </w:tc>
        <w:tc>
          <w:tcPr>
            <w:tcW w:w="1163" w:type="dxa"/>
          </w:tcPr>
          <w:p w:rsidR="0095650B" w:rsidRDefault="0095650B" w:rsidP="00C05FAA">
            <w:pPr>
              <w:jc w:val="center"/>
            </w:pPr>
            <w:r>
              <w:t>2,562.9</w:t>
            </w:r>
          </w:p>
        </w:tc>
        <w:tc>
          <w:tcPr>
            <w:tcW w:w="1389" w:type="dxa"/>
          </w:tcPr>
          <w:p w:rsidR="0095650B" w:rsidRDefault="0095650B" w:rsidP="00C05FAA">
            <w:pPr>
              <w:jc w:val="center"/>
            </w:pPr>
            <w:r>
              <w:t>See Note</w:t>
            </w:r>
          </w:p>
        </w:tc>
      </w:tr>
      <w:tr w:rsidR="0095650B" w:rsidTr="00C05FAA">
        <w:trPr>
          <w:jc w:val="center"/>
        </w:trPr>
        <w:tc>
          <w:tcPr>
            <w:tcW w:w="7655" w:type="dxa"/>
            <w:gridSpan w:val="6"/>
          </w:tcPr>
          <w:p w:rsidR="0095650B" w:rsidRDefault="0095650B" w:rsidP="00C05FAA">
            <w:r>
              <w:t xml:space="preserve">Note: 2012 final expenditure yet to be recorded.  However, the Vanuatu Daily Post reported (15 September 2012) that the </w:t>
            </w:r>
            <w:proofErr w:type="spellStart"/>
            <w:r>
              <w:t>MoE</w:t>
            </w:r>
            <w:proofErr w:type="spellEnd"/>
            <w:r>
              <w:t xml:space="preserve"> was seeking an additional VT82 million to fund outstanding teacher salaries and a further VT47 million in 2012 to fund outstanding transfer allowances for teachers.</w:t>
            </w:r>
          </w:p>
          <w:p w:rsidR="0095650B" w:rsidRDefault="0095650B" w:rsidP="00C05FAA">
            <w:r>
              <w:t>Source: MFEM reports.</w:t>
            </w:r>
          </w:p>
        </w:tc>
      </w:tr>
    </w:tbl>
    <w:p w:rsidR="0095650B" w:rsidRPr="000A6779" w:rsidRDefault="0095650B" w:rsidP="0095650B">
      <w:pPr>
        <w:ind w:left="60"/>
        <w:jc w:val="both"/>
        <w:rPr>
          <w:i/>
        </w:rPr>
      </w:pPr>
    </w:p>
    <w:p w:rsidR="0095650B" w:rsidRPr="000A6779" w:rsidRDefault="0095650B" w:rsidP="0095650B">
      <w:pPr>
        <w:ind w:left="720"/>
        <w:jc w:val="both"/>
      </w:pPr>
      <w:r w:rsidRPr="000A6779">
        <w:t>This reflects in large part non-budgeted recruitment of additional teachers</w:t>
      </w:r>
      <w:r>
        <w:t xml:space="preserve"> at the direction of Ministers for Education</w:t>
      </w:r>
      <w:r w:rsidRPr="000A6779">
        <w:t>.</w:t>
      </w:r>
    </w:p>
    <w:p w:rsidR="0095650B" w:rsidRPr="00D16A83" w:rsidRDefault="0095650B" w:rsidP="0095650B">
      <w:pPr>
        <w:ind w:left="60"/>
        <w:jc w:val="both"/>
      </w:pPr>
    </w:p>
    <w:p w:rsidR="0095650B" w:rsidRDefault="0095650B" w:rsidP="00D34AA0">
      <w:pPr>
        <w:pStyle w:val="ListParagraph"/>
        <w:numPr>
          <w:ilvl w:val="0"/>
          <w:numId w:val="36"/>
        </w:numPr>
        <w:jc w:val="both"/>
      </w:pPr>
      <w:proofErr w:type="spellStart"/>
      <w:r w:rsidRPr="006337D3">
        <w:rPr>
          <w:i/>
        </w:rPr>
        <w:t>GoV</w:t>
      </w:r>
      <w:proofErr w:type="spellEnd"/>
      <w:r w:rsidRPr="006337D3">
        <w:rPr>
          <w:i/>
        </w:rPr>
        <w:t xml:space="preserve">-funded </w:t>
      </w:r>
      <w:r>
        <w:rPr>
          <w:i/>
        </w:rPr>
        <w:t xml:space="preserve">primary </w:t>
      </w:r>
      <w:r w:rsidRPr="006337D3">
        <w:rPr>
          <w:i/>
        </w:rPr>
        <w:t xml:space="preserve">teacher salaries are </w:t>
      </w:r>
      <w:r>
        <w:rPr>
          <w:i/>
        </w:rPr>
        <w:t xml:space="preserve">somewhat higher than </w:t>
      </w:r>
      <w:r w:rsidRPr="006337D3">
        <w:rPr>
          <w:i/>
        </w:rPr>
        <w:t>developing country norms established for the costing of the Education MDG/EFA goals</w:t>
      </w:r>
      <w:r>
        <w:t>.  Costing models for achievement of Universal Primary Education in developing countries have typically adopted the benchmark of primary school teacher salaries set at 3.5 times GDP per capita.</w:t>
      </w:r>
      <w:r>
        <w:rPr>
          <w:rStyle w:val="FootnoteReference"/>
        </w:rPr>
        <w:footnoteReference w:id="26"/>
      </w:r>
      <w:r>
        <w:t xml:space="preserve">  Based on Vanuatu’s 2012 budget estimates for </w:t>
      </w:r>
      <w:proofErr w:type="spellStart"/>
      <w:r>
        <w:t>GoV</w:t>
      </w:r>
      <w:proofErr w:type="spellEnd"/>
      <w:r>
        <w:t xml:space="preserve">-funded teacher salaries and allowances and ADB estimates of Vanuatu’s GDP in 2011 Vanuatu’s ratio stands at some 3.74 times GDP per capita (the ratio for secondary teacher salaries is 39% higher).  While apparently small, this differential is equivalent to some VT101 million of 2012 budgeted expenditure on </w:t>
      </w:r>
      <w:proofErr w:type="spellStart"/>
      <w:r>
        <w:t>GoV</w:t>
      </w:r>
      <w:proofErr w:type="spellEnd"/>
      <w:r>
        <w:t>-funded primary teachers.</w:t>
      </w:r>
    </w:p>
    <w:p w:rsidR="0095650B" w:rsidRDefault="0095650B" w:rsidP="0095650B">
      <w:pPr>
        <w:ind w:left="60"/>
        <w:jc w:val="both"/>
      </w:pPr>
    </w:p>
    <w:p w:rsidR="00356D92" w:rsidRDefault="0038270A" w:rsidP="003E13EF">
      <w:pPr>
        <w:pStyle w:val="ListParagraph"/>
        <w:numPr>
          <w:ilvl w:val="0"/>
          <w:numId w:val="36"/>
        </w:numPr>
        <w:jc w:val="both"/>
      </w:pPr>
      <w:r w:rsidRPr="003E13EF">
        <w:rPr>
          <w:i/>
        </w:rPr>
        <w:t xml:space="preserve">Since 2007, following the GRT salary determination of 2006, </w:t>
      </w:r>
      <w:proofErr w:type="spellStart"/>
      <w:r w:rsidRPr="003E13EF">
        <w:rPr>
          <w:i/>
        </w:rPr>
        <w:t>MoE</w:t>
      </w:r>
      <w:proofErr w:type="spellEnd"/>
      <w:r w:rsidRPr="003E13EF">
        <w:rPr>
          <w:i/>
        </w:rPr>
        <w:t xml:space="preserve"> spending on teachers’ emoluments declined by some 6.3% in real terms as at 2011 as measured by the GDP Price Deflator.</w:t>
      </w:r>
      <w:r w:rsidR="0095650B">
        <w:t xml:space="preserve">  Since this trend is unlikely to continue indefinitely the possibility of a future upward adjustment in teacher salaries has major implications for future </w:t>
      </w:r>
      <w:proofErr w:type="spellStart"/>
      <w:r w:rsidR="0095650B">
        <w:t>GoV</w:t>
      </w:r>
      <w:proofErr w:type="spellEnd"/>
      <w:r w:rsidR="0095650B">
        <w:t xml:space="preserve"> funding requirements.  For example, had the 2011 budget for primary and secondary teacher emoluments been set at the same level in real terms as in 2007 this would have entailed</w:t>
      </w:r>
      <w:r w:rsidR="00895FB3">
        <w:t xml:space="preserve"> </w:t>
      </w:r>
      <w:r w:rsidR="0095650B">
        <w:t>an additional funding requirement in 2011 of some VT354 million.</w:t>
      </w:r>
    </w:p>
    <w:p w:rsidR="00743573" w:rsidRPr="003E13EF" w:rsidRDefault="00743573">
      <w:pPr>
        <w:jc w:val="both"/>
        <w:rPr>
          <w:i/>
        </w:rPr>
      </w:pPr>
    </w:p>
    <w:p w:rsidR="0095650B" w:rsidRPr="00895FB3" w:rsidRDefault="009E3AAF" w:rsidP="0095650B">
      <w:pPr>
        <w:jc w:val="both"/>
      </w:pPr>
      <w:r>
        <w:rPr>
          <w:u w:val="single"/>
        </w:rPr>
        <w:t>Teacher training</w:t>
      </w:r>
    </w:p>
    <w:p w:rsidR="0095650B" w:rsidRPr="00895FB3" w:rsidRDefault="0095650B" w:rsidP="0095650B">
      <w:pPr>
        <w:jc w:val="both"/>
      </w:pPr>
    </w:p>
    <w:p w:rsidR="00A35918" w:rsidRDefault="009E3AAF" w:rsidP="0095650B">
      <w:pPr>
        <w:jc w:val="both"/>
      </w:pPr>
      <w:proofErr w:type="spellStart"/>
      <w:r>
        <w:t>GoV</w:t>
      </w:r>
      <w:proofErr w:type="spellEnd"/>
      <w:r>
        <w:t xml:space="preserve"> funding of the VITE was budgeted at some VT80 million for 2012 of which approximately 75% was budgeted for payment of VITE staff emoluments.  Teacher trainees pay significant fees</w:t>
      </w:r>
      <w:r w:rsidR="00AD6474">
        <w:t xml:space="preserve"> and </w:t>
      </w:r>
      <w:r w:rsidR="00A35918">
        <w:t>VITE and/or its students have also received substantial funding from development partners (notably Australia)</w:t>
      </w:r>
      <w:r w:rsidR="00AD6474">
        <w:t>.  VITE’s total income and expenditure for 2011 were budgeted at VT164 million.</w:t>
      </w:r>
    </w:p>
    <w:p w:rsidR="00AD6474" w:rsidRDefault="00AD6474" w:rsidP="0095650B">
      <w:pPr>
        <w:jc w:val="both"/>
      </w:pPr>
    </w:p>
    <w:p w:rsidR="00AD6474" w:rsidRDefault="00A35918" w:rsidP="0095650B">
      <w:pPr>
        <w:jc w:val="both"/>
      </w:pPr>
      <w:r w:rsidRPr="00A35918">
        <w:lastRenderedPageBreak/>
        <w:t>Issues associated with the pre-service and in-service teacher training delivered through the VITE</w:t>
      </w:r>
      <w:r>
        <w:t xml:space="preserve"> have been reviewed by the Thornton and </w:t>
      </w:r>
      <w:proofErr w:type="spellStart"/>
      <w:r>
        <w:t>Bennell</w:t>
      </w:r>
      <w:proofErr w:type="spellEnd"/>
      <w:r>
        <w:t xml:space="preserve"> studies in particular.  Those identified of most direct relevance </w:t>
      </w:r>
      <w:r w:rsidR="00AD6474">
        <w:t>to the efficiency of public spending were:</w:t>
      </w:r>
    </w:p>
    <w:p w:rsidR="00AD6474" w:rsidRDefault="00AD6474" w:rsidP="0095650B">
      <w:pPr>
        <w:jc w:val="both"/>
      </w:pPr>
    </w:p>
    <w:p w:rsidR="00AD6474" w:rsidRDefault="00AD6474" w:rsidP="00CE4350">
      <w:pPr>
        <w:pStyle w:val="ListParagraph"/>
        <w:numPr>
          <w:ilvl w:val="0"/>
          <w:numId w:val="89"/>
        </w:numPr>
        <w:jc w:val="both"/>
      </w:pPr>
      <w:r>
        <w:t>Low teaching loads for VITE staff.</w:t>
      </w:r>
      <w:r w:rsidR="000D6D57">
        <w:rPr>
          <w:rStyle w:val="FootnoteReference"/>
        </w:rPr>
        <w:footnoteReference w:id="27"/>
      </w:r>
    </w:p>
    <w:p w:rsidR="00AD6474" w:rsidRDefault="00AD6474" w:rsidP="00CE4350">
      <w:pPr>
        <w:pStyle w:val="ListParagraph"/>
        <w:numPr>
          <w:ilvl w:val="0"/>
          <w:numId w:val="89"/>
        </w:numPr>
        <w:jc w:val="both"/>
      </w:pPr>
      <w:r>
        <w:t>High drop-out rates amongst the initial intakes for the new 3-year training courses introduced in 2010.</w:t>
      </w:r>
    </w:p>
    <w:p w:rsidR="000D6D57" w:rsidRDefault="00AD6474" w:rsidP="00CE4350">
      <w:pPr>
        <w:pStyle w:val="ListParagraph"/>
        <w:numPr>
          <w:ilvl w:val="0"/>
          <w:numId w:val="89"/>
        </w:numPr>
        <w:jc w:val="both"/>
      </w:pPr>
      <w:r>
        <w:t>Consequently, high unit costs of pre-service teacher training.</w:t>
      </w:r>
      <w:r>
        <w:rPr>
          <w:rStyle w:val="FootnoteReference"/>
        </w:rPr>
        <w:footnoteReference w:id="28"/>
      </w:r>
    </w:p>
    <w:p w:rsidR="00AF6C5D" w:rsidRDefault="00A35918" w:rsidP="00AF6C5D">
      <w:pPr>
        <w:jc w:val="both"/>
      </w:pPr>
      <w:r>
        <w:t xml:space="preserve"> </w:t>
      </w:r>
    </w:p>
    <w:p w:rsidR="006E3F8F" w:rsidRDefault="00AF6C5D" w:rsidP="00AF6C5D">
      <w:pPr>
        <w:jc w:val="both"/>
      </w:pPr>
      <w:r>
        <w:t xml:space="preserve">Further issues were highlighted by a 2011 </w:t>
      </w:r>
      <w:proofErr w:type="spellStart"/>
      <w:r>
        <w:t>MoE</w:t>
      </w:r>
      <w:proofErr w:type="spellEnd"/>
      <w:r>
        <w:t xml:space="preserve"> internal audit of VITE including numerous instances of </w:t>
      </w:r>
      <w:r w:rsidR="006E3F8F">
        <w:t xml:space="preserve">break-downs in financial management controls.  The internal audit </w:t>
      </w:r>
      <w:r w:rsidR="0048786A">
        <w:t xml:space="preserve">identified </w:t>
      </w:r>
      <w:r w:rsidR="006E3F8F">
        <w:t>three issues of overriding concern:</w:t>
      </w:r>
    </w:p>
    <w:p w:rsidR="006E3F8F" w:rsidRDefault="006E3F8F" w:rsidP="00AF6C5D">
      <w:pPr>
        <w:jc w:val="both"/>
      </w:pPr>
    </w:p>
    <w:p w:rsidR="0048786A" w:rsidRDefault="0048786A" w:rsidP="00CE4350">
      <w:pPr>
        <w:pStyle w:val="ListParagraph"/>
        <w:numPr>
          <w:ilvl w:val="0"/>
          <w:numId w:val="90"/>
        </w:numPr>
        <w:jc w:val="both"/>
      </w:pPr>
      <w:r>
        <w:t>Due to control weaknesses and poor practices VITE is unable to produce accounting reports which management, the VITE Council and internal audit could rely upon.</w:t>
      </w:r>
    </w:p>
    <w:p w:rsidR="006E3F8F" w:rsidRDefault="0048786A" w:rsidP="00CE4350">
      <w:pPr>
        <w:pStyle w:val="ListParagraph"/>
        <w:numPr>
          <w:ilvl w:val="0"/>
          <w:numId w:val="90"/>
        </w:numPr>
        <w:jc w:val="both"/>
      </w:pPr>
      <w:r>
        <w:t>Due to poor procedures in purchases and income an amount of some VT6.4 million could not be verified.</w:t>
      </w:r>
      <w:r>
        <w:rPr>
          <w:rStyle w:val="FootnoteReference"/>
        </w:rPr>
        <w:footnoteReference w:id="29"/>
      </w:r>
    </w:p>
    <w:p w:rsidR="0048786A" w:rsidRDefault="00E12977" w:rsidP="00CE4350">
      <w:pPr>
        <w:pStyle w:val="ListParagraph"/>
        <w:numPr>
          <w:ilvl w:val="0"/>
          <w:numId w:val="90"/>
        </w:numPr>
        <w:jc w:val="both"/>
      </w:pPr>
      <w:r>
        <w:t>“</w:t>
      </w:r>
      <w:r w:rsidR="0048786A">
        <w:t>Even once all three years of students are operating it is apparent that VITE has far too many full time teachers.  This needs to be remedied immediately to free up resources for other priority education initiatives.</w:t>
      </w:r>
      <w:r>
        <w:t>”</w:t>
      </w:r>
    </w:p>
    <w:p w:rsidR="006E3F8F" w:rsidRDefault="006E3F8F" w:rsidP="00AF6C5D">
      <w:pPr>
        <w:jc w:val="both"/>
      </w:pPr>
    </w:p>
    <w:p w:rsidR="00A35918" w:rsidRDefault="006E3F8F" w:rsidP="0095650B">
      <w:pPr>
        <w:jc w:val="both"/>
      </w:pPr>
      <w:r>
        <w:t>While not a formal recommendation of the present review, consideration might usefully be given to the option of outsourcing VITE’s financial accounting and reporting requirements to a competent private sector agency.</w:t>
      </w:r>
    </w:p>
    <w:p w:rsidR="00A35918" w:rsidRDefault="00A35918" w:rsidP="0095650B">
      <w:pPr>
        <w:jc w:val="both"/>
      </w:pPr>
    </w:p>
    <w:p w:rsidR="0095650B" w:rsidRDefault="0095650B" w:rsidP="0095650B">
      <w:pPr>
        <w:jc w:val="both"/>
      </w:pPr>
      <w:r>
        <w:rPr>
          <w:u w:val="single"/>
        </w:rPr>
        <w:t>School grants</w:t>
      </w:r>
    </w:p>
    <w:p w:rsidR="0095650B" w:rsidRDefault="0095650B" w:rsidP="0095650B">
      <w:pPr>
        <w:jc w:val="both"/>
      </w:pPr>
    </w:p>
    <w:p w:rsidR="0095650B" w:rsidRDefault="0095650B" w:rsidP="0095650B">
      <w:pPr>
        <w:jc w:val="both"/>
      </w:pPr>
      <w:r>
        <w:t xml:space="preserve">Administration of school grants payable to </w:t>
      </w:r>
      <w:proofErr w:type="spellStart"/>
      <w:r>
        <w:t>GoV</w:t>
      </w:r>
      <w:proofErr w:type="spellEnd"/>
      <w:r>
        <w:t xml:space="preserve">/GA primary and secondary </w:t>
      </w:r>
      <w:proofErr w:type="gramStart"/>
      <w:r>
        <w:t>schools has</w:t>
      </w:r>
      <w:proofErr w:type="gramEnd"/>
      <w:r>
        <w:t xml:space="preserve"> been significantly improved since 2009 following the rationalisation of school bank accounts and the direct payment of school grants to the rationalised accounts commencing 2010.  Some problems remain, however the joint </w:t>
      </w:r>
      <w:proofErr w:type="spellStart"/>
      <w:r>
        <w:t>MoE</w:t>
      </w:r>
      <w:proofErr w:type="spellEnd"/>
      <w:r>
        <w:t>-MFEM survey on use of the primary school grants in 2010 reported that:</w:t>
      </w:r>
    </w:p>
    <w:p w:rsidR="0095650B" w:rsidRDefault="0095650B" w:rsidP="0095650B">
      <w:pPr>
        <w:jc w:val="both"/>
      </w:pPr>
    </w:p>
    <w:p w:rsidR="0095650B" w:rsidRDefault="0095650B" w:rsidP="0095650B">
      <w:pPr>
        <w:ind w:left="720"/>
      </w:pPr>
      <w:r>
        <w:t>“</w:t>
      </w:r>
      <w:r>
        <w:rPr>
          <w:rFonts w:eastAsia="Calibri" w:cs="Times New Roman"/>
        </w:rPr>
        <w:t>100% of schools reported that they had received their grant in 2010</w:t>
      </w:r>
      <w:r>
        <w:t xml:space="preserve">.  </w:t>
      </w:r>
      <w:r>
        <w:rPr>
          <w:rFonts w:eastAsia="Calibri" w:cs="Times New Roman"/>
        </w:rPr>
        <w:t xml:space="preserve">Almost all of the schools, 92%, said they understood the basis on which the amount of the grant was calculated and almost the same number, 89%, were satisfied with the amount although the question does not make it clear whether the satisfaction is that the amount was correctly calculated or that the amount was adequate. In fact, in Section 8, most schools seemed happy with the </w:t>
      </w:r>
      <w:r>
        <w:t xml:space="preserve">[School Grant Program] </w:t>
      </w:r>
      <w:r>
        <w:rPr>
          <w:rFonts w:eastAsia="Calibri" w:cs="Times New Roman"/>
        </w:rPr>
        <w:t>and only a small number complained that the grant was too small.</w:t>
      </w:r>
      <w:r>
        <w:t>”</w:t>
      </w:r>
      <w:r>
        <w:rPr>
          <w:rStyle w:val="FootnoteReference"/>
        </w:rPr>
        <w:footnoteReference w:id="30"/>
      </w:r>
    </w:p>
    <w:p w:rsidR="0095650B" w:rsidRDefault="0095650B" w:rsidP="0095650B">
      <w:pPr>
        <w:ind w:left="720"/>
      </w:pPr>
    </w:p>
    <w:p w:rsidR="0095650B" w:rsidRDefault="0095650B" w:rsidP="0095650B">
      <w:pPr>
        <w:jc w:val="both"/>
      </w:pPr>
      <w:r>
        <w:t>From a broader public expenditure perspective the more important question is whether the school grants in their current forms are an efficient means of achieving their objectives.  This question and related grants issues have been explored in some depth in previous papers prepared by the review Team Leader.</w:t>
      </w:r>
      <w:r>
        <w:rPr>
          <w:rStyle w:val="FootnoteReference"/>
        </w:rPr>
        <w:footnoteReference w:id="31"/>
      </w:r>
      <w:r>
        <w:t xml:space="preserve">  Key points are:</w:t>
      </w:r>
    </w:p>
    <w:p w:rsidR="000D6D57" w:rsidRDefault="000D6D57" w:rsidP="0095650B">
      <w:pPr>
        <w:jc w:val="both"/>
      </w:pPr>
    </w:p>
    <w:p w:rsidR="0095650B" w:rsidRDefault="0095650B" w:rsidP="00D34AA0">
      <w:pPr>
        <w:pStyle w:val="ListParagraph"/>
        <w:numPr>
          <w:ilvl w:val="0"/>
          <w:numId w:val="38"/>
        </w:numPr>
        <w:jc w:val="both"/>
      </w:pPr>
      <w:r>
        <w:t xml:space="preserve">The fee relief for parents provided by the increase in primary school grants since 2009 has been an expensive means of increasing gross enrolments in </w:t>
      </w:r>
      <w:proofErr w:type="spellStart"/>
      <w:r>
        <w:t>GoV</w:t>
      </w:r>
      <w:proofErr w:type="spellEnd"/>
      <w:r>
        <w:t xml:space="preserve">/GA schools.  Gross enrolments increased from 36,852 in 2009 to 40,288 in 2011.  Average </w:t>
      </w:r>
      <w:proofErr w:type="spellStart"/>
      <w:r>
        <w:t>GoV</w:t>
      </w:r>
      <w:proofErr w:type="spellEnd"/>
      <w:r>
        <w:t xml:space="preserve"> and Pool Partner funding of the primary grants in 2010 and 2011 was some VT309 million a year over the two years.  </w:t>
      </w:r>
      <w:r>
        <w:rPr>
          <w:rFonts w:eastAsia="Calibri" w:cs="Times New Roman"/>
        </w:rPr>
        <w:t xml:space="preserve">Even if the entire increase </w:t>
      </w:r>
      <w:r>
        <w:t xml:space="preserve">in enrolments </w:t>
      </w:r>
      <w:r>
        <w:rPr>
          <w:rFonts w:eastAsia="Calibri" w:cs="Times New Roman"/>
        </w:rPr>
        <w:t xml:space="preserve">were attributable to the increased grants (unlikely), this represented a cost to the </w:t>
      </w:r>
      <w:proofErr w:type="spellStart"/>
      <w:r>
        <w:rPr>
          <w:rFonts w:eastAsia="Calibri" w:cs="Times New Roman"/>
        </w:rPr>
        <w:t>GoV</w:t>
      </w:r>
      <w:proofErr w:type="spellEnd"/>
      <w:r>
        <w:rPr>
          <w:rFonts w:eastAsia="Calibri" w:cs="Times New Roman"/>
        </w:rPr>
        <w:t>, Australia and New Zealand of some VT90,000 per additional enrolled student</w:t>
      </w:r>
      <w:r>
        <w:t xml:space="preserve">.  This is in addition to the costs of teaching the additional enrolees, estimated by </w:t>
      </w:r>
      <w:proofErr w:type="spellStart"/>
      <w:r>
        <w:t>MoE</w:t>
      </w:r>
      <w:proofErr w:type="spellEnd"/>
      <w:r>
        <w:t xml:space="preserve"> to be some VT50</w:t>
      </w:r>
      <w:proofErr w:type="gramStart"/>
      <w:r>
        <w:t>,700</w:t>
      </w:r>
      <w:proofErr w:type="gramEnd"/>
      <w:r>
        <w:t xml:space="preserve"> per primary student in 2011.  The impact of the increased grants on </w:t>
      </w:r>
      <w:r w:rsidRPr="00C27105">
        <w:rPr>
          <w:i/>
        </w:rPr>
        <w:t>net</w:t>
      </w:r>
      <w:r>
        <w:t xml:space="preserve"> enrolment rates and net intake rates appears to have been minimal to date (see Section 2.2.1). </w:t>
      </w:r>
    </w:p>
    <w:p w:rsidR="0095650B" w:rsidRDefault="0095650B" w:rsidP="00D34AA0">
      <w:pPr>
        <w:pStyle w:val="ListParagraph"/>
        <w:numPr>
          <w:ilvl w:val="0"/>
          <w:numId w:val="38"/>
        </w:numPr>
        <w:jc w:val="both"/>
      </w:pPr>
      <w:r>
        <w:t xml:space="preserve">Insofar as the increased primary school grants have simply displaced (on a non means-tested basis) more than VT300 </w:t>
      </w:r>
      <w:proofErr w:type="spellStart"/>
      <w:r>
        <w:t>million</w:t>
      </w:r>
      <w:proofErr w:type="spellEnd"/>
      <w:r>
        <w:t xml:space="preserve"> of primary school funding previously contributed by parents they have not increased the total funding available to individual schools, merely redistributed the source of that funding, hence have - for these schools - done nothing to resource improvements in the quality of education.  Primary schools that were previously levying fees and other parental contributions of less than VT8,900 per student, particularly those in rural areas, have experienced a net addition to their financial resources.  However, the analysis of Section 2.1.1 suggests that, on average, primary schools in both urban and rural areas are continuing to charge fees and/or levy other forms of parental contribution.</w:t>
      </w:r>
    </w:p>
    <w:p w:rsidR="0095650B" w:rsidRDefault="0095650B" w:rsidP="00D34AA0">
      <w:pPr>
        <w:pStyle w:val="ListParagraph"/>
        <w:numPr>
          <w:ilvl w:val="0"/>
          <w:numId w:val="38"/>
        </w:numPr>
        <w:jc w:val="both"/>
      </w:pPr>
      <w:r>
        <w:t xml:space="preserve">Given the </w:t>
      </w:r>
      <w:proofErr w:type="spellStart"/>
      <w:r>
        <w:t>GoV</w:t>
      </w:r>
      <w:proofErr w:type="spellEnd"/>
      <w:r>
        <w:t xml:space="preserve"> commitment to increase its funding of the primary school grants by 25% each year the total cost to the </w:t>
      </w:r>
      <w:proofErr w:type="spellStart"/>
      <w:r>
        <w:t>GoV</w:t>
      </w:r>
      <w:proofErr w:type="spellEnd"/>
      <w:r>
        <w:t xml:space="preserve"> will, under plausible assumptions, at least double the share of these grants in </w:t>
      </w:r>
      <w:proofErr w:type="spellStart"/>
      <w:r>
        <w:t>MoE’s</w:t>
      </w:r>
      <w:proofErr w:type="spellEnd"/>
      <w:r>
        <w:t xml:space="preserve"> non-salary operating budget by 2017.  How this is to be funded without detriment to other components of </w:t>
      </w:r>
      <w:proofErr w:type="spellStart"/>
      <w:r>
        <w:t>MoE’s</w:t>
      </w:r>
      <w:proofErr w:type="spellEnd"/>
      <w:r>
        <w:t xml:space="preserve"> non-salary operating budget does not appear to have been addressed (see also Section 2.5). </w:t>
      </w:r>
    </w:p>
    <w:p w:rsidR="0095650B" w:rsidRDefault="0095650B" w:rsidP="0095650B">
      <w:pPr>
        <w:jc w:val="both"/>
      </w:pPr>
    </w:p>
    <w:p w:rsidR="0095650B" w:rsidRDefault="0095650B" w:rsidP="0095650B">
      <w:pPr>
        <w:jc w:val="both"/>
      </w:pPr>
      <w:r>
        <w:t xml:space="preserve">The review’s suggestions for </w:t>
      </w:r>
      <w:r w:rsidR="00895FB3">
        <w:t xml:space="preserve">targeting </w:t>
      </w:r>
      <w:r>
        <w:t xml:space="preserve">school grants </w:t>
      </w:r>
      <w:r w:rsidR="00895FB3">
        <w:t xml:space="preserve">more effectively </w:t>
      </w:r>
      <w:r>
        <w:t xml:space="preserve">are contained in Section 3 (Findings and Recommendations). </w:t>
      </w:r>
    </w:p>
    <w:p w:rsidR="0095650B" w:rsidRDefault="0095650B" w:rsidP="0095650B">
      <w:pPr>
        <w:jc w:val="both"/>
        <w:rPr>
          <w:u w:val="single"/>
        </w:rPr>
      </w:pPr>
    </w:p>
    <w:p w:rsidR="0095650B" w:rsidRDefault="0095650B" w:rsidP="0095650B">
      <w:pPr>
        <w:jc w:val="both"/>
        <w:rPr>
          <w:u w:val="single"/>
        </w:rPr>
      </w:pPr>
      <w:r>
        <w:rPr>
          <w:u w:val="single"/>
        </w:rPr>
        <w:t>Procurement and distribution of school supplies</w:t>
      </w:r>
    </w:p>
    <w:p w:rsidR="0095650B" w:rsidRDefault="0095650B" w:rsidP="0095650B">
      <w:pPr>
        <w:jc w:val="both"/>
      </w:pPr>
    </w:p>
    <w:p w:rsidR="000B47EB" w:rsidRDefault="000B47EB" w:rsidP="0095650B">
      <w:pPr>
        <w:jc w:val="both"/>
      </w:pPr>
      <w:r>
        <w:t xml:space="preserve">School stationary and textbooks are funded from a variety of sources, notably the </w:t>
      </w:r>
      <w:proofErr w:type="spellStart"/>
      <w:r>
        <w:t>GoV</w:t>
      </w:r>
      <w:proofErr w:type="spellEnd"/>
      <w:r>
        <w:t xml:space="preserve"> via </w:t>
      </w:r>
      <w:proofErr w:type="spellStart"/>
      <w:r>
        <w:t>MoE</w:t>
      </w:r>
      <w:proofErr w:type="spellEnd"/>
      <w:r>
        <w:t>, development partners and individual schools from their school grants.</w:t>
      </w:r>
    </w:p>
    <w:p w:rsidR="000B47EB" w:rsidRDefault="000B47EB" w:rsidP="0095650B">
      <w:pPr>
        <w:jc w:val="both"/>
      </w:pPr>
    </w:p>
    <w:p w:rsidR="0095650B" w:rsidRDefault="000B47EB" w:rsidP="0095650B">
      <w:pPr>
        <w:jc w:val="both"/>
      </w:pPr>
      <w:r>
        <w:t xml:space="preserve">With technical assistance the </w:t>
      </w:r>
      <w:proofErr w:type="spellStart"/>
      <w:r>
        <w:t>MoE</w:t>
      </w:r>
      <w:proofErr w:type="spellEnd"/>
      <w:r>
        <w:t xml:space="preserve"> has been moving towards a demand-driven model for the purchase and distribution of stationary supplies based on order forms completed by i</w:t>
      </w:r>
      <w:r w:rsidR="001E3FD3">
        <w:t>n</w:t>
      </w:r>
      <w:r>
        <w:t>di</w:t>
      </w:r>
      <w:r w:rsidR="001E3FD3">
        <w:t>v</w:t>
      </w:r>
      <w:r>
        <w:t>idual schools, followed by public tendering</w:t>
      </w:r>
      <w:r w:rsidR="001E3FD3">
        <w:t xml:space="preserve"> of supplies ordered to procure and distribute them. Schools retain the option of purchasing these supplies locally if they deem this more cost effective.</w:t>
      </w:r>
    </w:p>
    <w:p w:rsidR="001E3FD3" w:rsidRDefault="001E3FD3" w:rsidP="0095650B">
      <w:pPr>
        <w:jc w:val="both"/>
      </w:pPr>
    </w:p>
    <w:p w:rsidR="001E3FD3" w:rsidRDefault="001E3FD3" w:rsidP="0095650B">
      <w:pPr>
        <w:jc w:val="both"/>
      </w:pPr>
      <w:r>
        <w:t xml:space="preserve">This approach is a significant improvement on earlier central purchasing and distribution unrelated to needs as perceived by individual schools.  Moreover the application of public tendering procedures has considerable potential to provide better value for money.  However, the </w:t>
      </w:r>
      <w:r>
        <w:lastRenderedPageBreak/>
        <w:t xml:space="preserve">approach experienced a significant set-back in 2012 when the Minister for Education declined (for whatever reason) to sign a contract authorised by the Contracts and Tenders Board following a competitive tender process.  This has undermined the credibility of </w:t>
      </w:r>
      <w:proofErr w:type="spellStart"/>
      <w:r>
        <w:t>MoE</w:t>
      </w:r>
      <w:proofErr w:type="spellEnd"/>
      <w:r>
        <w:t xml:space="preserve"> efforts to introduce a demand-driven approach to meeting the needs of schools cost effectively.</w:t>
      </w:r>
    </w:p>
    <w:p w:rsidR="001E3FD3" w:rsidRDefault="001E3FD3" w:rsidP="0095650B">
      <w:pPr>
        <w:jc w:val="both"/>
      </w:pPr>
    </w:p>
    <w:p w:rsidR="006301C5" w:rsidRDefault="004A4490" w:rsidP="006301C5">
      <w:pPr>
        <w:jc w:val="both"/>
      </w:pPr>
      <w:r>
        <w:rPr>
          <w:lang w:val="en-US"/>
        </w:rPr>
        <w:t xml:space="preserve">As regards the supply of school text books it is </w:t>
      </w:r>
      <w:r w:rsidR="006301C5">
        <w:rPr>
          <w:lang w:val="en-US"/>
        </w:rPr>
        <w:t xml:space="preserve">understood that when the new curriculum for Years 1-3 is </w:t>
      </w:r>
      <w:proofErr w:type="spellStart"/>
      <w:r w:rsidR="006301C5">
        <w:rPr>
          <w:lang w:val="en-US"/>
        </w:rPr>
        <w:t>finalised</w:t>
      </w:r>
      <w:proofErr w:type="spellEnd"/>
      <w:r w:rsidR="006301C5">
        <w:rPr>
          <w:lang w:val="en-US"/>
        </w:rPr>
        <w:t xml:space="preserve"> </w:t>
      </w:r>
      <w:proofErr w:type="spellStart"/>
      <w:r w:rsidR="006301C5">
        <w:rPr>
          <w:lang w:val="en-US"/>
        </w:rPr>
        <w:t>MoE</w:t>
      </w:r>
      <w:proofErr w:type="spellEnd"/>
      <w:r w:rsidR="006301C5">
        <w:rPr>
          <w:lang w:val="en-US"/>
        </w:rPr>
        <w:t xml:space="preserve"> </w:t>
      </w:r>
      <w:r w:rsidR="000B47EB">
        <w:rPr>
          <w:lang w:val="en-US"/>
        </w:rPr>
        <w:t>w</w:t>
      </w:r>
      <w:r w:rsidR="006301C5">
        <w:rPr>
          <w:lang w:val="en-US"/>
        </w:rPr>
        <w:t>ill undertake responsibility for tendering the printing and distribution to all schools of texts associated with the new curriculum, and that provision for this has been or will be made within</w:t>
      </w:r>
      <w:r w:rsidR="000B47EB">
        <w:rPr>
          <w:lang w:val="en-US"/>
        </w:rPr>
        <w:t xml:space="preserve"> development partner funding.</w:t>
      </w:r>
      <w:r w:rsidR="006301C5">
        <w:rPr>
          <w:lang w:val="en-US"/>
        </w:rPr>
        <w:t xml:space="preserve"> </w:t>
      </w:r>
      <w:r w:rsidR="000B47EB">
        <w:rPr>
          <w:lang w:val="en-US"/>
        </w:rPr>
        <w:t xml:space="preserve">  T</w:t>
      </w:r>
      <w:r w:rsidR="006301C5">
        <w:rPr>
          <w:lang w:val="en-US"/>
        </w:rPr>
        <w:t xml:space="preserve">endering for supply of the new texts </w:t>
      </w:r>
      <w:r w:rsidR="000B47EB">
        <w:rPr>
          <w:lang w:val="en-US"/>
        </w:rPr>
        <w:t xml:space="preserve">is expected to </w:t>
      </w:r>
      <w:r w:rsidR="006301C5">
        <w:rPr>
          <w:lang w:val="en-US"/>
        </w:rPr>
        <w:t xml:space="preserve">encompass both production </w:t>
      </w:r>
      <w:r w:rsidR="006301C5" w:rsidRPr="000B47EB">
        <w:rPr>
          <w:lang w:val="en-US"/>
        </w:rPr>
        <w:t>and</w:t>
      </w:r>
      <w:r w:rsidR="006301C5">
        <w:rPr>
          <w:lang w:val="en-US"/>
        </w:rPr>
        <w:t xml:space="preserve"> distribution.  </w:t>
      </w:r>
      <w:r w:rsidR="000B47EB">
        <w:rPr>
          <w:lang w:val="en-US"/>
        </w:rPr>
        <w:t>T</w:t>
      </w:r>
      <w:r w:rsidR="006301C5">
        <w:rPr>
          <w:lang w:val="en-US"/>
        </w:rPr>
        <w:t>here is no proposal at present that schools be required to pay for these new texts from their school grants on the basis that all schools need to be supplied a full set of texts for the new curriculum.</w:t>
      </w:r>
      <w:r w:rsidR="000B47EB">
        <w:rPr>
          <w:lang w:val="en-US"/>
        </w:rPr>
        <w:t xml:space="preserve">  The most significant expenditure issue associated with the supply of textbooks to support the new curriculum is the current absence of reliable estimates of the scope and quantity of text books and related teaching aids required.</w:t>
      </w:r>
    </w:p>
    <w:p w:rsidR="006301C5" w:rsidRDefault="006301C5" w:rsidP="0095650B">
      <w:pPr>
        <w:jc w:val="both"/>
      </w:pPr>
    </w:p>
    <w:p w:rsidR="0095650B" w:rsidRDefault="0095650B" w:rsidP="0095650B">
      <w:pPr>
        <w:jc w:val="both"/>
      </w:pPr>
      <w:r>
        <w:rPr>
          <w:u w:val="single"/>
        </w:rPr>
        <w:t>S</w:t>
      </w:r>
      <w:r w:rsidRPr="00B603A2">
        <w:rPr>
          <w:u w:val="single"/>
        </w:rPr>
        <w:t>chool construction and maintena</w:t>
      </w:r>
      <w:r>
        <w:rPr>
          <w:u w:val="single"/>
        </w:rPr>
        <w:t>n</w:t>
      </w:r>
      <w:r w:rsidRPr="00B603A2">
        <w:rPr>
          <w:u w:val="single"/>
        </w:rPr>
        <w:t>ce</w:t>
      </w:r>
    </w:p>
    <w:p w:rsidR="0095650B" w:rsidRDefault="0095650B" w:rsidP="0095650B">
      <w:pPr>
        <w:jc w:val="both"/>
      </w:pPr>
    </w:p>
    <w:p w:rsidR="0095650B" w:rsidRDefault="002A1AD8" w:rsidP="0095650B">
      <w:pPr>
        <w:jc w:val="both"/>
      </w:pPr>
      <w:r>
        <w:t>The (draft) VESP Design summarised issues associated with school construction and maintenance in the following terms:</w:t>
      </w:r>
    </w:p>
    <w:p w:rsidR="002A1AD8" w:rsidRDefault="002A1AD8" w:rsidP="002A1AD8">
      <w:pPr>
        <w:pStyle w:val="ListParagraph"/>
        <w:widowControl w:val="0"/>
        <w:autoSpaceDE w:val="0"/>
        <w:autoSpaceDN w:val="0"/>
        <w:adjustRightInd w:val="0"/>
        <w:spacing w:before="120"/>
        <w:ind w:left="426" w:hanging="66"/>
        <w:contextualSpacing w:val="0"/>
        <w:jc w:val="both"/>
        <w:rPr>
          <w:lang w:val="en-US" w:eastAsia="en-GB"/>
        </w:rPr>
      </w:pPr>
      <w:r w:rsidRPr="002A1AD8">
        <w:rPr>
          <w:lang w:val="en-US" w:eastAsia="en-GB"/>
        </w:rPr>
        <w:t>“Poor infrastructure is also deterring enrolment and lowering student achievement.</w:t>
      </w:r>
      <w:r>
        <w:rPr>
          <w:lang w:val="en-US" w:eastAsia="en-GB"/>
        </w:rPr>
        <w:t xml:space="preserve">  I</w:t>
      </w:r>
      <w:r w:rsidRPr="004C636B">
        <w:rPr>
          <w:lang w:val="en-US" w:eastAsia="en-GB"/>
        </w:rPr>
        <w:t xml:space="preserve">nvestment in new infrastructure has failed to keep up with demand and has led to over-crowding in classrooms, especially in urban areas. </w:t>
      </w:r>
      <w:r>
        <w:rPr>
          <w:lang w:val="en-US" w:eastAsia="en-GB"/>
        </w:rPr>
        <w:t xml:space="preserve"> </w:t>
      </w:r>
      <w:r w:rsidRPr="004C636B">
        <w:rPr>
          <w:lang w:val="en-US" w:eastAsia="en-GB"/>
        </w:rPr>
        <w:t xml:space="preserve">Preliminary estimates by </w:t>
      </w:r>
      <w:r>
        <w:rPr>
          <w:lang w:val="en-US" w:eastAsia="en-GB"/>
        </w:rPr>
        <w:t xml:space="preserve">the Ministry of Education </w:t>
      </w:r>
      <w:r w:rsidRPr="004C636B">
        <w:rPr>
          <w:lang w:val="en-US" w:eastAsia="en-GB"/>
        </w:rPr>
        <w:t>in March 2102 indicated an immediate need for an additional 158 new classrooms and the refurbishment of a further 72 existing classrooms</w:t>
      </w:r>
      <w:r>
        <w:rPr>
          <w:lang w:val="en-US" w:eastAsia="en-GB"/>
        </w:rPr>
        <w:t>, whilst the growing student population will require an</w:t>
      </w:r>
      <w:r w:rsidRPr="00CE5DDB">
        <w:rPr>
          <w:lang w:val="en-US" w:eastAsia="en-GB"/>
        </w:rPr>
        <w:t xml:space="preserve"> estimated additional 37 standard classrooms per annum</w:t>
      </w:r>
      <w:r>
        <w:rPr>
          <w:lang w:val="en-US" w:eastAsia="en-GB"/>
        </w:rPr>
        <w:t>.</w:t>
      </w:r>
    </w:p>
    <w:p w:rsidR="002A1AD8" w:rsidRDefault="002A1AD8" w:rsidP="002A1AD8">
      <w:pPr>
        <w:pStyle w:val="ListParagraph"/>
        <w:widowControl w:val="0"/>
        <w:autoSpaceDE w:val="0"/>
        <w:autoSpaceDN w:val="0"/>
        <w:adjustRightInd w:val="0"/>
        <w:spacing w:before="120"/>
        <w:ind w:hanging="360"/>
        <w:contextualSpacing w:val="0"/>
        <w:jc w:val="both"/>
        <w:rPr>
          <w:lang w:val="en-US" w:eastAsia="en-GB"/>
        </w:rPr>
      </w:pPr>
    </w:p>
    <w:p w:rsidR="002A1AD8" w:rsidRDefault="002A1AD8" w:rsidP="002A1AD8">
      <w:pPr>
        <w:pStyle w:val="ListParagraph"/>
        <w:ind w:left="360"/>
        <w:jc w:val="both"/>
        <w:rPr>
          <w:lang w:val="en-US" w:eastAsia="en-GB"/>
        </w:rPr>
      </w:pPr>
      <w:r w:rsidRPr="008E3BA1">
        <w:rPr>
          <w:lang w:val="en-US" w:eastAsia="en-GB"/>
        </w:rPr>
        <w:t xml:space="preserve">Lack of maintenance has increased the need for refurbishment and rebuilding. </w:t>
      </w:r>
      <w:r>
        <w:rPr>
          <w:lang w:val="en-US" w:eastAsia="en-GB"/>
        </w:rPr>
        <w:t xml:space="preserve"> O</w:t>
      </w:r>
      <w:r w:rsidRPr="008E3BA1">
        <w:rPr>
          <w:lang w:val="en-US" w:eastAsia="en-GB"/>
        </w:rPr>
        <w:t>nly 44</w:t>
      </w:r>
      <w:r>
        <w:rPr>
          <w:lang w:val="en-US" w:eastAsia="en-GB"/>
        </w:rPr>
        <w:t xml:space="preserve">% </w:t>
      </w:r>
      <w:r w:rsidRPr="008E3BA1">
        <w:rPr>
          <w:lang w:val="en-US" w:eastAsia="en-GB"/>
        </w:rPr>
        <w:t xml:space="preserve">of classrooms are rated in ‘good’ condition and more than 12% are temporary structures constructed entirely from </w:t>
      </w:r>
      <w:r>
        <w:rPr>
          <w:lang w:val="en-US" w:eastAsia="en-GB"/>
        </w:rPr>
        <w:t xml:space="preserve">temporary </w:t>
      </w:r>
      <w:r w:rsidRPr="008E3BA1">
        <w:rPr>
          <w:lang w:val="en-US" w:eastAsia="en-GB"/>
        </w:rPr>
        <w:t xml:space="preserve">materials. </w:t>
      </w:r>
      <w:r>
        <w:rPr>
          <w:lang w:val="en-US" w:eastAsia="en-GB"/>
        </w:rPr>
        <w:t xml:space="preserve"> </w:t>
      </w:r>
      <w:r w:rsidRPr="008E3BA1">
        <w:rPr>
          <w:lang w:val="en-US" w:eastAsia="en-GB"/>
        </w:rPr>
        <w:t>Few schools have adequate water and sanitation facilities; few provide access for physically disabled children.</w:t>
      </w:r>
    </w:p>
    <w:p w:rsidR="002A1AD8" w:rsidRDefault="002A1AD8" w:rsidP="002A1AD8">
      <w:pPr>
        <w:pStyle w:val="ListParagraph"/>
        <w:ind w:left="360"/>
        <w:jc w:val="both"/>
        <w:rPr>
          <w:lang w:val="en-US" w:eastAsia="en-GB"/>
        </w:rPr>
      </w:pPr>
      <w:r w:rsidRPr="008E3BA1">
        <w:rPr>
          <w:lang w:val="en-US" w:eastAsia="en-GB"/>
        </w:rPr>
        <w:t xml:space="preserve"> </w:t>
      </w:r>
    </w:p>
    <w:p w:rsidR="002A1AD8" w:rsidRDefault="002A1AD8" w:rsidP="002A1AD8">
      <w:pPr>
        <w:tabs>
          <w:tab w:val="left" w:pos="426"/>
        </w:tabs>
        <w:ind w:left="426"/>
        <w:jc w:val="both"/>
        <w:rPr>
          <w:lang w:val="en-US" w:eastAsia="en-GB"/>
        </w:rPr>
      </w:pPr>
      <w:r w:rsidRPr="004C636B">
        <w:rPr>
          <w:lang w:val="en-US" w:eastAsia="en-GB"/>
        </w:rPr>
        <w:t xml:space="preserve">None of the </w:t>
      </w:r>
      <w:proofErr w:type="spellStart"/>
      <w:r w:rsidRPr="004C636B">
        <w:rPr>
          <w:lang w:val="en-US" w:eastAsia="en-GB"/>
        </w:rPr>
        <w:t>MoE</w:t>
      </w:r>
      <w:proofErr w:type="spellEnd"/>
      <w:r w:rsidRPr="004C636B">
        <w:rPr>
          <w:lang w:val="en-US" w:eastAsia="en-GB"/>
        </w:rPr>
        <w:t xml:space="preserve"> budget is allocated to school construction or specifically for maintenance, though more recently schools are allowed to use part of the school grants for maintenance. All new school </w:t>
      </w:r>
      <w:proofErr w:type="gramStart"/>
      <w:r w:rsidRPr="004C636B">
        <w:rPr>
          <w:lang w:val="en-US" w:eastAsia="en-GB"/>
        </w:rPr>
        <w:t>infrastructure</w:t>
      </w:r>
      <w:proofErr w:type="gramEnd"/>
      <w:r w:rsidRPr="004C636B">
        <w:rPr>
          <w:lang w:val="en-US" w:eastAsia="en-GB"/>
        </w:rPr>
        <w:t xml:space="preserve"> is funded by donors or the school communities through fundraising.</w:t>
      </w:r>
      <w:r>
        <w:rPr>
          <w:lang w:val="en-US" w:eastAsia="en-GB"/>
        </w:rPr>
        <w:t>”</w:t>
      </w:r>
      <w:r>
        <w:rPr>
          <w:rStyle w:val="FootnoteReference"/>
          <w:lang w:val="en-US" w:eastAsia="en-GB"/>
        </w:rPr>
        <w:footnoteReference w:id="32"/>
      </w:r>
    </w:p>
    <w:p w:rsidR="0067269F" w:rsidRDefault="0067269F" w:rsidP="002A1AD8">
      <w:pPr>
        <w:tabs>
          <w:tab w:val="left" w:pos="426"/>
        </w:tabs>
        <w:ind w:left="426"/>
        <w:jc w:val="both"/>
        <w:rPr>
          <w:lang w:val="en-US" w:eastAsia="en-GB"/>
        </w:rPr>
      </w:pPr>
    </w:p>
    <w:p w:rsidR="0067269F" w:rsidRDefault="0067269F" w:rsidP="0067269F">
      <w:pPr>
        <w:tabs>
          <w:tab w:val="left" w:pos="426"/>
        </w:tabs>
        <w:jc w:val="both"/>
        <w:rPr>
          <w:lang w:val="en-US" w:eastAsia="en-GB"/>
        </w:rPr>
      </w:pPr>
      <w:r>
        <w:rPr>
          <w:lang w:val="en-US" w:eastAsia="en-GB"/>
        </w:rPr>
        <w:t>From a public expenditure perspective there are three key forms of inefficiency</w:t>
      </w:r>
      <w:r w:rsidR="00230DA9">
        <w:rPr>
          <w:lang w:val="en-US" w:eastAsia="en-GB"/>
        </w:rPr>
        <w:t>/</w:t>
      </w:r>
      <w:r>
        <w:rPr>
          <w:lang w:val="en-US" w:eastAsia="en-GB"/>
        </w:rPr>
        <w:t>potential waste:</w:t>
      </w:r>
    </w:p>
    <w:p w:rsidR="0067269F" w:rsidRDefault="0067269F" w:rsidP="0067269F">
      <w:pPr>
        <w:tabs>
          <w:tab w:val="left" w:pos="426"/>
        </w:tabs>
        <w:jc w:val="both"/>
        <w:rPr>
          <w:lang w:val="en-US" w:eastAsia="en-GB"/>
        </w:rPr>
      </w:pPr>
    </w:p>
    <w:p w:rsidR="0067269F" w:rsidRDefault="0067269F" w:rsidP="00CE4350">
      <w:pPr>
        <w:pStyle w:val="ListParagraph"/>
        <w:numPr>
          <w:ilvl w:val="0"/>
          <w:numId w:val="91"/>
        </w:numPr>
        <w:tabs>
          <w:tab w:val="left" w:pos="426"/>
        </w:tabs>
        <w:jc w:val="both"/>
      </w:pPr>
      <w:r>
        <w:t xml:space="preserve">Despite development partner technical assistance over several years the </w:t>
      </w:r>
      <w:proofErr w:type="spellStart"/>
      <w:r>
        <w:t>GoV</w:t>
      </w:r>
      <w:proofErr w:type="spellEnd"/>
      <w:r>
        <w:t xml:space="preserve"> has yet to finalise and endorse an asset management plan for </w:t>
      </w:r>
      <w:proofErr w:type="spellStart"/>
      <w:r>
        <w:t>GoV</w:t>
      </w:r>
      <w:proofErr w:type="spellEnd"/>
      <w:r>
        <w:t>-funded schools.</w:t>
      </w:r>
    </w:p>
    <w:p w:rsidR="0067269F" w:rsidRDefault="0067269F" w:rsidP="00CE4350">
      <w:pPr>
        <w:pStyle w:val="ListParagraph"/>
        <w:numPr>
          <w:ilvl w:val="0"/>
          <w:numId w:val="91"/>
        </w:numPr>
        <w:tabs>
          <w:tab w:val="left" w:pos="426"/>
        </w:tabs>
        <w:jc w:val="both"/>
      </w:pPr>
      <w:r>
        <w:t xml:space="preserve">Related to this, no systematic consideration appears to have been given by either the </w:t>
      </w:r>
      <w:proofErr w:type="spellStart"/>
      <w:r>
        <w:t>GoV</w:t>
      </w:r>
      <w:proofErr w:type="spellEnd"/>
      <w:r>
        <w:t xml:space="preserve"> or development partners to the ongoing recurrent maintenance expenditure implications of either past or proposed future investment in new classroom construction funded by development partners (see also Section 2.5).</w:t>
      </w:r>
    </w:p>
    <w:p w:rsidR="0067269F" w:rsidRDefault="00647D4E" w:rsidP="00CE4350">
      <w:pPr>
        <w:pStyle w:val="ListParagraph"/>
        <w:numPr>
          <w:ilvl w:val="0"/>
          <w:numId w:val="91"/>
        </w:numPr>
        <w:tabs>
          <w:tab w:val="left" w:pos="426"/>
        </w:tabs>
        <w:jc w:val="both"/>
      </w:pPr>
      <w:r>
        <w:lastRenderedPageBreak/>
        <w:t xml:space="preserve">Land leases currently used to secure land tenure for </w:t>
      </w:r>
      <w:proofErr w:type="spellStart"/>
      <w:r>
        <w:t>GoV</w:t>
      </w:r>
      <w:proofErr w:type="spellEnd"/>
      <w:r>
        <w:t xml:space="preserve">-funded schools are too financially onerous for the </w:t>
      </w:r>
      <w:proofErr w:type="spellStart"/>
      <w:r>
        <w:t>GoV</w:t>
      </w:r>
      <w:proofErr w:type="spellEnd"/>
      <w:r>
        <w:t xml:space="preserve"> to provide a financially sustainable long-term solution.</w:t>
      </w:r>
      <w:r>
        <w:rPr>
          <w:rStyle w:val="FootnoteReference"/>
        </w:rPr>
        <w:footnoteReference w:id="33"/>
      </w:r>
      <w:r w:rsidR="0067269F">
        <w:t xml:space="preserve"> </w:t>
      </w:r>
    </w:p>
    <w:p w:rsidR="0095650B" w:rsidRDefault="0095650B" w:rsidP="0095650B">
      <w:pPr>
        <w:jc w:val="both"/>
      </w:pPr>
    </w:p>
    <w:p w:rsidR="0095650B" w:rsidRDefault="0095650B" w:rsidP="0095650B">
      <w:pPr>
        <w:jc w:val="both"/>
        <w:rPr>
          <w:u w:val="single"/>
        </w:rPr>
      </w:pPr>
      <w:r>
        <w:rPr>
          <w:u w:val="single"/>
        </w:rPr>
        <w:t>Planning, b</w:t>
      </w:r>
      <w:r w:rsidRPr="00372517">
        <w:rPr>
          <w:u w:val="single"/>
        </w:rPr>
        <w:t>udgeting</w:t>
      </w:r>
      <w:r>
        <w:rPr>
          <w:u w:val="single"/>
        </w:rPr>
        <w:t xml:space="preserve">, </w:t>
      </w:r>
      <w:r w:rsidRPr="00372517">
        <w:rPr>
          <w:u w:val="single"/>
        </w:rPr>
        <w:t xml:space="preserve">financial </w:t>
      </w:r>
      <w:r>
        <w:rPr>
          <w:u w:val="single"/>
        </w:rPr>
        <w:t>management and internal audit</w:t>
      </w:r>
    </w:p>
    <w:p w:rsidR="0095650B" w:rsidRDefault="0095650B" w:rsidP="0095650B">
      <w:pPr>
        <w:jc w:val="both"/>
        <w:rPr>
          <w:u w:val="single"/>
        </w:rPr>
      </w:pPr>
    </w:p>
    <w:p w:rsidR="0095650B" w:rsidRDefault="0095650B" w:rsidP="0095650B">
      <w:pPr>
        <w:jc w:val="both"/>
      </w:pPr>
      <w:r>
        <w:t xml:space="preserve">The review’s Team Leader has assessed </w:t>
      </w:r>
      <w:proofErr w:type="spellStart"/>
      <w:r>
        <w:t>MoE’s</w:t>
      </w:r>
      <w:proofErr w:type="spellEnd"/>
      <w:r>
        <w:t xml:space="preserve"> budgeting</w:t>
      </w:r>
      <w:r w:rsidR="00230DA9">
        <w:t xml:space="preserve"> and financial management </w:t>
      </w:r>
      <w:r>
        <w:t>capacities on pr</w:t>
      </w:r>
      <w:r w:rsidR="00230DA9">
        <w:t xml:space="preserve">ior </w:t>
      </w:r>
      <w:r>
        <w:t>occasions.</w:t>
      </w:r>
      <w:r>
        <w:rPr>
          <w:rStyle w:val="FootnoteReference"/>
        </w:rPr>
        <w:footnoteReference w:id="34"/>
      </w:r>
      <w:r>
        <w:t xml:space="preserve">  Key points, reiterated by the present review, are summarised</w:t>
      </w:r>
      <w:r w:rsidR="002A1AD8">
        <w:t xml:space="preserve"> </w:t>
      </w:r>
      <w:r>
        <w:t xml:space="preserve">in Table </w:t>
      </w:r>
      <w:r w:rsidR="00941EFE">
        <w:t>20</w:t>
      </w:r>
      <w:r>
        <w:t>.</w:t>
      </w:r>
    </w:p>
    <w:p w:rsidR="0095650B" w:rsidRDefault="0095650B" w:rsidP="0095650B">
      <w:pPr>
        <w:jc w:val="both"/>
      </w:pPr>
    </w:p>
    <w:tbl>
      <w:tblPr>
        <w:tblStyle w:val="TableGrid"/>
        <w:tblW w:w="0" w:type="auto"/>
        <w:tblLook w:val="04A0" w:firstRow="1" w:lastRow="0" w:firstColumn="1" w:lastColumn="0" w:noHBand="0" w:noVBand="1"/>
        <w:tblCaption w:val="Table 20: Key features of MoE planning, budgeting, financial management and internal audit"/>
      </w:tblPr>
      <w:tblGrid>
        <w:gridCol w:w="2093"/>
        <w:gridCol w:w="7477"/>
      </w:tblGrid>
      <w:tr w:rsidR="0095650B" w:rsidTr="00D339A4">
        <w:trPr>
          <w:tblHeader/>
        </w:trPr>
        <w:tc>
          <w:tcPr>
            <w:tcW w:w="9570" w:type="dxa"/>
            <w:gridSpan w:val="2"/>
            <w:shd w:val="clear" w:color="auto" w:fill="BFBFBF" w:themeFill="background1" w:themeFillShade="BF"/>
          </w:tcPr>
          <w:p w:rsidR="0095650B" w:rsidRDefault="0095650B" w:rsidP="00941EFE">
            <w:pPr>
              <w:jc w:val="both"/>
            </w:pPr>
            <w:r>
              <w:t xml:space="preserve">Table </w:t>
            </w:r>
            <w:r w:rsidR="00941EFE">
              <w:t>20</w:t>
            </w:r>
            <w:r>
              <w:t xml:space="preserve">: Key features of </w:t>
            </w:r>
            <w:proofErr w:type="spellStart"/>
            <w:r>
              <w:t>MoE</w:t>
            </w:r>
            <w:proofErr w:type="spellEnd"/>
            <w:r>
              <w:t xml:space="preserve"> planning, budgeting, financial management and internal audit</w:t>
            </w:r>
          </w:p>
        </w:tc>
      </w:tr>
      <w:tr w:rsidR="0095650B" w:rsidTr="00C05FAA">
        <w:tc>
          <w:tcPr>
            <w:tcW w:w="2093" w:type="dxa"/>
          </w:tcPr>
          <w:p w:rsidR="0095650B" w:rsidRDefault="0095650B" w:rsidP="00C05FAA">
            <w:r>
              <w:t>Planning</w:t>
            </w:r>
          </w:p>
        </w:tc>
        <w:tc>
          <w:tcPr>
            <w:tcW w:w="7477" w:type="dxa"/>
          </w:tcPr>
          <w:p w:rsidR="0095650B" w:rsidRDefault="0095650B" w:rsidP="00D34AA0">
            <w:pPr>
              <w:numPr>
                <w:ilvl w:val="0"/>
                <w:numId w:val="39"/>
              </w:numPr>
              <w:jc w:val="both"/>
              <w:rPr>
                <w:rFonts w:eastAsia="Calibri" w:cs="Times New Roman"/>
              </w:rPr>
            </w:pPr>
            <w:r>
              <w:rPr>
                <w:rFonts w:eastAsia="Calibri" w:cs="Times New Roman"/>
              </w:rPr>
              <w:t xml:space="preserve">No </w:t>
            </w:r>
            <w:proofErr w:type="spellStart"/>
            <w:r>
              <w:rPr>
                <w:rFonts w:eastAsia="Calibri" w:cs="Times New Roman"/>
              </w:rPr>
              <w:t>MoE</w:t>
            </w:r>
            <w:proofErr w:type="spellEnd"/>
            <w:r>
              <w:rPr>
                <w:rFonts w:eastAsia="Calibri" w:cs="Times New Roman"/>
              </w:rPr>
              <w:t xml:space="preserve"> Corporate Plan as such has been updated in recent years.  The highly-detailed draft Annual Work Plans would benefit from a clearer distinction between inputs and outputs, stronger prioritisation of activities and consolidation of associated funding estimates.  </w:t>
            </w:r>
          </w:p>
          <w:p w:rsidR="0095650B" w:rsidRDefault="0095650B" w:rsidP="00D34AA0">
            <w:pPr>
              <w:numPr>
                <w:ilvl w:val="0"/>
                <w:numId w:val="39"/>
              </w:numPr>
              <w:jc w:val="both"/>
            </w:pPr>
            <w:r>
              <w:rPr>
                <w:rFonts w:eastAsia="Calibri" w:cs="Times New Roman"/>
              </w:rPr>
              <w:t xml:space="preserve">The </w:t>
            </w:r>
            <w:proofErr w:type="spellStart"/>
            <w:r>
              <w:rPr>
                <w:rFonts w:eastAsia="Calibri" w:cs="Times New Roman"/>
              </w:rPr>
              <w:t>MoE</w:t>
            </w:r>
            <w:proofErr w:type="spellEnd"/>
            <w:r>
              <w:rPr>
                <w:rFonts w:eastAsia="Calibri" w:cs="Times New Roman"/>
              </w:rPr>
              <w:t xml:space="preserve"> Policy and Planning Unit’s routine activities focus primarily on the preparation of plans and progress reports to meet the needs of Development Partners.  </w:t>
            </w:r>
          </w:p>
        </w:tc>
      </w:tr>
      <w:tr w:rsidR="0095650B" w:rsidTr="00C05FAA">
        <w:tc>
          <w:tcPr>
            <w:tcW w:w="2093" w:type="dxa"/>
          </w:tcPr>
          <w:p w:rsidR="0095650B" w:rsidRDefault="0095650B" w:rsidP="00C05FAA">
            <w:r>
              <w:t>Budgeting</w:t>
            </w:r>
          </w:p>
        </w:tc>
        <w:tc>
          <w:tcPr>
            <w:tcW w:w="7477" w:type="dxa"/>
          </w:tcPr>
          <w:p w:rsidR="0095650B" w:rsidRPr="00FF155D" w:rsidRDefault="0095650B" w:rsidP="00D34AA0">
            <w:pPr>
              <w:numPr>
                <w:ilvl w:val="0"/>
                <w:numId w:val="40"/>
              </w:numPr>
              <w:jc w:val="both"/>
              <w:rPr>
                <w:rFonts w:eastAsia="Calibri" w:cs="Times New Roman"/>
              </w:rPr>
            </w:pPr>
            <w:r w:rsidRPr="00FF155D">
              <w:rPr>
                <w:rFonts w:eastAsia="Calibri" w:cs="Times New Roman"/>
              </w:rPr>
              <w:t xml:space="preserve">The medium-term expenditure implications of the VERM do not appear to have been assessed in any systematic or ongoing manner.  </w:t>
            </w:r>
          </w:p>
          <w:p w:rsidR="0095650B" w:rsidRDefault="0095650B" w:rsidP="00D34AA0">
            <w:pPr>
              <w:numPr>
                <w:ilvl w:val="0"/>
                <w:numId w:val="40"/>
              </w:numPr>
              <w:jc w:val="both"/>
            </w:pPr>
            <w:r>
              <w:rPr>
                <w:rFonts w:eastAsia="Calibri" w:cs="Times New Roman"/>
              </w:rPr>
              <w:t xml:space="preserve">Annual budgeting effort has been largely directed at negotiating and costing activities to be funded by Development Partners.  The annual recurrent </w:t>
            </w:r>
            <w:proofErr w:type="spellStart"/>
            <w:r>
              <w:rPr>
                <w:rFonts w:eastAsia="Calibri" w:cs="Times New Roman"/>
              </w:rPr>
              <w:t>MoE</w:t>
            </w:r>
            <w:proofErr w:type="spellEnd"/>
            <w:r>
              <w:rPr>
                <w:rFonts w:eastAsia="Calibri" w:cs="Times New Roman"/>
              </w:rPr>
              <w:t xml:space="preserve"> budgets funded by the </w:t>
            </w:r>
            <w:proofErr w:type="spellStart"/>
            <w:r>
              <w:rPr>
                <w:rFonts w:eastAsia="Calibri" w:cs="Times New Roman"/>
              </w:rPr>
              <w:t>GoV</w:t>
            </w:r>
            <w:proofErr w:type="spellEnd"/>
            <w:r>
              <w:t xml:space="preserve"> have continued to be </w:t>
            </w:r>
            <w:r>
              <w:rPr>
                <w:rFonts w:eastAsia="Calibri" w:cs="Times New Roman"/>
              </w:rPr>
              <w:t xml:space="preserve">determined by reference to last year’s expenditure plus or minus minor variations with no obvious linkage to the expenditure priorities implicit in the VERM.  </w:t>
            </w:r>
          </w:p>
          <w:p w:rsidR="0095650B" w:rsidRDefault="0095650B" w:rsidP="00D34AA0">
            <w:pPr>
              <w:numPr>
                <w:ilvl w:val="0"/>
                <w:numId w:val="40"/>
              </w:numPr>
              <w:jc w:val="both"/>
            </w:pPr>
            <w:r>
              <w:rPr>
                <w:rFonts w:eastAsia="Calibri" w:cs="Times New Roman"/>
              </w:rPr>
              <w:t xml:space="preserve">MFEM reports that “Over the past three years the </w:t>
            </w:r>
            <w:proofErr w:type="spellStart"/>
            <w:r>
              <w:rPr>
                <w:rFonts w:eastAsia="Calibri" w:cs="Times New Roman"/>
              </w:rPr>
              <w:t>MoE</w:t>
            </w:r>
            <w:proofErr w:type="spellEnd"/>
            <w:r>
              <w:rPr>
                <w:rFonts w:eastAsia="Calibri" w:cs="Times New Roman"/>
              </w:rPr>
              <w:t xml:space="preserve"> budget submissions have been only basically or half-completed” by the submission deadlines.  However, it also reports that inputs by senior </w:t>
            </w:r>
            <w:proofErr w:type="spellStart"/>
            <w:r>
              <w:rPr>
                <w:rFonts w:eastAsia="Calibri" w:cs="Times New Roman"/>
              </w:rPr>
              <w:t>MoE</w:t>
            </w:r>
            <w:proofErr w:type="spellEnd"/>
            <w:r>
              <w:rPr>
                <w:rFonts w:eastAsia="Calibri" w:cs="Times New Roman"/>
              </w:rPr>
              <w:t xml:space="preserve"> staff to the deliberations of the Ministerial Budget Committee have been good.</w:t>
            </w:r>
          </w:p>
        </w:tc>
      </w:tr>
      <w:tr w:rsidR="0095650B" w:rsidTr="00C05FAA">
        <w:tc>
          <w:tcPr>
            <w:tcW w:w="2093" w:type="dxa"/>
          </w:tcPr>
          <w:p w:rsidR="0095650B" w:rsidRDefault="0095650B" w:rsidP="00C05FAA">
            <w:r>
              <w:t>Financial management &amp; reporting</w:t>
            </w:r>
          </w:p>
        </w:tc>
        <w:tc>
          <w:tcPr>
            <w:tcW w:w="7477" w:type="dxa"/>
          </w:tcPr>
          <w:p w:rsidR="0095650B" w:rsidRDefault="0095650B" w:rsidP="00D34AA0">
            <w:pPr>
              <w:numPr>
                <w:ilvl w:val="0"/>
                <w:numId w:val="41"/>
              </w:numPr>
              <w:jc w:val="both"/>
            </w:pPr>
            <w:r>
              <w:rPr>
                <w:rFonts w:eastAsia="Calibri" w:cs="Times New Roman"/>
              </w:rPr>
              <w:t xml:space="preserve">Recurrent budget provisions are frequently </w:t>
            </w:r>
            <w:proofErr w:type="spellStart"/>
            <w:r>
              <w:rPr>
                <w:rFonts w:eastAsia="Calibri" w:cs="Times New Roman"/>
              </w:rPr>
              <w:t>vired</w:t>
            </w:r>
            <w:proofErr w:type="spellEnd"/>
            <w:r>
              <w:rPr>
                <w:rFonts w:eastAsia="Calibri" w:cs="Times New Roman"/>
              </w:rPr>
              <w:t xml:space="preserve"> within </w:t>
            </w:r>
            <w:proofErr w:type="spellStart"/>
            <w:r>
              <w:rPr>
                <w:rFonts w:eastAsia="Calibri" w:cs="Times New Roman"/>
              </w:rPr>
              <w:t>MoE</w:t>
            </w:r>
            <w:proofErr w:type="spellEnd"/>
            <w:r>
              <w:rPr>
                <w:rFonts w:eastAsia="Calibri" w:cs="Times New Roman"/>
              </w:rPr>
              <w:t xml:space="preserve"> from one account code to another, with or without the knowledge of the relevant </w:t>
            </w:r>
            <w:proofErr w:type="spellStart"/>
            <w:r>
              <w:rPr>
                <w:rFonts w:eastAsia="Calibri" w:cs="Times New Roman"/>
              </w:rPr>
              <w:t>MoE</w:t>
            </w:r>
            <w:proofErr w:type="spellEnd"/>
            <w:r>
              <w:rPr>
                <w:rFonts w:eastAsia="Calibri" w:cs="Times New Roman"/>
              </w:rPr>
              <w:t xml:space="preserve"> manager.  This suggests continuing weaknesses in the realism of </w:t>
            </w:r>
            <w:proofErr w:type="spellStart"/>
            <w:r>
              <w:rPr>
                <w:rFonts w:eastAsia="Calibri" w:cs="Times New Roman"/>
              </w:rPr>
              <w:t>MoE</w:t>
            </w:r>
            <w:proofErr w:type="spellEnd"/>
            <w:r>
              <w:rPr>
                <w:rFonts w:eastAsia="Calibri" w:cs="Times New Roman"/>
              </w:rPr>
              <w:t xml:space="preserve"> budget estimates at the program </w:t>
            </w:r>
            <w:r>
              <w:t>and activity levels</w:t>
            </w:r>
            <w:r>
              <w:rPr>
                <w:rFonts w:eastAsia="Calibri" w:cs="Times New Roman"/>
              </w:rPr>
              <w:t xml:space="preserve"> and/or their subsequent management</w:t>
            </w:r>
            <w:r>
              <w:t xml:space="preserve"> (see also Section 2.2.3).</w:t>
            </w:r>
          </w:p>
          <w:p w:rsidR="0095650B" w:rsidRDefault="0095650B" w:rsidP="00D34AA0">
            <w:pPr>
              <w:numPr>
                <w:ilvl w:val="0"/>
                <w:numId w:val="41"/>
              </w:numPr>
              <w:jc w:val="both"/>
            </w:pPr>
            <w:proofErr w:type="spellStart"/>
            <w:r>
              <w:rPr>
                <w:rFonts w:eastAsia="Calibri" w:cs="Times New Roman"/>
              </w:rPr>
              <w:t>MoE</w:t>
            </w:r>
            <w:proofErr w:type="spellEnd"/>
            <w:r>
              <w:rPr>
                <w:rFonts w:eastAsia="Calibri" w:cs="Times New Roman"/>
              </w:rPr>
              <w:t xml:space="preserve"> Directors are in principle required to prepare detailed (perhaps excessively detailed) monthly progress and financial reports.  However, compliance with this requirement appears patchy.  </w:t>
            </w:r>
          </w:p>
          <w:p w:rsidR="0095650B" w:rsidRDefault="0095650B" w:rsidP="00D34AA0">
            <w:pPr>
              <w:pStyle w:val="ListParagraph"/>
              <w:numPr>
                <w:ilvl w:val="0"/>
                <w:numId w:val="41"/>
              </w:numPr>
              <w:jc w:val="both"/>
            </w:pPr>
            <w:r>
              <w:rPr>
                <w:rFonts w:eastAsia="Calibri" w:cs="Times New Roman"/>
              </w:rPr>
              <w:t xml:space="preserve">MFEM reports that </w:t>
            </w:r>
            <w:proofErr w:type="spellStart"/>
            <w:r>
              <w:rPr>
                <w:rFonts w:eastAsia="Calibri" w:cs="Times New Roman"/>
              </w:rPr>
              <w:t>MoE</w:t>
            </w:r>
            <w:proofErr w:type="spellEnd"/>
            <w:r>
              <w:rPr>
                <w:rFonts w:eastAsia="Calibri" w:cs="Times New Roman"/>
              </w:rPr>
              <w:t xml:space="preserve"> did not submit annual financial statements for either 2009 or 2010.</w:t>
            </w:r>
            <w:r>
              <w:t xml:space="preserve"> </w:t>
            </w:r>
          </w:p>
          <w:p w:rsidR="0095650B" w:rsidRDefault="0095650B" w:rsidP="00D34AA0">
            <w:pPr>
              <w:pStyle w:val="ListParagraph"/>
              <w:numPr>
                <w:ilvl w:val="0"/>
                <w:numId w:val="41"/>
              </w:numPr>
              <w:jc w:val="both"/>
            </w:pPr>
            <w:r>
              <w:t>I</w:t>
            </w:r>
            <w:r>
              <w:rPr>
                <w:rFonts w:eastAsia="Calibri" w:cs="Times New Roman"/>
              </w:rPr>
              <w:t>nternal audits of individual schools typically identify numerous weaknesses against financial planning and management control indicators.</w:t>
            </w:r>
          </w:p>
        </w:tc>
      </w:tr>
      <w:tr w:rsidR="0095650B" w:rsidTr="00C05FAA">
        <w:tc>
          <w:tcPr>
            <w:tcW w:w="2093" w:type="dxa"/>
          </w:tcPr>
          <w:p w:rsidR="0095650B" w:rsidRDefault="0095650B" w:rsidP="00C05FAA">
            <w:r>
              <w:t>Internal Audit</w:t>
            </w:r>
          </w:p>
        </w:tc>
        <w:tc>
          <w:tcPr>
            <w:tcW w:w="7477" w:type="dxa"/>
          </w:tcPr>
          <w:p w:rsidR="0095650B" w:rsidRDefault="0095650B" w:rsidP="00D34AA0">
            <w:pPr>
              <w:pStyle w:val="ListParagraph"/>
              <w:numPr>
                <w:ilvl w:val="0"/>
                <w:numId w:val="41"/>
              </w:numPr>
              <w:jc w:val="both"/>
              <w:rPr>
                <w:rFonts w:eastAsia="Calibri" w:cs="Times New Roman"/>
              </w:rPr>
            </w:pPr>
            <w:r>
              <w:rPr>
                <w:rFonts w:eastAsia="Calibri" w:cs="Times New Roman"/>
              </w:rPr>
              <w:t xml:space="preserve">The capacity of </w:t>
            </w:r>
            <w:proofErr w:type="spellStart"/>
            <w:r>
              <w:rPr>
                <w:rFonts w:eastAsia="Calibri" w:cs="Times New Roman"/>
              </w:rPr>
              <w:t>MoE’s</w:t>
            </w:r>
            <w:proofErr w:type="spellEnd"/>
            <w:r>
              <w:rPr>
                <w:rFonts w:eastAsia="Calibri" w:cs="Times New Roman"/>
              </w:rPr>
              <w:t xml:space="preserve"> Internal Audit Unit has undoubtedly been strengthened since 2007.  Based on a limited sample the Unit’s audits of individual schools (around 100 anticipated for 2011 as a whole) are of a good standard as are other ‘one-off’ internal audits.</w:t>
            </w:r>
          </w:p>
          <w:p w:rsidR="0095650B" w:rsidRDefault="0095650B" w:rsidP="00D34AA0">
            <w:pPr>
              <w:pStyle w:val="ListParagraph"/>
              <w:numPr>
                <w:ilvl w:val="0"/>
                <w:numId w:val="41"/>
              </w:numPr>
              <w:jc w:val="both"/>
            </w:pPr>
            <w:r>
              <w:rPr>
                <w:rFonts w:eastAsia="Calibri" w:cs="Times New Roman"/>
              </w:rPr>
              <w:lastRenderedPageBreak/>
              <w:t xml:space="preserve">The extent to which internal audit findings and recommendations are subsequently addressed at either school or </w:t>
            </w:r>
            <w:proofErr w:type="spellStart"/>
            <w:r>
              <w:rPr>
                <w:rFonts w:eastAsia="Calibri" w:cs="Times New Roman"/>
              </w:rPr>
              <w:t>MoE</w:t>
            </w:r>
            <w:proofErr w:type="spellEnd"/>
            <w:r>
              <w:rPr>
                <w:rFonts w:eastAsia="Calibri" w:cs="Times New Roman"/>
              </w:rPr>
              <w:t xml:space="preserve"> levels is doubtful - there are indications that findings adverse to individual officers are not pursued by </w:t>
            </w:r>
            <w:proofErr w:type="spellStart"/>
            <w:r>
              <w:rPr>
                <w:rFonts w:eastAsia="Calibri" w:cs="Times New Roman"/>
              </w:rPr>
              <w:t>MoE</w:t>
            </w:r>
            <w:proofErr w:type="spellEnd"/>
            <w:r>
              <w:rPr>
                <w:rFonts w:eastAsia="Calibri" w:cs="Times New Roman"/>
              </w:rPr>
              <w:t xml:space="preserve"> with any vigour.</w:t>
            </w:r>
          </w:p>
        </w:tc>
      </w:tr>
    </w:tbl>
    <w:p w:rsidR="0095650B" w:rsidRDefault="0095650B" w:rsidP="0095650B">
      <w:pPr>
        <w:jc w:val="both"/>
      </w:pPr>
    </w:p>
    <w:p w:rsidR="0095650B" w:rsidRDefault="0095650B" w:rsidP="0095650B">
      <w:pPr>
        <w:jc w:val="both"/>
      </w:pPr>
      <w:r>
        <w:t>A recent assessment of Vanuatu’s PFM systems included an informal (and, as acknowledged, subjective) assessment by MFEM analysts of sector performance against the 2009 PEFA ratings for Vanuatu generally.</w:t>
      </w:r>
      <w:r>
        <w:rPr>
          <w:rStyle w:val="FootnoteReference"/>
        </w:rPr>
        <w:footnoteReference w:id="35"/>
      </w:r>
      <w:r>
        <w:t xml:space="preserve">   The resulting assessments for </w:t>
      </w:r>
      <w:proofErr w:type="spellStart"/>
      <w:r>
        <w:t>MoE</w:t>
      </w:r>
      <w:proofErr w:type="spellEnd"/>
      <w:r>
        <w:t xml:space="preserve"> were as follows insofar as they were applicable to and better or worse than the 2009 ratings for Vanuatu as a whole.</w:t>
      </w:r>
    </w:p>
    <w:p w:rsidR="0095650B" w:rsidRDefault="0095650B" w:rsidP="0095650B">
      <w:pPr>
        <w:jc w:val="both"/>
      </w:pPr>
    </w:p>
    <w:tbl>
      <w:tblPr>
        <w:tblStyle w:val="TableGrid"/>
        <w:tblW w:w="0" w:type="auto"/>
        <w:tblLook w:val="04A0" w:firstRow="1" w:lastRow="0" w:firstColumn="1" w:lastColumn="0" w:noHBand="0" w:noVBand="1"/>
        <w:tblCaption w:val="Table 21: Informal MFEM assessments of MoE performance against the 2009 PEFA ratings"/>
      </w:tblPr>
      <w:tblGrid>
        <w:gridCol w:w="534"/>
        <w:gridCol w:w="5846"/>
        <w:gridCol w:w="1595"/>
        <w:gridCol w:w="1595"/>
      </w:tblGrid>
      <w:tr w:rsidR="0095650B" w:rsidTr="00D339A4">
        <w:trPr>
          <w:tblHeader/>
        </w:trPr>
        <w:tc>
          <w:tcPr>
            <w:tcW w:w="9570" w:type="dxa"/>
            <w:gridSpan w:val="4"/>
            <w:shd w:val="clear" w:color="auto" w:fill="BFBFBF" w:themeFill="background1" w:themeFillShade="BF"/>
          </w:tcPr>
          <w:p w:rsidR="0095650B" w:rsidRDefault="0095650B" w:rsidP="00941EFE">
            <w:pPr>
              <w:jc w:val="both"/>
            </w:pPr>
            <w:r>
              <w:t xml:space="preserve">Table </w:t>
            </w:r>
            <w:r w:rsidR="00941EFE">
              <w:t>21</w:t>
            </w:r>
            <w:r>
              <w:t xml:space="preserve">: Informal MFEM assessments of </w:t>
            </w:r>
            <w:proofErr w:type="spellStart"/>
            <w:r>
              <w:t>MoE</w:t>
            </w:r>
            <w:proofErr w:type="spellEnd"/>
            <w:r>
              <w:t xml:space="preserve"> performance against the 2009 PEFA ratings</w:t>
            </w:r>
          </w:p>
        </w:tc>
      </w:tr>
      <w:tr w:rsidR="0095650B" w:rsidTr="00C05FAA">
        <w:tc>
          <w:tcPr>
            <w:tcW w:w="6380" w:type="dxa"/>
            <w:gridSpan w:val="2"/>
          </w:tcPr>
          <w:p w:rsidR="0095650B" w:rsidRDefault="0095650B" w:rsidP="00C05FAA">
            <w:pPr>
              <w:jc w:val="center"/>
            </w:pPr>
            <w:r>
              <w:t>Performance Indicator</w:t>
            </w:r>
          </w:p>
        </w:tc>
        <w:tc>
          <w:tcPr>
            <w:tcW w:w="1595" w:type="dxa"/>
          </w:tcPr>
          <w:p w:rsidR="0095650B" w:rsidRDefault="0095650B" w:rsidP="00C05FAA">
            <w:pPr>
              <w:jc w:val="center"/>
            </w:pPr>
            <w:r>
              <w:t>Vanuatu</w:t>
            </w:r>
          </w:p>
        </w:tc>
        <w:tc>
          <w:tcPr>
            <w:tcW w:w="1595" w:type="dxa"/>
          </w:tcPr>
          <w:p w:rsidR="0095650B" w:rsidRDefault="0095650B" w:rsidP="00C05FAA">
            <w:pPr>
              <w:jc w:val="center"/>
            </w:pPr>
            <w:r>
              <w:t>Education</w:t>
            </w:r>
          </w:p>
        </w:tc>
      </w:tr>
      <w:tr w:rsidR="0095650B" w:rsidTr="00C05FAA">
        <w:tc>
          <w:tcPr>
            <w:tcW w:w="534" w:type="dxa"/>
          </w:tcPr>
          <w:p w:rsidR="0095650B" w:rsidRDefault="003E368A" w:rsidP="00C05FAA">
            <w:r>
              <w:t xml:space="preserve">  </w:t>
            </w:r>
            <w:r w:rsidR="0095650B">
              <w:t>4.</w:t>
            </w:r>
          </w:p>
        </w:tc>
        <w:tc>
          <w:tcPr>
            <w:tcW w:w="5846" w:type="dxa"/>
          </w:tcPr>
          <w:p w:rsidR="0095650B" w:rsidRDefault="0095650B" w:rsidP="00C05FAA">
            <w:r w:rsidRPr="002D615D">
              <w:t>Stock and monitoring of expenditure payment arrears</w:t>
            </w:r>
          </w:p>
        </w:tc>
        <w:tc>
          <w:tcPr>
            <w:tcW w:w="1595" w:type="dxa"/>
          </w:tcPr>
          <w:p w:rsidR="0095650B" w:rsidRDefault="0095650B" w:rsidP="00C05FAA">
            <w:pPr>
              <w:jc w:val="center"/>
            </w:pPr>
            <w:r>
              <w:t>A</w:t>
            </w:r>
          </w:p>
        </w:tc>
        <w:tc>
          <w:tcPr>
            <w:tcW w:w="1595" w:type="dxa"/>
          </w:tcPr>
          <w:p w:rsidR="0095650B" w:rsidRDefault="0095650B" w:rsidP="00C05FAA">
            <w:pPr>
              <w:jc w:val="center"/>
            </w:pPr>
            <w:r>
              <w:t>Worse</w:t>
            </w:r>
          </w:p>
        </w:tc>
      </w:tr>
      <w:tr w:rsidR="0095650B" w:rsidTr="00C05FAA">
        <w:tc>
          <w:tcPr>
            <w:tcW w:w="534" w:type="dxa"/>
          </w:tcPr>
          <w:p w:rsidR="0095650B" w:rsidRDefault="003E368A" w:rsidP="00C05FAA">
            <w:r>
              <w:t xml:space="preserve">  </w:t>
            </w:r>
            <w:r w:rsidR="0095650B">
              <w:t>6.</w:t>
            </w:r>
          </w:p>
        </w:tc>
        <w:tc>
          <w:tcPr>
            <w:tcW w:w="5846" w:type="dxa"/>
          </w:tcPr>
          <w:p w:rsidR="0095650B" w:rsidRDefault="0095650B" w:rsidP="00C05FAA">
            <w:r w:rsidRPr="002D615D">
              <w:t>Comprehensiveness of information included in budget documentation</w:t>
            </w:r>
          </w:p>
        </w:tc>
        <w:tc>
          <w:tcPr>
            <w:tcW w:w="1595" w:type="dxa"/>
          </w:tcPr>
          <w:p w:rsidR="0095650B" w:rsidRDefault="0095650B" w:rsidP="00C05FAA">
            <w:pPr>
              <w:jc w:val="center"/>
            </w:pPr>
            <w:r>
              <w:t>B</w:t>
            </w:r>
          </w:p>
        </w:tc>
        <w:tc>
          <w:tcPr>
            <w:tcW w:w="1595" w:type="dxa"/>
          </w:tcPr>
          <w:p w:rsidR="0095650B" w:rsidRDefault="0095650B" w:rsidP="00C05FAA">
            <w:pPr>
              <w:jc w:val="center"/>
            </w:pPr>
            <w:r>
              <w:t>Worse</w:t>
            </w:r>
          </w:p>
        </w:tc>
      </w:tr>
      <w:tr w:rsidR="0095650B" w:rsidTr="00C05FAA">
        <w:tc>
          <w:tcPr>
            <w:tcW w:w="534" w:type="dxa"/>
          </w:tcPr>
          <w:p w:rsidR="0095650B" w:rsidRDefault="003E368A" w:rsidP="00C05FAA">
            <w:r>
              <w:t xml:space="preserve">  </w:t>
            </w:r>
            <w:r w:rsidR="0095650B">
              <w:t>7.</w:t>
            </w:r>
          </w:p>
        </w:tc>
        <w:tc>
          <w:tcPr>
            <w:tcW w:w="5846" w:type="dxa"/>
          </w:tcPr>
          <w:p w:rsidR="0095650B" w:rsidRDefault="0095650B" w:rsidP="00C05FAA">
            <w:r w:rsidRPr="002D615D">
              <w:t>Extent of unreported government operations</w:t>
            </w:r>
          </w:p>
        </w:tc>
        <w:tc>
          <w:tcPr>
            <w:tcW w:w="1595" w:type="dxa"/>
          </w:tcPr>
          <w:p w:rsidR="0095650B" w:rsidRDefault="0095650B" w:rsidP="00C05FAA">
            <w:pPr>
              <w:jc w:val="center"/>
            </w:pPr>
            <w:r>
              <w:t>C+</w:t>
            </w:r>
          </w:p>
        </w:tc>
        <w:tc>
          <w:tcPr>
            <w:tcW w:w="1595" w:type="dxa"/>
          </w:tcPr>
          <w:p w:rsidR="0095650B" w:rsidRDefault="0095650B" w:rsidP="00C05FAA">
            <w:pPr>
              <w:jc w:val="center"/>
            </w:pPr>
            <w:r>
              <w:t>Better</w:t>
            </w:r>
          </w:p>
        </w:tc>
      </w:tr>
      <w:tr w:rsidR="0095650B" w:rsidTr="00C05FAA">
        <w:tc>
          <w:tcPr>
            <w:tcW w:w="534" w:type="dxa"/>
          </w:tcPr>
          <w:p w:rsidR="0095650B" w:rsidRDefault="0095650B" w:rsidP="00C05FAA">
            <w:r>
              <w:t>16.</w:t>
            </w:r>
          </w:p>
        </w:tc>
        <w:tc>
          <w:tcPr>
            <w:tcW w:w="5846" w:type="dxa"/>
          </w:tcPr>
          <w:p w:rsidR="0095650B" w:rsidRDefault="0095650B" w:rsidP="00C05FAA">
            <w:r w:rsidRPr="002D615D">
              <w:t>Predictability in the availability of funds for commitment of expenditures</w:t>
            </w:r>
          </w:p>
        </w:tc>
        <w:tc>
          <w:tcPr>
            <w:tcW w:w="1595" w:type="dxa"/>
          </w:tcPr>
          <w:p w:rsidR="0095650B" w:rsidRDefault="0095650B" w:rsidP="00C05FAA">
            <w:pPr>
              <w:jc w:val="center"/>
            </w:pPr>
            <w:r>
              <w:t>A</w:t>
            </w:r>
          </w:p>
        </w:tc>
        <w:tc>
          <w:tcPr>
            <w:tcW w:w="1595" w:type="dxa"/>
          </w:tcPr>
          <w:p w:rsidR="0095650B" w:rsidRDefault="0095650B" w:rsidP="00C05FAA">
            <w:pPr>
              <w:jc w:val="center"/>
            </w:pPr>
            <w:r>
              <w:t>Worse</w:t>
            </w:r>
          </w:p>
        </w:tc>
      </w:tr>
      <w:tr w:rsidR="0095650B" w:rsidTr="00C05FAA">
        <w:tc>
          <w:tcPr>
            <w:tcW w:w="534" w:type="dxa"/>
          </w:tcPr>
          <w:p w:rsidR="0095650B" w:rsidRDefault="0095650B" w:rsidP="00C05FAA">
            <w:r>
              <w:t>18.</w:t>
            </w:r>
          </w:p>
        </w:tc>
        <w:tc>
          <w:tcPr>
            <w:tcW w:w="5846" w:type="dxa"/>
          </w:tcPr>
          <w:p w:rsidR="0095650B" w:rsidRDefault="0095650B" w:rsidP="00C05FAA">
            <w:r w:rsidRPr="002D615D">
              <w:t>Effectiveness of payroll controls</w:t>
            </w:r>
          </w:p>
        </w:tc>
        <w:tc>
          <w:tcPr>
            <w:tcW w:w="1595" w:type="dxa"/>
          </w:tcPr>
          <w:p w:rsidR="0095650B" w:rsidRDefault="0095650B" w:rsidP="00C05FAA">
            <w:pPr>
              <w:jc w:val="center"/>
            </w:pPr>
            <w:r>
              <w:t>C+</w:t>
            </w:r>
          </w:p>
        </w:tc>
        <w:tc>
          <w:tcPr>
            <w:tcW w:w="1595" w:type="dxa"/>
          </w:tcPr>
          <w:p w:rsidR="0095650B" w:rsidRDefault="0095650B" w:rsidP="00C05FAA">
            <w:pPr>
              <w:jc w:val="center"/>
            </w:pPr>
            <w:r>
              <w:t>Worse</w:t>
            </w:r>
          </w:p>
        </w:tc>
      </w:tr>
      <w:tr w:rsidR="0095650B" w:rsidTr="00C05FAA">
        <w:tc>
          <w:tcPr>
            <w:tcW w:w="534" w:type="dxa"/>
          </w:tcPr>
          <w:p w:rsidR="0095650B" w:rsidRDefault="0095650B" w:rsidP="00C05FAA">
            <w:r>
              <w:t>19.</w:t>
            </w:r>
          </w:p>
        </w:tc>
        <w:tc>
          <w:tcPr>
            <w:tcW w:w="5846" w:type="dxa"/>
          </w:tcPr>
          <w:p w:rsidR="0095650B" w:rsidRDefault="0095650B" w:rsidP="00C05FAA">
            <w:r w:rsidRPr="002D615D">
              <w:t>Competition, value for money and controls in procurement</w:t>
            </w:r>
          </w:p>
        </w:tc>
        <w:tc>
          <w:tcPr>
            <w:tcW w:w="1595" w:type="dxa"/>
          </w:tcPr>
          <w:p w:rsidR="0095650B" w:rsidRDefault="0095650B" w:rsidP="00C05FAA">
            <w:pPr>
              <w:jc w:val="center"/>
            </w:pPr>
            <w:r>
              <w:t>D+</w:t>
            </w:r>
          </w:p>
        </w:tc>
        <w:tc>
          <w:tcPr>
            <w:tcW w:w="1595" w:type="dxa"/>
          </w:tcPr>
          <w:p w:rsidR="0095650B" w:rsidRDefault="0095650B" w:rsidP="00C05FAA">
            <w:pPr>
              <w:jc w:val="center"/>
            </w:pPr>
            <w:r>
              <w:t>Better</w:t>
            </w:r>
          </w:p>
        </w:tc>
      </w:tr>
      <w:tr w:rsidR="0095650B" w:rsidTr="00C05FAA">
        <w:tc>
          <w:tcPr>
            <w:tcW w:w="534" w:type="dxa"/>
          </w:tcPr>
          <w:p w:rsidR="0095650B" w:rsidRDefault="0095650B" w:rsidP="00C05FAA">
            <w:r>
              <w:t>20.</w:t>
            </w:r>
          </w:p>
        </w:tc>
        <w:tc>
          <w:tcPr>
            <w:tcW w:w="5846" w:type="dxa"/>
          </w:tcPr>
          <w:p w:rsidR="0095650B" w:rsidRDefault="0095650B" w:rsidP="00C05FAA">
            <w:r w:rsidRPr="002D615D">
              <w:t>Effectiveness of internal controls for non-salary expenditure</w:t>
            </w:r>
          </w:p>
        </w:tc>
        <w:tc>
          <w:tcPr>
            <w:tcW w:w="1595" w:type="dxa"/>
          </w:tcPr>
          <w:p w:rsidR="0095650B" w:rsidRDefault="0095650B" w:rsidP="00C05FAA">
            <w:pPr>
              <w:jc w:val="center"/>
            </w:pPr>
            <w:r>
              <w:t>C+</w:t>
            </w:r>
          </w:p>
        </w:tc>
        <w:tc>
          <w:tcPr>
            <w:tcW w:w="1595" w:type="dxa"/>
          </w:tcPr>
          <w:p w:rsidR="0095650B" w:rsidRDefault="0095650B" w:rsidP="00C05FAA">
            <w:pPr>
              <w:jc w:val="center"/>
            </w:pPr>
            <w:r>
              <w:t>Better</w:t>
            </w:r>
          </w:p>
        </w:tc>
      </w:tr>
      <w:tr w:rsidR="0095650B" w:rsidTr="00C05FAA">
        <w:tc>
          <w:tcPr>
            <w:tcW w:w="534" w:type="dxa"/>
          </w:tcPr>
          <w:p w:rsidR="0095650B" w:rsidRDefault="0095650B" w:rsidP="00C05FAA">
            <w:r>
              <w:t>21.</w:t>
            </w:r>
          </w:p>
        </w:tc>
        <w:tc>
          <w:tcPr>
            <w:tcW w:w="5846" w:type="dxa"/>
          </w:tcPr>
          <w:p w:rsidR="0095650B" w:rsidRDefault="0095650B" w:rsidP="00C05FAA">
            <w:r w:rsidRPr="002D615D">
              <w:t>Effectiveness of internal audit</w:t>
            </w:r>
          </w:p>
        </w:tc>
        <w:tc>
          <w:tcPr>
            <w:tcW w:w="1595" w:type="dxa"/>
          </w:tcPr>
          <w:p w:rsidR="0095650B" w:rsidRDefault="0095650B" w:rsidP="00C05FAA">
            <w:pPr>
              <w:jc w:val="center"/>
            </w:pPr>
            <w:r>
              <w:t>C</w:t>
            </w:r>
          </w:p>
        </w:tc>
        <w:tc>
          <w:tcPr>
            <w:tcW w:w="1595" w:type="dxa"/>
          </w:tcPr>
          <w:p w:rsidR="0095650B" w:rsidRDefault="0095650B" w:rsidP="00C05FAA">
            <w:pPr>
              <w:jc w:val="center"/>
            </w:pPr>
            <w:r>
              <w:t>Better</w:t>
            </w:r>
          </w:p>
        </w:tc>
      </w:tr>
      <w:tr w:rsidR="0095650B" w:rsidTr="00C05FAA">
        <w:tc>
          <w:tcPr>
            <w:tcW w:w="534" w:type="dxa"/>
          </w:tcPr>
          <w:p w:rsidR="0095650B" w:rsidRDefault="0095650B" w:rsidP="00C05FAA">
            <w:r>
              <w:t>25.</w:t>
            </w:r>
          </w:p>
        </w:tc>
        <w:tc>
          <w:tcPr>
            <w:tcW w:w="5846" w:type="dxa"/>
          </w:tcPr>
          <w:p w:rsidR="0095650B" w:rsidRDefault="0095650B" w:rsidP="00C05FAA">
            <w:r w:rsidRPr="002D615D">
              <w:t>Quality and timeliness of annual financial statements</w:t>
            </w:r>
          </w:p>
        </w:tc>
        <w:tc>
          <w:tcPr>
            <w:tcW w:w="1595" w:type="dxa"/>
          </w:tcPr>
          <w:p w:rsidR="0095650B" w:rsidRDefault="0095650B" w:rsidP="00C05FAA">
            <w:pPr>
              <w:jc w:val="center"/>
            </w:pPr>
            <w:r>
              <w:t>A</w:t>
            </w:r>
          </w:p>
        </w:tc>
        <w:tc>
          <w:tcPr>
            <w:tcW w:w="1595" w:type="dxa"/>
          </w:tcPr>
          <w:p w:rsidR="0095650B" w:rsidRDefault="0095650B" w:rsidP="00C05FAA">
            <w:pPr>
              <w:jc w:val="center"/>
            </w:pPr>
            <w:r>
              <w:t>Worse</w:t>
            </w:r>
          </w:p>
        </w:tc>
      </w:tr>
      <w:tr w:rsidR="0095650B" w:rsidTr="00C05FAA">
        <w:tc>
          <w:tcPr>
            <w:tcW w:w="9570" w:type="dxa"/>
            <w:gridSpan w:val="4"/>
          </w:tcPr>
          <w:p w:rsidR="0095650B" w:rsidRDefault="0095650B" w:rsidP="00C05FAA">
            <w:r>
              <w:t>Note:  PEFA ratings are on a scale from A (good) to D (poor).</w:t>
            </w:r>
          </w:p>
        </w:tc>
      </w:tr>
    </w:tbl>
    <w:p w:rsidR="0095650B" w:rsidRDefault="0095650B" w:rsidP="0095650B">
      <w:pPr>
        <w:jc w:val="both"/>
      </w:pPr>
    </w:p>
    <w:p w:rsidR="0095650B" w:rsidRDefault="0095650B" w:rsidP="0095650B">
      <w:pPr>
        <w:jc w:val="both"/>
      </w:pPr>
      <w:r>
        <w:t>A further point is noted in relation to financial reporting.  The VIT and VITE Acts (both of 2001) contain identical provisions at their Section 27 in relation to financial reporting and auditing, namely that each institution must:</w:t>
      </w:r>
    </w:p>
    <w:p w:rsidR="0095650B" w:rsidRDefault="0095650B" w:rsidP="0095650B">
      <w:pPr>
        <w:jc w:val="both"/>
      </w:pPr>
    </w:p>
    <w:p w:rsidR="0095650B" w:rsidRDefault="0095650B" w:rsidP="00D34AA0">
      <w:pPr>
        <w:pStyle w:val="ListParagraph"/>
        <w:numPr>
          <w:ilvl w:val="0"/>
          <w:numId w:val="42"/>
        </w:numPr>
        <w:jc w:val="both"/>
      </w:pPr>
      <w:r>
        <w:t>prepare an annual statement of accounts for each year;</w:t>
      </w:r>
    </w:p>
    <w:p w:rsidR="0095650B" w:rsidRDefault="0095650B" w:rsidP="00D34AA0">
      <w:pPr>
        <w:pStyle w:val="ListParagraph"/>
        <w:numPr>
          <w:ilvl w:val="0"/>
          <w:numId w:val="42"/>
        </w:numPr>
        <w:jc w:val="both"/>
      </w:pPr>
      <w:proofErr w:type="gramStart"/>
      <w:r>
        <w:t>to</w:t>
      </w:r>
      <w:proofErr w:type="gramEnd"/>
      <w:r>
        <w:t xml:space="preserve"> be audited by the Auditor General (or persons nominated by the AG) within three months of the end of that financial year.</w:t>
      </w:r>
    </w:p>
    <w:p w:rsidR="0095650B" w:rsidRDefault="0095650B" w:rsidP="0095650B">
      <w:pPr>
        <w:jc w:val="both"/>
      </w:pPr>
    </w:p>
    <w:p w:rsidR="0095650B" w:rsidRDefault="0095650B" w:rsidP="0095650B">
      <w:pPr>
        <w:jc w:val="both"/>
      </w:pPr>
      <w:r>
        <w:t>It appears that both institutions (alongside probably many others) have been consistently in breach of these legislated requirements.</w:t>
      </w:r>
    </w:p>
    <w:p w:rsidR="000F1953" w:rsidRDefault="000F1953" w:rsidP="0095650B">
      <w:pPr>
        <w:jc w:val="both"/>
        <w:rPr>
          <w:u w:val="single"/>
        </w:rPr>
      </w:pPr>
    </w:p>
    <w:p w:rsidR="0095650B" w:rsidRDefault="0095650B" w:rsidP="0095650B">
      <w:pPr>
        <w:jc w:val="both"/>
      </w:pPr>
      <w:r w:rsidRPr="008365A0">
        <w:rPr>
          <w:u w:val="single"/>
        </w:rPr>
        <w:t>Summary</w:t>
      </w:r>
    </w:p>
    <w:p w:rsidR="0095650B" w:rsidRDefault="0095650B" w:rsidP="0095650B">
      <w:pPr>
        <w:jc w:val="both"/>
      </w:pPr>
    </w:p>
    <w:p w:rsidR="0095650B" w:rsidRDefault="0095650B" w:rsidP="0095650B">
      <w:pPr>
        <w:jc w:val="both"/>
      </w:pPr>
      <w:r>
        <w:t>The World Bank’s Comparative Study of 2005 suggested that:</w:t>
      </w:r>
    </w:p>
    <w:p w:rsidR="0095650B" w:rsidRDefault="0095650B" w:rsidP="0095650B">
      <w:pPr>
        <w:jc w:val="both"/>
      </w:pPr>
    </w:p>
    <w:p w:rsidR="0095650B" w:rsidRDefault="0095650B" w:rsidP="0095650B">
      <w:pPr>
        <w:ind w:left="720"/>
        <w:jc w:val="both"/>
      </w:pPr>
      <w:r>
        <w:t>“</w:t>
      </w:r>
      <w:r w:rsidRPr="00971687">
        <w:t>With its lack of a clear, prioritized strategy, limited resources and scarce implementation capacity, Vanuatu is trying to do too much</w:t>
      </w:r>
      <w:r>
        <w:t xml:space="preserve"> ... </w:t>
      </w:r>
      <w:r w:rsidRPr="00971687">
        <w:t>productivity in education is essentially stagnant</w:t>
      </w:r>
      <w:r>
        <w:t xml:space="preserve"> ... </w:t>
      </w:r>
      <w:r>
        <w:rPr>
          <w:rFonts w:eastAsia="Calibri" w:cs="Times New Roman"/>
        </w:rPr>
        <w:t xml:space="preserve">Even when allowance is made for success in enrolling the larger numbers of students </w:t>
      </w:r>
      <w:r w:rsidRPr="00971687">
        <w:t>because of population growth, it is difficult to avoid the conclusion that more effective management of resources and inputs could raise productivity.</w:t>
      </w:r>
      <w:r>
        <w:t>”</w:t>
      </w:r>
      <w:r>
        <w:rPr>
          <w:rStyle w:val="FootnoteReference"/>
        </w:rPr>
        <w:footnoteReference w:id="36"/>
      </w:r>
      <w:r w:rsidRPr="00971687">
        <w:t xml:space="preserve"> </w:t>
      </w:r>
    </w:p>
    <w:p w:rsidR="0095650B" w:rsidRDefault="0095650B" w:rsidP="0095650B">
      <w:pPr>
        <w:ind w:left="720"/>
        <w:jc w:val="both"/>
      </w:pPr>
    </w:p>
    <w:p w:rsidR="0095650B" w:rsidRPr="00971687" w:rsidRDefault="00230DA9" w:rsidP="0095650B">
      <w:pPr>
        <w:jc w:val="both"/>
      </w:pPr>
      <w:r>
        <w:t xml:space="preserve">The present review concludes </w:t>
      </w:r>
      <w:r w:rsidR="0095650B">
        <w:t>that this remains the case today.</w:t>
      </w:r>
      <w:r w:rsidR="0095650B" w:rsidRPr="00971687">
        <w:t xml:space="preserve"> </w:t>
      </w:r>
    </w:p>
    <w:p w:rsidR="0095650B" w:rsidRDefault="0095650B" w:rsidP="00160C19">
      <w:pPr>
        <w:pStyle w:val="Heading2"/>
      </w:pPr>
      <w:bookmarkStart w:id="125" w:name="_Toc341210795"/>
      <w:bookmarkStart w:id="126" w:name="_Toc341210915"/>
      <w:bookmarkStart w:id="127" w:name="_Toc341265733"/>
      <w:bookmarkStart w:id="128" w:name="_Toc343257295"/>
      <w:bookmarkStart w:id="129" w:name="_Toc343257409"/>
      <w:bookmarkStart w:id="130" w:name="_Toc348711330"/>
      <w:r w:rsidRPr="002F2E17">
        <w:t>2.2.3 Does budgeted expenditure reach the intended beneficiaries?</w:t>
      </w:r>
      <w:bookmarkEnd w:id="125"/>
      <w:bookmarkEnd w:id="126"/>
      <w:bookmarkEnd w:id="127"/>
      <w:bookmarkEnd w:id="128"/>
      <w:bookmarkEnd w:id="129"/>
      <w:bookmarkEnd w:id="130"/>
    </w:p>
    <w:p w:rsidR="0095650B" w:rsidRDefault="0095650B" w:rsidP="0095650B">
      <w:pPr>
        <w:jc w:val="both"/>
      </w:pPr>
    </w:p>
    <w:p w:rsidR="005C7441" w:rsidRDefault="0095650B" w:rsidP="0095650B">
      <w:pPr>
        <w:jc w:val="both"/>
      </w:pPr>
      <w:r>
        <w:t xml:space="preserve">Some 80% of </w:t>
      </w:r>
      <w:proofErr w:type="spellStart"/>
      <w:r>
        <w:t>MoE’s</w:t>
      </w:r>
      <w:proofErr w:type="spellEnd"/>
      <w:r>
        <w:t xml:space="preserve"> budgeted expenditure in 2012 was for personal emoluments while 82% of that 80% was for primary and secondary teacher emoluments.  Following a major ‘cleansing’ of the teacher payroll in 2009 it appears that the great majority, if not all, teachers and other </w:t>
      </w:r>
      <w:proofErr w:type="spellStart"/>
      <w:r>
        <w:t>MoE</w:t>
      </w:r>
      <w:proofErr w:type="spellEnd"/>
      <w:r>
        <w:t xml:space="preserve"> employees being paid are entitled to be paid.</w:t>
      </w:r>
      <w:r>
        <w:rPr>
          <w:rStyle w:val="FootnoteReference"/>
        </w:rPr>
        <w:footnoteReference w:id="37"/>
      </w:r>
    </w:p>
    <w:p w:rsidR="005C7441" w:rsidRDefault="005C7441" w:rsidP="0095650B">
      <w:pPr>
        <w:jc w:val="both"/>
      </w:pPr>
    </w:p>
    <w:p w:rsidR="005C7441" w:rsidRDefault="005C7441" w:rsidP="005C7441">
      <w:pPr>
        <w:jc w:val="both"/>
      </w:pPr>
      <w:r>
        <w:t xml:space="preserve">Payment of school grants amounted to approximately 27% of </w:t>
      </w:r>
      <w:proofErr w:type="spellStart"/>
      <w:r>
        <w:t>MoE’s</w:t>
      </w:r>
      <w:proofErr w:type="spellEnd"/>
      <w:r>
        <w:t xml:space="preserve"> non-salary recurrent expenditure in 2011.  The rationalisation of school bank accounts and accompanying revised arrangements in 2010 for payment of school grants direct to schools have markedly strengthened the likelihood that this component of </w:t>
      </w:r>
      <w:proofErr w:type="spellStart"/>
      <w:r>
        <w:t>MoE’s</w:t>
      </w:r>
      <w:proofErr w:type="spellEnd"/>
      <w:r>
        <w:t xml:space="preserve"> non-salary recurrent spending reaches its intended beneficiaries (i.e. schools).</w:t>
      </w:r>
    </w:p>
    <w:p w:rsidR="005C7441" w:rsidRDefault="005C7441" w:rsidP="0095650B">
      <w:pPr>
        <w:jc w:val="both"/>
      </w:pPr>
    </w:p>
    <w:p w:rsidR="0095650B" w:rsidRDefault="0095650B" w:rsidP="0095650B">
      <w:pPr>
        <w:jc w:val="both"/>
      </w:pPr>
      <w:r>
        <w:t xml:space="preserve">Thus it can be said that the greater part of </w:t>
      </w:r>
      <w:proofErr w:type="spellStart"/>
      <w:r>
        <w:t>MoE’s</w:t>
      </w:r>
      <w:proofErr w:type="spellEnd"/>
      <w:r>
        <w:t xml:space="preserve"> budgeted expenditure reaches its intended beneficiaries</w:t>
      </w:r>
      <w:r w:rsidR="005C7441">
        <w:t>, at least down to the school level</w:t>
      </w:r>
      <w:r>
        <w:t>.</w:t>
      </w:r>
    </w:p>
    <w:p w:rsidR="0095650B" w:rsidRDefault="0095650B" w:rsidP="0095650B">
      <w:pPr>
        <w:jc w:val="both"/>
      </w:pPr>
    </w:p>
    <w:p w:rsidR="00FE3762" w:rsidRDefault="0095650B" w:rsidP="0095650B">
      <w:pPr>
        <w:jc w:val="both"/>
      </w:pPr>
      <w:r>
        <w:t>For the remain</w:t>
      </w:r>
      <w:r w:rsidR="005C7441">
        <w:t xml:space="preserve">der of </w:t>
      </w:r>
      <w:proofErr w:type="spellStart"/>
      <w:r w:rsidR="005C7441">
        <w:t>MoE</w:t>
      </w:r>
      <w:proofErr w:type="spellEnd"/>
      <w:r w:rsidR="005C7441">
        <w:t xml:space="preserve"> expenditure </w:t>
      </w:r>
      <w:r>
        <w:t xml:space="preserve">this is far more problematic.  </w:t>
      </w:r>
      <w:r w:rsidR="005C7441">
        <w:t xml:space="preserve">First, data on original budgets and actual expenditures at </w:t>
      </w:r>
      <w:proofErr w:type="spellStart"/>
      <w:r w:rsidR="005C7441">
        <w:t>MoE</w:t>
      </w:r>
      <w:proofErr w:type="spellEnd"/>
      <w:r w:rsidR="005C7441">
        <w:t xml:space="preserve"> cost centre level </w:t>
      </w:r>
      <w:r w:rsidR="00FE3762">
        <w:t xml:space="preserve">indicate that in 2011 some one-third of </w:t>
      </w:r>
      <w:proofErr w:type="spellStart"/>
      <w:r w:rsidR="00FE3762">
        <w:t>MoE’s</w:t>
      </w:r>
      <w:proofErr w:type="spellEnd"/>
      <w:r w:rsidR="00FE3762">
        <w:t xml:space="preserve"> 58 cost centres in that year recorded divergences of 10% or more between their original budgets and actual expenditures.  By definition, to the extent that budgeted expenditure is not spent by the cost centres concerned it does not reach its intended beneficiaries.</w:t>
      </w:r>
    </w:p>
    <w:p w:rsidR="00FE3762" w:rsidRDefault="00FE3762" w:rsidP="0095650B">
      <w:pPr>
        <w:jc w:val="both"/>
      </w:pPr>
    </w:p>
    <w:p w:rsidR="0095650B" w:rsidRDefault="00FE3762" w:rsidP="0095650B">
      <w:pPr>
        <w:jc w:val="both"/>
      </w:pPr>
      <w:r>
        <w:t xml:space="preserve">Second, </w:t>
      </w:r>
      <w:r w:rsidR="0095650B">
        <w:t>several instances have come to light of unbudgeted expenditure.  These include (in 2012):</w:t>
      </w:r>
    </w:p>
    <w:p w:rsidR="0095650B" w:rsidRDefault="0095650B" w:rsidP="0095650B">
      <w:pPr>
        <w:jc w:val="both"/>
      </w:pPr>
    </w:p>
    <w:p w:rsidR="0095650B" w:rsidRDefault="0095650B" w:rsidP="00D34AA0">
      <w:pPr>
        <w:pStyle w:val="ListParagraph"/>
        <w:numPr>
          <w:ilvl w:val="0"/>
          <w:numId w:val="35"/>
        </w:numPr>
        <w:jc w:val="both"/>
      </w:pPr>
      <w:r>
        <w:t>Post-Budget recruitment of additional teachers.</w:t>
      </w:r>
    </w:p>
    <w:p w:rsidR="0095650B" w:rsidRDefault="0095650B" w:rsidP="00D34AA0">
      <w:pPr>
        <w:pStyle w:val="ListParagraph"/>
        <w:numPr>
          <w:ilvl w:val="0"/>
          <w:numId w:val="35"/>
        </w:numPr>
        <w:jc w:val="both"/>
      </w:pPr>
      <w:r>
        <w:t>Post-Budget awards of additional scholarships.</w:t>
      </w:r>
    </w:p>
    <w:p w:rsidR="0095650B" w:rsidRDefault="0095650B" w:rsidP="00D34AA0">
      <w:pPr>
        <w:pStyle w:val="ListParagraph"/>
        <w:numPr>
          <w:ilvl w:val="0"/>
          <w:numId w:val="35"/>
        </w:numPr>
        <w:jc w:val="both"/>
      </w:pPr>
      <w:r>
        <w:t xml:space="preserve">Payment of VT10 million to custom owners of the land occupied by </w:t>
      </w:r>
      <w:proofErr w:type="spellStart"/>
      <w:r>
        <w:t>Matevulu</w:t>
      </w:r>
      <w:proofErr w:type="spellEnd"/>
      <w:r>
        <w:t xml:space="preserve"> College following their threat to close-down the College.</w:t>
      </w:r>
    </w:p>
    <w:p w:rsidR="0095650B" w:rsidRDefault="0095650B" w:rsidP="00D34AA0">
      <w:pPr>
        <w:pStyle w:val="ListParagraph"/>
        <w:numPr>
          <w:ilvl w:val="0"/>
          <w:numId w:val="35"/>
        </w:numPr>
        <w:jc w:val="both"/>
      </w:pPr>
      <w:r>
        <w:t xml:space="preserve">Payment of VT17 million to settle a claim by the (defunct since 2005) supplier </w:t>
      </w:r>
      <w:proofErr w:type="spellStart"/>
      <w:r>
        <w:t>Snoopy’s</w:t>
      </w:r>
      <w:proofErr w:type="spellEnd"/>
      <w:r>
        <w:t xml:space="preserve"> Stationary, despite Supreme Court rulings in 2009 striking out the claim.</w:t>
      </w:r>
    </w:p>
    <w:p w:rsidR="0095650B" w:rsidRDefault="0095650B" w:rsidP="00D34AA0">
      <w:pPr>
        <w:pStyle w:val="ListParagraph"/>
        <w:numPr>
          <w:ilvl w:val="0"/>
          <w:numId w:val="35"/>
        </w:numPr>
        <w:jc w:val="both"/>
      </w:pPr>
      <w:r>
        <w:t xml:space="preserve">VT4 million to host the 2012 Education Ministers meeting in Vanuatu. </w:t>
      </w:r>
    </w:p>
    <w:p w:rsidR="0095650B" w:rsidRDefault="0095650B" w:rsidP="0095650B">
      <w:pPr>
        <w:jc w:val="both"/>
      </w:pPr>
    </w:p>
    <w:p w:rsidR="0095650B" w:rsidRDefault="0095650B" w:rsidP="0095650B">
      <w:pPr>
        <w:jc w:val="both"/>
        <w:rPr>
          <w:iCs/>
          <w:lang w:bidi="en-US"/>
        </w:rPr>
      </w:pPr>
      <w:r>
        <w:t xml:space="preserve">MFEM analysis of </w:t>
      </w:r>
      <w:proofErr w:type="spellStart"/>
      <w:r>
        <w:t>MoE</w:t>
      </w:r>
      <w:proofErr w:type="spellEnd"/>
      <w:r>
        <w:t xml:space="preserve"> expenditure also records substantial </w:t>
      </w:r>
      <w:proofErr w:type="spellStart"/>
      <w:r>
        <w:t>virements</w:t>
      </w:r>
      <w:proofErr w:type="spellEnd"/>
      <w:r>
        <w:t xml:space="preserve"> and transfers between </w:t>
      </w:r>
      <w:proofErr w:type="spellStart"/>
      <w:r>
        <w:t>MoE</w:t>
      </w:r>
      <w:proofErr w:type="spellEnd"/>
      <w:r>
        <w:t xml:space="preserve"> accounts, noting that “</w:t>
      </w:r>
      <w:proofErr w:type="spellStart"/>
      <w:r w:rsidRPr="0013378D">
        <w:rPr>
          <w:iCs/>
          <w:lang w:bidi="en-US"/>
        </w:rPr>
        <w:t>Virement</w:t>
      </w:r>
      <w:r>
        <w:rPr>
          <w:iCs/>
          <w:lang w:bidi="en-US"/>
        </w:rPr>
        <w:t>s</w:t>
      </w:r>
      <w:proofErr w:type="spellEnd"/>
      <w:r w:rsidRPr="0013378D">
        <w:rPr>
          <w:iCs/>
          <w:lang w:bidi="en-US"/>
        </w:rPr>
        <w:t xml:space="preserve"> and Transfers over the first 5 months of this year</w:t>
      </w:r>
      <w:r>
        <w:rPr>
          <w:iCs/>
          <w:lang w:bidi="en-US"/>
        </w:rPr>
        <w:t xml:space="preserve"> [2012]</w:t>
      </w:r>
      <w:r w:rsidRPr="0013378D">
        <w:rPr>
          <w:iCs/>
          <w:lang w:bidi="en-US"/>
        </w:rPr>
        <w:t xml:space="preserve"> already total</w:t>
      </w:r>
      <w:r>
        <w:rPr>
          <w:iCs/>
          <w:lang w:bidi="en-US"/>
        </w:rPr>
        <w:t>l</w:t>
      </w:r>
      <w:r w:rsidRPr="0013378D">
        <w:rPr>
          <w:iCs/>
          <w:lang w:bidi="en-US"/>
        </w:rPr>
        <w:t xml:space="preserve">ed up to VT227 million. Much of these </w:t>
      </w:r>
      <w:proofErr w:type="spellStart"/>
      <w:r w:rsidRPr="0013378D">
        <w:rPr>
          <w:iCs/>
          <w:lang w:bidi="en-US"/>
        </w:rPr>
        <w:t>virements</w:t>
      </w:r>
      <w:proofErr w:type="spellEnd"/>
      <w:r w:rsidRPr="0013378D">
        <w:rPr>
          <w:iCs/>
          <w:lang w:bidi="en-US"/>
        </w:rPr>
        <w:t xml:space="preserve"> are to make available funds for the shortfall in the Scholarship budget for 2012.</w:t>
      </w:r>
      <w:r>
        <w:rPr>
          <w:iCs/>
          <w:lang w:bidi="en-US"/>
        </w:rPr>
        <w:t>”</w:t>
      </w:r>
      <w:r>
        <w:rPr>
          <w:rStyle w:val="FootnoteReference"/>
          <w:iCs/>
          <w:lang w:bidi="en-US"/>
        </w:rPr>
        <w:footnoteReference w:id="38"/>
      </w:r>
    </w:p>
    <w:p w:rsidR="0095650B" w:rsidRDefault="0095650B" w:rsidP="0095650B">
      <w:pPr>
        <w:jc w:val="both"/>
        <w:rPr>
          <w:iCs/>
          <w:lang w:bidi="en-US"/>
        </w:rPr>
      </w:pPr>
    </w:p>
    <w:p w:rsidR="0095650B" w:rsidRDefault="0095650B" w:rsidP="0095650B">
      <w:pPr>
        <w:jc w:val="both"/>
        <w:rPr>
          <w:iCs/>
          <w:lang w:bidi="en-US"/>
        </w:rPr>
      </w:pPr>
      <w:r>
        <w:rPr>
          <w:iCs/>
          <w:lang w:bidi="en-US"/>
        </w:rPr>
        <w:t xml:space="preserve">Assessment of the extent to which this is occurring is complicated by a disturbing feature of </w:t>
      </w:r>
      <w:proofErr w:type="spellStart"/>
      <w:r>
        <w:rPr>
          <w:iCs/>
          <w:lang w:bidi="en-US"/>
        </w:rPr>
        <w:t>MoE’s</w:t>
      </w:r>
      <w:proofErr w:type="spellEnd"/>
      <w:r>
        <w:rPr>
          <w:iCs/>
          <w:lang w:bidi="en-US"/>
        </w:rPr>
        <w:t xml:space="preserve"> internal financial management practices, namely that formal </w:t>
      </w:r>
      <w:proofErr w:type="spellStart"/>
      <w:r>
        <w:rPr>
          <w:iCs/>
          <w:lang w:bidi="en-US"/>
        </w:rPr>
        <w:t>virements</w:t>
      </w:r>
      <w:proofErr w:type="spellEnd"/>
      <w:r>
        <w:rPr>
          <w:iCs/>
          <w:lang w:bidi="en-US"/>
        </w:rPr>
        <w:t xml:space="preserve"> between accounts are not necessarily undertaken.</w:t>
      </w:r>
    </w:p>
    <w:p w:rsidR="0095650B" w:rsidRDefault="0095650B" w:rsidP="0095650B">
      <w:pPr>
        <w:jc w:val="both"/>
        <w:rPr>
          <w:iCs/>
          <w:lang w:bidi="en-US"/>
        </w:rPr>
      </w:pPr>
    </w:p>
    <w:p w:rsidR="0095650B" w:rsidRDefault="0095650B" w:rsidP="0095650B">
      <w:pPr>
        <w:jc w:val="both"/>
        <w:rPr>
          <w:iCs/>
          <w:lang w:bidi="en-US"/>
        </w:rPr>
      </w:pPr>
      <w:r>
        <w:rPr>
          <w:iCs/>
          <w:lang w:bidi="en-US"/>
        </w:rPr>
        <w:t xml:space="preserve">The most recent major example of this has been, in 2012, the charging to </w:t>
      </w:r>
      <w:proofErr w:type="spellStart"/>
      <w:r>
        <w:rPr>
          <w:iCs/>
          <w:lang w:bidi="en-US"/>
        </w:rPr>
        <w:t>MoE’s</w:t>
      </w:r>
      <w:proofErr w:type="spellEnd"/>
      <w:r>
        <w:rPr>
          <w:iCs/>
          <w:lang w:bidi="en-US"/>
        </w:rPr>
        <w:t xml:space="preserve"> account for primary school grants of unbudgeted expenditures unrelated to school grants (including the unbudgeted VT10 million </w:t>
      </w:r>
      <w:proofErr w:type="gramStart"/>
      <w:r>
        <w:rPr>
          <w:iCs/>
          <w:lang w:bidi="en-US"/>
        </w:rPr>
        <w:t>payment</w:t>
      </w:r>
      <w:proofErr w:type="gramEnd"/>
      <w:r>
        <w:rPr>
          <w:iCs/>
          <w:lang w:bidi="en-US"/>
        </w:rPr>
        <w:t xml:space="preserve"> to custom owners of the </w:t>
      </w:r>
      <w:proofErr w:type="spellStart"/>
      <w:r>
        <w:rPr>
          <w:iCs/>
          <w:lang w:bidi="en-US"/>
        </w:rPr>
        <w:t>Matevulu</w:t>
      </w:r>
      <w:proofErr w:type="spellEnd"/>
      <w:r>
        <w:rPr>
          <w:iCs/>
          <w:lang w:bidi="en-US"/>
        </w:rPr>
        <w:t xml:space="preserve"> College land noted above).  As a result, MFEM data on </w:t>
      </w:r>
      <w:proofErr w:type="spellStart"/>
      <w:r>
        <w:rPr>
          <w:iCs/>
          <w:lang w:bidi="en-US"/>
        </w:rPr>
        <w:t>GoV</w:t>
      </w:r>
      <w:proofErr w:type="spellEnd"/>
      <w:r>
        <w:rPr>
          <w:iCs/>
          <w:lang w:bidi="en-US"/>
        </w:rPr>
        <w:t xml:space="preserve">-funded expenditure on primary school grants derived </w:t>
      </w:r>
      <w:r>
        <w:rPr>
          <w:iCs/>
          <w:lang w:bidi="en-US"/>
        </w:rPr>
        <w:lastRenderedPageBreak/>
        <w:t xml:space="preserve">from </w:t>
      </w:r>
      <w:proofErr w:type="spellStart"/>
      <w:r>
        <w:rPr>
          <w:iCs/>
          <w:lang w:bidi="en-US"/>
        </w:rPr>
        <w:t>Smartsteam</w:t>
      </w:r>
      <w:proofErr w:type="spellEnd"/>
      <w:r>
        <w:rPr>
          <w:iCs/>
          <w:lang w:bidi="en-US"/>
        </w:rPr>
        <w:t xml:space="preserve"> recorded (Account Code 54EN) as at October 2012 full expenditure of the budgeted amount for </w:t>
      </w:r>
      <w:proofErr w:type="spellStart"/>
      <w:r>
        <w:rPr>
          <w:iCs/>
          <w:lang w:bidi="en-US"/>
        </w:rPr>
        <w:t>GoV</w:t>
      </w:r>
      <w:proofErr w:type="spellEnd"/>
      <w:r>
        <w:rPr>
          <w:iCs/>
          <w:lang w:bidi="en-US"/>
        </w:rPr>
        <w:t xml:space="preserve">-funded primary school grants (VT164.2 million).  However, analysis by </w:t>
      </w:r>
      <w:proofErr w:type="spellStart"/>
      <w:r>
        <w:rPr>
          <w:iCs/>
          <w:lang w:bidi="en-US"/>
        </w:rPr>
        <w:t>MoE</w:t>
      </w:r>
      <w:proofErr w:type="spellEnd"/>
      <w:r>
        <w:rPr>
          <w:iCs/>
          <w:lang w:bidi="en-US"/>
        </w:rPr>
        <w:t xml:space="preserve"> of the Local Purchase Orders charged to Code 54EN indicated expenditure on these grants of only VT105.6 million, the balance having been spent </w:t>
      </w:r>
      <w:r w:rsidR="00FE3762">
        <w:rPr>
          <w:iCs/>
          <w:lang w:bidi="en-US"/>
        </w:rPr>
        <w:t xml:space="preserve">for </w:t>
      </w:r>
      <w:r>
        <w:rPr>
          <w:iCs/>
          <w:lang w:bidi="en-US"/>
        </w:rPr>
        <w:t xml:space="preserve">other purposes. </w:t>
      </w:r>
    </w:p>
    <w:p w:rsidR="0095650B" w:rsidRDefault="0095650B" w:rsidP="0095650B">
      <w:pPr>
        <w:jc w:val="both"/>
        <w:rPr>
          <w:iCs/>
          <w:lang w:bidi="en-US"/>
        </w:rPr>
      </w:pPr>
    </w:p>
    <w:p w:rsidR="00695673" w:rsidRDefault="0095650B" w:rsidP="0095650B">
      <w:pPr>
        <w:jc w:val="both"/>
        <w:rPr>
          <w:iCs/>
          <w:lang w:bidi="en-US"/>
        </w:rPr>
      </w:pPr>
      <w:r>
        <w:rPr>
          <w:iCs/>
          <w:lang w:bidi="en-US"/>
        </w:rPr>
        <w:t xml:space="preserve">The extent to which unbudgeted expenditures are being charged to whichever accounts have unexpended budget balances, rather than to accounts to which funds have been formally </w:t>
      </w:r>
      <w:proofErr w:type="spellStart"/>
      <w:r>
        <w:rPr>
          <w:iCs/>
          <w:lang w:bidi="en-US"/>
        </w:rPr>
        <w:t>vired</w:t>
      </w:r>
      <w:proofErr w:type="spellEnd"/>
      <w:r>
        <w:rPr>
          <w:iCs/>
          <w:lang w:bidi="en-US"/>
        </w:rPr>
        <w:t>, cannot be quantified without detailed examination of individual Local Purchase Orders.  This lies well outside the scope of the present review.  However, such an exercise is needed to better address the question ‘does budgeted expenditure reach the intended beneficiaries’ (see Section 3: Findings and Recommendations).</w:t>
      </w:r>
    </w:p>
    <w:p w:rsidR="00BA1D08" w:rsidRPr="00413D58" w:rsidRDefault="00BA1D08" w:rsidP="00160C19">
      <w:pPr>
        <w:pStyle w:val="Heading2"/>
      </w:pPr>
      <w:bookmarkStart w:id="131" w:name="_Toc341210796"/>
      <w:bookmarkStart w:id="132" w:name="_Toc341210916"/>
      <w:bookmarkStart w:id="133" w:name="_Toc341265734"/>
      <w:bookmarkStart w:id="134" w:name="_Toc343257296"/>
      <w:bookmarkStart w:id="135" w:name="_Toc343257410"/>
      <w:bookmarkStart w:id="136" w:name="_Toc348711331"/>
      <w:r w:rsidRPr="00413D58">
        <w:t>2.3: Equity of public expenditure on education</w:t>
      </w:r>
      <w:bookmarkEnd w:id="131"/>
      <w:bookmarkEnd w:id="132"/>
      <w:bookmarkEnd w:id="133"/>
      <w:bookmarkEnd w:id="134"/>
      <w:bookmarkEnd w:id="135"/>
      <w:bookmarkEnd w:id="136"/>
    </w:p>
    <w:p w:rsidR="00BA1D08" w:rsidRPr="00413D58" w:rsidRDefault="00BA1D08" w:rsidP="00BA1D08"/>
    <w:p w:rsidR="00BA1D08" w:rsidRPr="00413D58" w:rsidRDefault="00BA1D08" w:rsidP="00BA1D08">
      <w:pPr>
        <w:jc w:val="both"/>
      </w:pPr>
      <w:r w:rsidRPr="00413D58">
        <w:t>This Section addresses the question ‘who benefits from public expenditure on education in Vanuatu’?  It is addressed from the perspective of the six Provinces, urban and rural areas, gender and income levels with overall conclusions then summarised.</w:t>
      </w:r>
    </w:p>
    <w:p w:rsidR="00BA1D08" w:rsidRPr="00413D58" w:rsidRDefault="00BA1D08" w:rsidP="00160C19">
      <w:pPr>
        <w:pStyle w:val="Heading2"/>
      </w:pPr>
      <w:bookmarkStart w:id="137" w:name="_Toc341210797"/>
      <w:bookmarkStart w:id="138" w:name="_Toc341210917"/>
      <w:bookmarkStart w:id="139" w:name="_Toc341265735"/>
      <w:bookmarkStart w:id="140" w:name="_Toc343257297"/>
      <w:bookmarkStart w:id="141" w:name="_Toc343257411"/>
      <w:bookmarkStart w:id="142" w:name="_Toc348711332"/>
      <w:r w:rsidRPr="00413D58">
        <w:t>2.3.1 Education performance and funding at Province level</w:t>
      </w:r>
      <w:bookmarkEnd w:id="137"/>
      <w:bookmarkEnd w:id="138"/>
      <w:bookmarkEnd w:id="139"/>
      <w:bookmarkEnd w:id="140"/>
      <w:bookmarkEnd w:id="141"/>
      <w:bookmarkEnd w:id="142"/>
    </w:p>
    <w:p w:rsidR="00BA1D08" w:rsidRPr="00413D58" w:rsidRDefault="00BA1D08" w:rsidP="00BA1D08">
      <w:pPr>
        <w:jc w:val="both"/>
      </w:pPr>
    </w:p>
    <w:p w:rsidR="00BA1D08" w:rsidRPr="00413D58" w:rsidRDefault="00BA1D08" w:rsidP="00BA1D08">
      <w:pPr>
        <w:jc w:val="both"/>
      </w:pPr>
      <w:r w:rsidRPr="00413D58">
        <w:t xml:space="preserve">Table </w:t>
      </w:r>
      <w:r w:rsidR="006E77CA">
        <w:t>22</w:t>
      </w:r>
      <w:r w:rsidRPr="00413D58">
        <w:t xml:space="preserve"> summarises a range of primary and secondary education indicators by Province:</w:t>
      </w:r>
    </w:p>
    <w:p w:rsidR="00BA1D08" w:rsidRPr="00413D58" w:rsidRDefault="00BA1D08" w:rsidP="00BA1D08">
      <w:pPr>
        <w:jc w:val="both"/>
      </w:pPr>
    </w:p>
    <w:tbl>
      <w:tblPr>
        <w:tblStyle w:val="TableGrid"/>
        <w:tblW w:w="0" w:type="auto"/>
        <w:jc w:val="center"/>
        <w:tblLook w:val="04A0" w:firstRow="1" w:lastRow="0" w:firstColumn="1" w:lastColumn="0" w:noHBand="0" w:noVBand="1"/>
        <w:tblCaption w:val="Table 22: Selected primary and secondary education indicators by Province"/>
      </w:tblPr>
      <w:tblGrid>
        <w:gridCol w:w="2803"/>
        <w:gridCol w:w="883"/>
        <w:gridCol w:w="888"/>
        <w:gridCol w:w="905"/>
        <w:gridCol w:w="976"/>
        <w:gridCol w:w="1123"/>
        <w:gridCol w:w="841"/>
        <w:gridCol w:w="890"/>
      </w:tblGrid>
      <w:tr w:rsidR="00BA1D08" w:rsidRPr="00413D58" w:rsidTr="00D339A4">
        <w:trPr>
          <w:tblHeader/>
          <w:jc w:val="center"/>
        </w:trPr>
        <w:tc>
          <w:tcPr>
            <w:tcW w:w="9309" w:type="dxa"/>
            <w:gridSpan w:val="8"/>
            <w:shd w:val="clear" w:color="auto" w:fill="BFBFBF" w:themeFill="background1" w:themeFillShade="BF"/>
          </w:tcPr>
          <w:p w:rsidR="00BA1D08" w:rsidRPr="00413D58" w:rsidRDefault="00BA1D08" w:rsidP="006E77CA">
            <w:pPr>
              <w:jc w:val="both"/>
            </w:pPr>
            <w:r w:rsidRPr="00413D58">
              <w:t xml:space="preserve">Table </w:t>
            </w:r>
            <w:r w:rsidR="006E77CA">
              <w:t>22</w:t>
            </w:r>
            <w:r w:rsidRPr="00413D58">
              <w:t>: Selected primary and secondary education indicators by Province</w:t>
            </w:r>
          </w:p>
        </w:tc>
      </w:tr>
      <w:tr w:rsidR="00BA1D08" w:rsidRPr="00413D58" w:rsidTr="00C05FAA">
        <w:trPr>
          <w:jc w:val="center"/>
        </w:trPr>
        <w:tc>
          <w:tcPr>
            <w:tcW w:w="2803" w:type="dxa"/>
          </w:tcPr>
          <w:p w:rsidR="00BA1D08" w:rsidRPr="00413D58" w:rsidRDefault="00BA1D08" w:rsidP="00C05FAA">
            <w:pPr>
              <w:jc w:val="both"/>
            </w:pPr>
          </w:p>
        </w:tc>
        <w:tc>
          <w:tcPr>
            <w:tcW w:w="883" w:type="dxa"/>
          </w:tcPr>
          <w:p w:rsidR="00BA1D08" w:rsidRPr="00413D58" w:rsidRDefault="00BA1D08" w:rsidP="00C05FAA">
            <w:pPr>
              <w:jc w:val="both"/>
            </w:pPr>
            <w:r w:rsidRPr="00413D58">
              <w:t>Source</w:t>
            </w:r>
          </w:p>
        </w:tc>
        <w:tc>
          <w:tcPr>
            <w:tcW w:w="888" w:type="dxa"/>
          </w:tcPr>
          <w:p w:rsidR="00BA1D08" w:rsidRPr="00413D58" w:rsidRDefault="00BA1D08" w:rsidP="00C05FAA">
            <w:pPr>
              <w:jc w:val="both"/>
            </w:pPr>
            <w:proofErr w:type="spellStart"/>
            <w:r w:rsidRPr="00413D58">
              <w:t>Torba</w:t>
            </w:r>
            <w:proofErr w:type="spellEnd"/>
          </w:p>
        </w:tc>
        <w:tc>
          <w:tcPr>
            <w:tcW w:w="905" w:type="dxa"/>
          </w:tcPr>
          <w:p w:rsidR="00BA1D08" w:rsidRPr="00413D58" w:rsidRDefault="00BA1D08" w:rsidP="00C05FAA">
            <w:pPr>
              <w:jc w:val="both"/>
            </w:pPr>
            <w:proofErr w:type="spellStart"/>
            <w:r w:rsidRPr="00413D58">
              <w:t>Sanma</w:t>
            </w:r>
            <w:proofErr w:type="spellEnd"/>
          </w:p>
        </w:tc>
        <w:tc>
          <w:tcPr>
            <w:tcW w:w="976" w:type="dxa"/>
          </w:tcPr>
          <w:p w:rsidR="00BA1D08" w:rsidRPr="00413D58" w:rsidRDefault="00BA1D08" w:rsidP="00C05FAA">
            <w:pPr>
              <w:jc w:val="both"/>
            </w:pPr>
            <w:proofErr w:type="spellStart"/>
            <w:r w:rsidRPr="00413D58">
              <w:t>Penama</w:t>
            </w:r>
            <w:proofErr w:type="spellEnd"/>
          </w:p>
        </w:tc>
        <w:tc>
          <w:tcPr>
            <w:tcW w:w="1123" w:type="dxa"/>
          </w:tcPr>
          <w:p w:rsidR="00BA1D08" w:rsidRPr="00413D58" w:rsidRDefault="00BA1D08" w:rsidP="00C05FAA">
            <w:pPr>
              <w:jc w:val="both"/>
            </w:pPr>
            <w:proofErr w:type="spellStart"/>
            <w:r w:rsidRPr="00413D58">
              <w:t>Malampa</w:t>
            </w:r>
            <w:proofErr w:type="spellEnd"/>
          </w:p>
        </w:tc>
        <w:tc>
          <w:tcPr>
            <w:tcW w:w="841" w:type="dxa"/>
          </w:tcPr>
          <w:p w:rsidR="00BA1D08" w:rsidRPr="00413D58" w:rsidRDefault="00BA1D08" w:rsidP="00C05FAA">
            <w:pPr>
              <w:jc w:val="both"/>
            </w:pPr>
            <w:proofErr w:type="spellStart"/>
            <w:r w:rsidRPr="00413D58">
              <w:t>Shefa</w:t>
            </w:r>
            <w:proofErr w:type="spellEnd"/>
          </w:p>
        </w:tc>
        <w:tc>
          <w:tcPr>
            <w:tcW w:w="890" w:type="dxa"/>
          </w:tcPr>
          <w:p w:rsidR="00BA1D08" w:rsidRPr="00413D58" w:rsidRDefault="00BA1D08" w:rsidP="00C05FAA">
            <w:pPr>
              <w:jc w:val="both"/>
            </w:pPr>
            <w:proofErr w:type="spellStart"/>
            <w:r w:rsidRPr="00413D58">
              <w:t>Tafea</w:t>
            </w:r>
            <w:proofErr w:type="spellEnd"/>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xml:space="preserve">% of Vanuatu total population </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4.0</w:t>
            </w:r>
          </w:p>
        </w:tc>
        <w:tc>
          <w:tcPr>
            <w:tcW w:w="905" w:type="dxa"/>
          </w:tcPr>
          <w:p w:rsidR="00BA1D08" w:rsidRPr="00413D58" w:rsidRDefault="00BA1D08" w:rsidP="00C05FAA">
            <w:pPr>
              <w:jc w:val="center"/>
              <w:rPr>
                <w:sz w:val="20"/>
                <w:szCs w:val="20"/>
              </w:rPr>
            </w:pPr>
            <w:r w:rsidRPr="00413D58">
              <w:rPr>
                <w:sz w:val="20"/>
                <w:szCs w:val="20"/>
              </w:rPr>
              <w:t>19.6</w:t>
            </w:r>
          </w:p>
        </w:tc>
        <w:tc>
          <w:tcPr>
            <w:tcW w:w="976" w:type="dxa"/>
          </w:tcPr>
          <w:p w:rsidR="00BA1D08" w:rsidRPr="00413D58" w:rsidRDefault="00BA1D08" w:rsidP="00C05FAA">
            <w:pPr>
              <w:jc w:val="center"/>
              <w:rPr>
                <w:sz w:val="20"/>
                <w:szCs w:val="20"/>
              </w:rPr>
            </w:pPr>
            <w:r w:rsidRPr="00413D58">
              <w:rPr>
                <w:sz w:val="20"/>
                <w:szCs w:val="20"/>
              </w:rPr>
              <w:t>13.2</w:t>
            </w:r>
          </w:p>
        </w:tc>
        <w:tc>
          <w:tcPr>
            <w:tcW w:w="1123" w:type="dxa"/>
          </w:tcPr>
          <w:p w:rsidR="00BA1D08" w:rsidRPr="00413D58" w:rsidRDefault="00BA1D08" w:rsidP="00C05FAA">
            <w:pPr>
              <w:jc w:val="center"/>
              <w:rPr>
                <w:sz w:val="20"/>
                <w:szCs w:val="20"/>
              </w:rPr>
            </w:pPr>
            <w:r w:rsidRPr="00413D58">
              <w:rPr>
                <w:sz w:val="20"/>
                <w:szCs w:val="20"/>
              </w:rPr>
              <w:t>15.7</w:t>
            </w:r>
          </w:p>
        </w:tc>
        <w:tc>
          <w:tcPr>
            <w:tcW w:w="841" w:type="dxa"/>
          </w:tcPr>
          <w:p w:rsidR="00BA1D08" w:rsidRPr="00413D58" w:rsidRDefault="00BA1D08" w:rsidP="00C05FAA">
            <w:pPr>
              <w:jc w:val="center"/>
              <w:rPr>
                <w:sz w:val="20"/>
                <w:szCs w:val="20"/>
              </w:rPr>
            </w:pPr>
            <w:r w:rsidRPr="00413D58">
              <w:rPr>
                <w:sz w:val="20"/>
                <w:szCs w:val="20"/>
              </w:rPr>
              <w:t>33.6</w:t>
            </w:r>
          </w:p>
        </w:tc>
        <w:tc>
          <w:tcPr>
            <w:tcW w:w="890" w:type="dxa"/>
          </w:tcPr>
          <w:p w:rsidR="00BA1D08" w:rsidRPr="00413D58" w:rsidRDefault="00BA1D08" w:rsidP="00C05FAA">
            <w:pPr>
              <w:jc w:val="center"/>
              <w:rPr>
                <w:sz w:val="20"/>
                <w:szCs w:val="20"/>
              </w:rPr>
            </w:pPr>
            <w:r w:rsidRPr="00413D58">
              <w:rPr>
                <w:sz w:val="20"/>
                <w:szCs w:val="20"/>
              </w:rPr>
              <w:t>13.9</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of population aged 15 and over never attended school</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25.9</w:t>
            </w:r>
          </w:p>
        </w:tc>
        <w:tc>
          <w:tcPr>
            <w:tcW w:w="905" w:type="dxa"/>
          </w:tcPr>
          <w:p w:rsidR="00BA1D08" w:rsidRPr="00413D58" w:rsidRDefault="00BA1D08" w:rsidP="00C05FAA">
            <w:pPr>
              <w:jc w:val="center"/>
              <w:rPr>
                <w:sz w:val="20"/>
                <w:szCs w:val="20"/>
              </w:rPr>
            </w:pPr>
            <w:r w:rsidRPr="00413D58">
              <w:rPr>
                <w:sz w:val="20"/>
                <w:szCs w:val="20"/>
              </w:rPr>
              <w:t>17.2</w:t>
            </w:r>
          </w:p>
        </w:tc>
        <w:tc>
          <w:tcPr>
            <w:tcW w:w="976" w:type="dxa"/>
          </w:tcPr>
          <w:p w:rsidR="00BA1D08" w:rsidRPr="00413D58" w:rsidRDefault="00BA1D08" w:rsidP="00C05FAA">
            <w:pPr>
              <w:jc w:val="center"/>
              <w:rPr>
                <w:sz w:val="20"/>
                <w:szCs w:val="20"/>
              </w:rPr>
            </w:pPr>
            <w:r w:rsidRPr="00413D58">
              <w:rPr>
                <w:sz w:val="20"/>
                <w:szCs w:val="20"/>
              </w:rPr>
              <w:t>19.8</w:t>
            </w:r>
          </w:p>
        </w:tc>
        <w:tc>
          <w:tcPr>
            <w:tcW w:w="1123" w:type="dxa"/>
          </w:tcPr>
          <w:p w:rsidR="00BA1D08" w:rsidRPr="00413D58" w:rsidRDefault="00BA1D08" w:rsidP="00C05FAA">
            <w:pPr>
              <w:jc w:val="center"/>
              <w:rPr>
                <w:sz w:val="20"/>
                <w:szCs w:val="20"/>
              </w:rPr>
            </w:pPr>
            <w:r w:rsidRPr="00413D58">
              <w:rPr>
                <w:sz w:val="20"/>
                <w:szCs w:val="20"/>
              </w:rPr>
              <w:t>13.9</w:t>
            </w:r>
          </w:p>
        </w:tc>
        <w:tc>
          <w:tcPr>
            <w:tcW w:w="841" w:type="dxa"/>
          </w:tcPr>
          <w:p w:rsidR="00BA1D08" w:rsidRPr="00413D58" w:rsidRDefault="00BA1D08" w:rsidP="00C05FAA">
            <w:pPr>
              <w:jc w:val="center"/>
              <w:rPr>
                <w:sz w:val="20"/>
                <w:szCs w:val="20"/>
              </w:rPr>
            </w:pPr>
            <w:r w:rsidRPr="00413D58">
              <w:rPr>
                <w:sz w:val="20"/>
                <w:szCs w:val="20"/>
              </w:rPr>
              <w:t>8.6</w:t>
            </w:r>
          </w:p>
        </w:tc>
        <w:tc>
          <w:tcPr>
            <w:tcW w:w="890" w:type="dxa"/>
          </w:tcPr>
          <w:p w:rsidR="00BA1D08" w:rsidRPr="00413D58" w:rsidRDefault="00BA1D08" w:rsidP="00C05FAA">
            <w:pPr>
              <w:jc w:val="center"/>
              <w:rPr>
                <w:sz w:val="20"/>
                <w:szCs w:val="20"/>
              </w:rPr>
            </w:pPr>
            <w:r w:rsidRPr="00413D58">
              <w:rPr>
                <w:sz w:val="20"/>
                <w:szCs w:val="20"/>
              </w:rPr>
              <w:t>42.1</w:t>
            </w:r>
          </w:p>
        </w:tc>
      </w:tr>
      <w:tr w:rsidR="00BA1D08" w:rsidRPr="00413D58" w:rsidTr="00C05FAA">
        <w:trPr>
          <w:jc w:val="center"/>
        </w:trPr>
        <w:tc>
          <w:tcPr>
            <w:tcW w:w="2803" w:type="dxa"/>
            <w:shd w:val="clear" w:color="auto" w:fill="BFBFBF" w:themeFill="background1" w:themeFillShade="BF"/>
          </w:tcPr>
          <w:p w:rsidR="00BA1D08" w:rsidRPr="00413D58" w:rsidRDefault="00BA1D08" w:rsidP="00C05FAA">
            <w:pPr>
              <w:jc w:val="both"/>
              <w:rPr>
                <w:sz w:val="20"/>
                <w:szCs w:val="20"/>
              </w:rPr>
            </w:pPr>
            <w:r w:rsidRPr="00413D58">
              <w:rPr>
                <w:sz w:val="20"/>
                <w:szCs w:val="20"/>
              </w:rPr>
              <w:t>Primary sector (Years 1-6)</w:t>
            </w:r>
          </w:p>
        </w:tc>
        <w:tc>
          <w:tcPr>
            <w:tcW w:w="883" w:type="dxa"/>
            <w:shd w:val="clear" w:color="auto" w:fill="BFBFBF" w:themeFill="background1" w:themeFillShade="BF"/>
          </w:tcPr>
          <w:p w:rsidR="00BA1D08" w:rsidRPr="00413D58" w:rsidRDefault="00BA1D08" w:rsidP="00C05FAA">
            <w:pPr>
              <w:jc w:val="center"/>
              <w:rPr>
                <w:sz w:val="20"/>
                <w:szCs w:val="20"/>
              </w:rPr>
            </w:pPr>
          </w:p>
        </w:tc>
        <w:tc>
          <w:tcPr>
            <w:tcW w:w="888" w:type="dxa"/>
            <w:shd w:val="clear" w:color="auto" w:fill="BFBFBF" w:themeFill="background1" w:themeFillShade="BF"/>
          </w:tcPr>
          <w:p w:rsidR="00BA1D08" w:rsidRPr="00413D58" w:rsidRDefault="00BA1D08" w:rsidP="00C05FAA">
            <w:pPr>
              <w:jc w:val="center"/>
              <w:rPr>
                <w:sz w:val="20"/>
                <w:szCs w:val="20"/>
              </w:rPr>
            </w:pPr>
          </w:p>
        </w:tc>
        <w:tc>
          <w:tcPr>
            <w:tcW w:w="905" w:type="dxa"/>
            <w:shd w:val="clear" w:color="auto" w:fill="BFBFBF" w:themeFill="background1" w:themeFillShade="BF"/>
          </w:tcPr>
          <w:p w:rsidR="00BA1D08" w:rsidRPr="00413D58" w:rsidRDefault="00BA1D08" w:rsidP="00C05FAA">
            <w:pPr>
              <w:jc w:val="center"/>
              <w:rPr>
                <w:sz w:val="20"/>
                <w:szCs w:val="20"/>
              </w:rPr>
            </w:pPr>
          </w:p>
        </w:tc>
        <w:tc>
          <w:tcPr>
            <w:tcW w:w="976" w:type="dxa"/>
            <w:shd w:val="clear" w:color="auto" w:fill="BFBFBF" w:themeFill="background1" w:themeFillShade="BF"/>
          </w:tcPr>
          <w:p w:rsidR="00BA1D08" w:rsidRPr="00413D58" w:rsidRDefault="00BA1D08" w:rsidP="00C05FAA">
            <w:pPr>
              <w:jc w:val="center"/>
              <w:rPr>
                <w:sz w:val="20"/>
                <w:szCs w:val="20"/>
              </w:rPr>
            </w:pPr>
          </w:p>
        </w:tc>
        <w:tc>
          <w:tcPr>
            <w:tcW w:w="1123" w:type="dxa"/>
            <w:shd w:val="clear" w:color="auto" w:fill="BFBFBF" w:themeFill="background1" w:themeFillShade="BF"/>
          </w:tcPr>
          <w:p w:rsidR="00BA1D08" w:rsidRPr="00413D58" w:rsidRDefault="00BA1D08" w:rsidP="00C05FAA">
            <w:pPr>
              <w:jc w:val="center"/>
              <w:rPr>
                <w:sz w:val="20"/>
                <w:szCs w:val="20"/>
              </w:rPr>
            </w:pPr>
          </w:p>
        </w:tc>
        <w:tc>
          <w:tcPr>
            <w:tcW w:w="841" w:type="dxa"/>
            <w:shd w:val="clear" w:color="auto" w:fill="BFBFBF" w:themeFill="background1" w:themeFillShade="BF"/>
          </w:tcPr>
          <w:p w:rsidR="00BA1D08" w:rsidRPr="00413D58" w:rsidRDefault="00BA1D08" w:rsidP="00C05FAA">
            <w:pPr>
              <w:jc w:val="center"/>
              <w:rPr>
                <w:sz w:val="20"/>
                <w:szCs w:val="20"/>
              </w:rPr>
            </w:pPr>
          </w:p>
        </w:tc>
        <w:tc>
          <w:tcPr>
            <w:tcW w:w="890" w:type="dxa"/>
            <w:shd w:val="clear" w:color="auto" w:fill="BFBFBF" w:themeFill="background1" w:themeFillShade="BF"/>
          </w:tcPr>
          <w:p w:rsidR="00BA1D08" w:rsidRPr="00413D58" w:rsidRDefault="00BA1D08" w:rsidP="00C05FAA">
            <w:pPr>
              <w:jc w:val="center"/>
              <w:rPr>
                <w:sz w:val="20"/>
                <w:szCs w:val="20"/>
              </w:rPr>
            </w:pP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xml:space="preserve">Population aged 6-11 (2009) </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1,562</w:t>
            </w:r>
          </w:p>
        </w:tc>
        <w:tc>
          <w:tcPr>
            <w:tcW w:w="905" w:type="dxa"/>
          </w:tcPr>
          <w:p w:rsidR="00BA1D08" w:rsidRPr="00413D58" w:rsidRDefault="00BA1D08" w:rsidP="00C05FAA">
            <w:pPr>
              <w:jc w:val="center"/>
              <w:rPr>
                <w:sz w:val="20"/>
                <w:szCs w:val="20"/>
              </w:rPr>
            </w:pPr>
            <w:r w:rsidRPr="00413D58">
              <w:rPr>
                <w:sz w:val="20"/>
                <w:szCs w:val="20"/>
              </w:rPr>
              <w:t>7,015</w:t>
            </w:r>
          </w:p>
        </w:tc>
        <w:tc>
          <w:tcPr>
            <w:tcW w:w="976" w:type="dxa"/>
          </w:tcPr>
          <w:p w:rsidR="00BA1D08" w:rsidRPr="00413D58" w:rsidRDefault="00BA1D08" w:rsidP="00C05FAA">
            <w:pPr>
              <w:jc w:val="center"/>
              <w:rPr>
                <w:sz w:val="20"/>
                <w:szCs w:val="20"/>
              </w:rPr>
            </w:pPr>
            <w:r w:rsidRPr="00413D58">
              <w:rPr>
                <w:sz w:val="20"/>
                <w:szCs w:val="20"/>
              </w:rPr>
              <w:t>4,855</w:t>
            </w:r>
          </w:p>
        </w:tc>
        <w:tc>
          <w:tcPr>
            <w:tcW w:w="1123" w:type="dxa"/>
          </w:tcPr>
          <w:p w:rsidR="00BA1D08" w:rsidRPr="00413D58" w:rsidRDefault="00BA1D08" w:rsidP="00C05FAA">
            <w:pPr>
              <w:jc w:val="center"/>
              <w:rPr>
                <w:sz w:val="20"/>
                <w:szCs w:val="20"/>
              </w:rPr>
            </w:pPr>
            <w:r w:rsidRPr="00413D58">
              <w:rPr>
                <w:sz w:val="20"/>
                <w:szCs w:val="20"/>
              </w:rPr>
              <w:t>5,735</w:t>
            </w:r>
          </w:p>
        </w:tc>
        <w:tc>
          <w:tcPr>
            <w:tcW w:w="841" w:type="dxa"/>
          </w:tcPr>
          <w:p w:rsidR="00BA1D08" w:rsidRPr="00413D58" w:rsidRDefault="00BA1D08" w:rsidP="00C05FAA">
            <w:pPr>
              <w:jc w:val="center"/>
              <w:rPr>
                <w:sz w:val="20"/>
                <w:szCs w:val="20"/>
              </w:rPr>
            </w:pPr>
            <w:r w:rsidRPr="00413D58">
              <w:rPr>
                <w:sz w:val="20"/>
                <w:szCs w:val="20"/>
              </w:rPr>
              <w:t>9,415</w:t>
            </w:r>
          </w:p>
        </w:tc>
        <w:tc>
          <w:tcPr>
            <w:tcW w:w="890" w:type="dxa"/>
          </w:tcPr>
          <w:p w:rsidR="00BA1D08" w:rsidRPr="00413D58" w:rsidRDefault="00BA1D08" w:rsidP="00C05FAA">
            <w:pPr>
              <w:jc w:val="center"/>
              <w:rPr>
                <w:sz w:val="20"/>
                <w:szCs w:val="20"/>
              </w:rPr>
            </w:pPr>
            <w:r w:rsidRPr="00413D58">
              <w:rPr>
                <w:sz w:val="20"/>
                <w:szCs w:val="20"/>
              </w:rPr>
              <w:t>5,951</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Pop aged 6-11 as a % Vanuatu total (2009)</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4.5</w:t>
            </w:r>
          </w:p>
        </w:tc>
        <w:tc>
          <w:tcPr>
            <w:tcW w:w="905" w:type="dxa"/>
          </w:tcPr>
          <w:p w:rsidR="00BA1D08" w:rsidRPr="00413D58" w:rsidRDefault="00BA1D08" w:rsidP="00C05FAA">
            <w:pPr>
              <w:jc w:val="center"/>
              <w:rPr>
                <w:sz w:val="20"/>
                <w:szCs w:val="20"/>
              </w:rPr>
            </w:pPr>
            <w:r w:rsidRPr="00413D58">
              <w:rPr>
                <w:sz w:val="20"/>
                <w:szCs w:val="20"/>
              </w:rPr>
              <w:t>20.3</w:t>
            </w:r>
          </w:p>
        </w:tc>
        <w:tc>
          <w:tcPr>
            <w:tcW w:w="976" w:type="dxa"/>
          </w:tcPr>
          <w:p w:rsidR="00BA1D08" w:rsidRPr="00413D58" w:rsidRDefault="00BA1D08" w:rsidP="00C05FAA">
            <w:pPr>
              <w:jc w:val="center"/>
              <w:rPr>
                <w:sz w:val="20"/>
                <w:szCs w:val="20"/>
              </w:rPr>
            </w:pPr>
            <w:r w:rsidRPr="00413D58">
              <w:rPr>
                <w:sz w:val="20"/>
                <w:szCs w:val="20"/>
              </w:rPr>
              <w:t>14.1</w:t>
            </w:r>
          </w:p>
        </w:tc>
        <w:tc>
          <w:tcPr>
            <w:tcW w:w="1123" w:type="dxa"/>
          </w:tcPr>
          <w:p w:rsidR="00BA1D08" w:rsidRPr="00413D58" w:rsidRDefault="00BA1D08" w:rsidP="00C05FAA">
            <w:pPr>
              <w:jc w:val="center"/>
              <w:rPr>
                <w:sz w:val="20"/>
                <w:szCs w:val="20"/>
              </w:rPr>
            </w:pPr>
            <w:r w:rsidRPr="00413D58">
              <w:rPr>
                <w:sz w:val="20"/>
                <w:szCs w:val="20"/>
              </w:rPr>
              <w:t>16.6</w:t>
            </w:r>
          </w:p>
        </w:tc>
        <w:tc>
          <w:tcPr>
            <w:tcW w:w="841" w:type="dxa"/>
          </w:tcPr>
          <w:p w:rsidR="00BA1D08" w:rsidRPr="00413D58" w:rsidRDefault="00BA1D08" w:rsidP="00C05FAA">
            <w:pPr>
              <w:jc w:val="center"/>
              <w:rPr>
                <w:sz w:val="20"/>
                <w:szCs w:val="20"/>
              </w:rPr>
            </w:pPr>
            <w:r w:rsidRPr="00413D58">
              <w:rPr>
                <w:sz w:val="20"/>
                <w:szCs w:val="20"/>
              </w:rPr>
              <w:t>27.3</w:t>
            </w:r>
          </w:p>
        </w:tc>
        <w:tc>
          <w:tcPr>
            <w:tcW w:w="890" w:type="dxa"/>
          </w:tcPr>
          <w:p w:rsidR="00BA1D08" w:rsidRPr="00413D58" w:rsidRDefault="00BA1D08" w:rsidP="00C05FAA">
            <w:pPr>
              <w:jc w:val="center"/>
              <w:rPr>
                <w:sz w:val="20"/>
                <w:szCs w:val="20"/>
              </w:rPr>
            </w:pPr>
            <w:r w:rsidRPr="00413D58">
              <w:rPr>
                <w:sz w:val="20"/>
                <w:szCs w:val="20"/>
              </w:rPr>
              <w:t>17.2</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Primary enrolments as a % of Vanuatu total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4.0</w:t>
            </w:r>
          </w:p>
        </w:tc>
        <w:tc>
          <w:tcPr>
            <w:tcW w:w="905" w:type="dxa"/>
          </w:tcPr>
          <w:p w:rsidR="00BA1D08" w:rsidRPr="00413D58" w:rsidRDefault="00BA1D08" w:rsidP="00C05FAA">
            <w:pPr>
              <w:jc w:val="center"/>
              <w:rPr>
                <w:sz w:val="20"/>
                <w:szCs w:val="20"/>
              </w:rPr>
            </w:pPr>
            <w:r w:rsidRPr="00413D58">
              <w:rPr>
                <w:sz w:val="20"/>
                <w:szCs w:val="20"/>
              </w:rPr>
              <w:t>21.1</w:t>
            </w:r>
          </w:p>
        </w:tc>
        <w:tc>
          <w:tcPr>
            <w:tcW w:w="976" w:type="dxa"/>
          </w:tcPr>
          <w:p w:rsidR="00BA1D08" w:rsidRPr="00413D58" w:rsidRDefault="00BA1D08" w:rsidP="00C05FAA">
            <w:pPr>
              <w:jc w:val="center"/>
              <w:rPr>
                <w:sz w:val="20"/>
                <w:szCs w:val="20"/>
              </w:rPr>
            </w:pPr>
            <w:r w:rsidRPr="00413D58">
              <w:rPr>
                <w:sz w:val="20"/>
                <w:szCs w:val="20"/>
              </w:rPr>
              <w:t>14.4</w:t>
            </w:r>
          </w:p>
        </w:tc>
        <w:tc>
          <w:tcPr>
            <w:tcW w:w="1123" w:type="dxa"/>
          </w:tcPr>
          <w:p w:rsidR="00BA1D08" w:rsidRPr="00413D58" w:rsidRDefault="00BA1D08" w:rsidP="00C05FAA">
            <w:pPr>
              <w:jc w:val="center"/>
              <w:rPr>
                <w:sz w:val="20"/>
                <w:szCs w:val="20"/>
              </w:rPr>
            </w:pPr>
            <w:r w:rsidRPr="00413D58">
              <w:rPr>
                <w:sz w:val="20"/>
                <w:szCs w:val="20"/>
              </w:rPr>
              <w:t>17.0</w:t>
            </w:r>
          </w:p>
        </w:tc>
        <w:tc>
          <w:tcPr>
            <w:tcW w:w="841" w:type="dxa"/>
          </w:tcPr>
          <w:p w:rsidR="00BA1D08" w:rsidRPr="00413D58" w:rsidRDefault="00BA1D08" w:rsidP="00C05FAA">
            <w:pPr>
              <w:jc w:val="center"/>
              <w:rPr>
                <w:sz w:val="20"/>
                <w:szCs w:val="20"/>
              </w:rPr>
            </w:pPr>
            <w:r w:rsidRPr="00413D58">
              <w:rPr>
                <w:sz w:val="20"/>
                <w:szCs w:val="20"/>
              </w:rPr>
              <w:t>24.6</w:t>
            </w:r>
          </w:p>
        </w:tc>
        <w:tc>
          <w:tcPr>
            <w:tcW w:w="890" w:type="dxa"/>
          </w:tcPr>
          <w:p w:rsidR="00BA1D08" w:rsidRPr="00413D58" w:rsidRDefault="00BA1D08" w:rsidP="00C05FAA">
            <w:pPr>
              <w:jc w:val="center"/>
              <w:rPr>
                <w:sz w:val="20"/>
                <w:szCs w:val="20"/>
              </w:rPr>
            </w:pPr>
            <w:r w:rsidRPr="00413D58">
              <w:rPr>
                <w:sz w:val="20"/>
                <w:szCs w:val="20"/>
              </w:rPr>
              <w:t>19.0</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Net enrolment rate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73.7</w:t>
            </w:r>
          </w:p>
        </w:tc>
        <w:tc>
          <w:tcPr>
            <w:tcW w:w="905" w:type="dxa"/>
          </w:tcPr>
          <w:p w:rsidR="00BA1D08" w:rsidRPr="00413D58" w:rsidRDefault="00BA1D08" w:rsidP="00C05FAA">
            <w:pPr>
              <w:jc w:val="center"/>
              <w:rPr>
                <w:sz w:val="20"/>
                <w:szCs w:val="20"/>
              </w:rPr>
            </w:pPr>
            <w:r w:rsidRPr="00413D58">
              <w:rPr>
                <w:sz w:val="20"/>
                <w:szCs w:val="20"/>
              </w:rPr>
              <w:t>87.4</w:t>
            </w:r>
          </w:p>
        </w:tc>
        <w:tc>
          <w:tcPr>
            <w:tcW w:w="976" w:type="dxa"/>
          </w:tcPr>
          <w:p w:rsidR="00BA1D08" w:rsidRPr="00413D58" w:rsidRDefault="00BA1D08" w:rsidP="00C05FAA">
            <w:pPr>
              <w:jc w:val="center"/>
              <w:rPr>
                <w:sz w:val="20"/>
                <w:szCs w:val="20"/>
              </w:rPr>
            </w:pPr>
            <w:r w:rsidRPr="00413D58">
              <w:rPr>
                <w:sz w:val="20"/>
                <w:szCs w:val="20"/>
              </w:rPr>
              <w:t>87.5</w:t>
            </w:r>
          </w:p>
        </w:tc>
        <w:tc>
          <w:tcPr>
            <w:tcW w:w="1123" w:type="dxa"/>
          </w:tcPr>
          <w:p w:rsidR="00BA1D08" w:rsidRPr="00413D58" w:rsidRDefault="00BA1D08" w:rsidP="00C05FAA">
            <w:pPr>
              <w:jc w:val="center"/>
              <w:rPr>
                <w:sz w:val="20"/>
                <w:szCs w:val="20"/>
              </w:rPr>
            </w:pPr>
            <w:r w:rsidRPr="00413D58">
              <w:rPr>
                <w:sz w:val="20"/>
                <w:szCs w:val="20"/>
              </w:rPr>
              <w:t>89.0</w:t>
            </w:r>
          </w:p>
        </w:tc>
        <w:tc>
          <w:tcPr>
            <w:tcW w:w="841" w:type="dxa"/>
          </w:tcPr>
          <w:p w:rsidR="00BA1D08" w:rsidRPr="00413D58" w:rsidRDefault="00BA1D08" w:rsidP="00C05FAA">
            <w:pPr>
              <w:jc w:val="center"/>
              <w:rPr>
                <w:sz w:val="20"/>
                <w:szCs w:val="20"/>
              </w:rPr>
            </w:pPr>
            <w:r w:rsidRPr="00413D58">
              <w:rPr>
                <w:sz w:val="20"/>
                <w:szCs w:val="20"/>
              </w:rPr>
              <w:t>90.5</w:t>
            </w:r>
          </w:p>
        </w:tc>
        <w:tc>
          <w:tcPr>
            <w:tcW w:w="890" w:type="dxa"/>
          </w:tcPr>
          <w:p w:rsidR="00BA1D08" w:rsidRPr="00413D58" w:rsidRDefault="00BA1D08" w:rsidP="00C05FAA">
            <w:pPr>
              <w:jc w:val="center"/>
              <w:rPr>
                <w:sz w:val="20"/>
                <w:szCs w:val="20"/>
              </w:rPr>
            </w:pPr>
            <w:r w:rsidRPr="00413D58">
              <w:rPr>
                <w:sz w:val="20"/>
                <w:szCs w:val="20"/>
              </w:rPr>
              <w:t>90.0</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xml:space="preserve">Ratio of </w:t>
            </w:r>
            <w:proofErr w:type="spellStart"/>
            <w:r w:rsidRPr="00413D58">
              <w:rPr>
                <w:sz w:val="20"/>
                <w:szCs w:val="20"/>
              </w:rPr>
              <w:t>GoV</w:t>
            </w:r>
            <w:proofErr w:type="spellEnd"/>
            <w:r w:rsidRPr="00413D58">
              <w:rPr>
                <w:sz w:val="20"/>
                <w:szCs w:val="20"/>
              </w:rPr>
              <w:t>/GA schools to population aged 6-11 (2011/2009)</w:t>
            </w:r>
          </w:p>
        </w:tc>
        <w:tc>
          <w:tcPr>
            <w:tcW w:w="883" w:type="dxa"/>
          </w:tcPr>
          <w:p w:rsidR="00BA1D08" w:rsidRPr="00413D58" w:rsidRDefault="00BA1D08" w:rsidP="00C05FAA">
            <w:pPr>
              <w:jc w:val="center"/>
              <w:rPr>
                <w:sz w:val="20"/>
                <w:szCs w:val="20"/>
              </w:rPr>
            </w:pPr>
            <w:r w:rsidRPr="00413D58">
              <w:rPr>
                <w:sz w:val="20"/>
                <w:szCs w:val="20"/>
              </w:rPr>
              <w:t>1/2</w:t>
            </w:r>
          </w:p>
        </w:tc>
        <w:tc>
          <w:tcPr>
            <w:tcW w:w="888" w:type="dxa"/>
          </w:tcPr>
          <w:p w:rsidR="00BA1D08" w:rsidRPr="00413D58" w:rsidRDefault="00BA1D08" w:rsidP="00C05FAA">
            <w:pPr>
              <w:jc w:val="center"/>
              <w:rPr>
                <w:sz w:val="20"/>
                <w:szCs w:val="20"/>
              </w:rPr>
            </w:pPr>
            <w:r w:rsidRPr="00413D58">
              <w:rPr>
                <w:sz w:val="20"/>
                <w:szCs w:val="20"/>
              </w:rPr>
              <w:t>1:67</w:t>
            </w:r>
          </w:p>
        </w:tc>
        <w:tc>
          <w:tcPr>
            <w:tcW w:w="905" w:type="dxa"/>
          </w:tcPr>
          <w:p w:rsidR="00BA1D08" w:rsidRPr="00413D58" w:rsidRDefault="00BA1D08" w:rsidP="00C05FAA">
            <w:pPr>
              <w:jc w:val="center"/>
              <w:rPr>
                <w:sz w:val="20"/>
                <w:szCs w:val="20"/>
              </w:rPr>
            </w:pPr>
            <w:r w:rsidRPr="00413D58">
              <w:rPr>
                <w:sz w:val="20"/>
                <w:szCs w:val="20"/>
              </w:rPr>
              <w:t>1:76</w:t>
            </w:r>
          </w:p>
        </w:tc>
        <w:tc>
          <w:tcPr>
            <w:tcW w:w="976" w:type="dxa"/>
          </w:tcPr>
          <w:p w:rsidR="00BA1D08" w:rsidRPr="00413D58" w:rsidRDefault="00BA1D08" w:rsidP="00C05FAA">
            <w:pPr>
              <w:jc w:val="center"/>
              <w:rPr>
                <w:sz w:val="20"/>
                <w:szCs w:val="20"/>
              </w:rPr>
            </w:pPr>
            <w:r w:rsidRPr="00413D58">
              <w:rPr>
                <w:sz w:val="20"/>
                <w:szCs w:val="20"/>
              </w:rPr>
              <w:t>1:77</w:t>
            </w:r>
          </w:p>
        </w:tc>
        <w:tc>
          <w:tcPr>
            <w:tcW w:w="1123" w:type="dxa"/>
          </w:tcPr>
          <w:p w:rsidR="00BA1D08" w:rsidRPr="00413D58" w:rsidRDefault="00BA1D08" w:rsidP="00C05FAA">
            <w:pPr>
              <w:jc w:val="center"/>
              <w:rPr>
                <w:sz w:val="20"/>
                <w:szCs w:val="20"/>
              </w:rPr>
            </w:pPr>
            <w:r w:rsidRPr="00413D58">
              <w:rPr>
                <w:sz w:val="20"/>
                <w:szCs w:val="20"/>
              </w:rPr>
              <w:t>1:66</w:t>
            </w:r>
          </w:p>
        </w:tc>
        <w:tc>
          <w:tcPr>
            <w:tcW w:w="841" w:type="dxa"/>
          </w:tcPr>
          <w:p w:rsidR="00BA1D08" w:rsidRPr="00413D58" w:rsidRDefault="00BA1D08" w:rsidP="00C05FAA">
            <w:pPr>
              <w:jc w:val="center"/>
              <w:rPr>
                <w:sz w:val="20"/>
                <w:szCs w:val="20"/>
              </w:rPr>
            </w:pPr>
            <w:r w:rsidRPr="00413D58">
              <w:rPr>
                <w:sz w:val="20"/>
                <w:szCs w:val="20"/>
              </w:rPr>
              <w:t>1:129</w:t>
            </w:r>
          </w:p>
        </w:tc>
        <w:tc>
          <w:tcPr>
            <w:tcW w:w="890" w:type="dxa"/>
          </w:tcPr>
          <w:p w:rsidR="00BA1D08" w:rsidRPr="00413D58" w:rsidRDefault="00BA1D08" w:rsidP="00C05FAA">
            <w:pPr>
              <w:jc w:val="center"/>
              <w:rPr>
                <w:sz w:val="20"/>
                <w:szCs w:val="20"/>
              </w:rPr>
            </w:pPr>
            <w:r w:rsidRPr="00413D58">
              <w:rPr>
                <w:sz w:val="20"/>
                <w:szCs w:val="20"/>
              </w:rPr>
              <w:t>1:81</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Students per teacher (2011)</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21.1</w:t>
            </w:r>
          </w:p>
        </w:tc>
        <w:tc>
          <w:tcPr>
            <w:tcW w:w="905" w:type="dxa"/>
          </w:tcPr>
          <w:p w:rsidR="00BA1D08" w:rsidRPr="00413D58" w:rsidRDefault="00BA1D08" w:rsidP="00C05FAA">
            <w:pPr>
              <w:jc w:val="center"/>
              <w:rPr>
                <w:sz w:val="20"/>
                <w:szCs w:val="20"/>
              </w:rPr>
            </w:pPr>
            <w:r w:rsidRPr="00413D58">
              <w:rPr>
                <w:sz w:val="20"/>
                <w:szCs w:val="20"/>
              </w:rPr>
              <w:t>26.1</w:t>
            </w:r>
          </w:p>
        </w:tc>
        <w:tc>
          <w:tcPr>
            <w:tcW w:w="976" w:type="dxa"/>
          </w:tcPr>
          <w:p w:rsidR="00BA1D08" w:rsidRPr="00413D58" w:rsidRDefault="00BA1D08" w:rsidP="00C05FAA">
            <w:pPr>
              <w:jc w:val="center"/>
              <w:rPr>
                <w:sz w:val="20"/>
                <w:szCs w:val="20"/>
              </w:rPr>
            </w:pPr>
            <w:r w:rsidRPr="00413D58">
              <w:rPr>
                <w:sz w:val="20"/>
                <w:szCs w:val="20"/>
              </w:rPr>
              <w:t>28.2</w:t>
            </w:r>
          </w:p>
        </w:tc>
        <w:tc>
          <w:tcPr>
            <w:tcW w:w="1123" w:type="dxa"/>
          </w:tcPr>
          <w:p w:rsidR="00BA1D08" w:rsidRPr="00413D58" w:rsidRDefault="00BA1D08" w:rsidP="00C05FAA">
            <w:pPr>
              <w:jc w:val="center"/>
              <w:rPr>
                <w:sz w:val="20"/>
                <w:szCs w:val="20"/>
              </w:rPr>
            </w:pPr>
            <w:r w:rsidRPr="00413D58">
              <w:rPr>
                <w:sz w:val="20"/>
                <w:szCs w:val="20"/>
              </w:rPr>
              <w:t>18.3</w:t>
            </w:r>
          </w:p>
        </w:tc>
        <w:tc>
          <w:tcPr>
            <w:tcW w:w="841" w:type="dxa"/>
          </w:tcPr>
          <w:p w:rsidR="00BA1D08" w:rsidRPr="00413D58" w:rsidRDefault="00BA1D08" w:rsidP="00C05FAA">
            <w:pPr>
              <w:jc w:val="center"/>
              <w:rPr>
                <w:sz w:val="20"/>
                <w:szCs w:val="20"/>
              </w:rPr>
            </w:pPr>
            <w:r w:rsidRPr="00413D58">
              <w:rPr>
                <w:sz w:val="20"/>
                <w:szCs w:val="20"/>
              </w:rPr>
              <w:t>27.5</w:t>
            </w:r>
          </w:p>
        </w:tc>
        <w:tc>
          <w:tcPr>
            <w:tcW w:w="890" w:type="dxa"/>
          </w:tcPr>
          <w:p w:rsidR="00BA1D08" w:rsidRPr="00413D58" w:rsidRDefault="00BA1D08" w:rsidP="00C05FAA">
            <w:pPr>
              <w:jc w:val="center"/>
              <w:rPr>
                <w:sz w:val="20"/>
                <w:szCs w:val="20"/>
              </w:rPr>
            </w:pPr>
            <w:r w:rsidRPr="00413D58">
              <w:rPr>
                <w:sz w:val="20"/>
                <w:szCs w:val="20"/>
              </w:rPr>
              <w:t>26.3</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xml:space="preserve">Estimated </w:t>
            </w:r>
            <w:proofErr w:type="spellStart"/>
            <w:r w:rsidRPr="00413D58">
              <w:rPr>
                <w:sz w:val="20"/>
                <w:szCs w:val="20"/>
              </w:rPr>
              <w:t>GoV</w:t>
            </w:r>
            <w:proofErr w:type="spellEnd"/>
            <w:r w:rsidRPr="00413D58">
              <w:rPr>
                <w:sz w:val="20"/>
                <w:szCs w:val="20"/>
              </w:rPr>
              <w:t xml:space="preserve">/GA teacher salaries as a % of </w:t>
            </w:r>
            <w:proofErr w:type="spellStart"/>
            <w:r w:rsidRPr="00413D58">
              <w:rPr>
                <w:sz w:val="20"/>
                <w:szCs w:val="20"/>
              </w:rPr>
              <w:t>MoE</w:t>
            </w:r>
            <w:proofErr w:type="spellEnd"/>
            <w:r w:rsidRPr="00413D58">
              <w:rPr>
                <w:sz w:val="20"/>
                <w:szCs w:val="20"/>
              </w:rPr>
              <w:t xml:space="preserve"> total (2012 Budget)</w:t>
            </w:r>
          </w:p>
        </w:tc>
        <w:tc>
          <w:tcPr>
            <w:tcW w:w="883" w:type="dxa"/>
          </w:tcPr>
          <w:p w:rsidR="00BA1D08" w:rsidRPr="00413D58" w:rsidRDefault="00BA1D08" w:rsidP="00C05FAA">
            <w:pPr>
              <w:jc w:val="center"/>
              <w:rPr>
                <w:sz w:val="20"/>
                <w:szCs w:val="20"/>
              </w:rPr>
            </w:pPr>
            <w:r w:rsidRPr="00413D58">
              <w:rPr>
                <w:sz w:val="20"/>
                <w:szCs w:val="20"/>
              </w:rPr>
              <w:t>Review</w:t>
            </w:r>
          </w:p>
          <w:p w:rsidR="00BA1D08" w:rsidRPr="00413D58" w:rsidRDefault="00BA1D08" w:rsidP="00C05FAA">
            <w:pPr>
              <w:jc w:val="center"/>
              <w:rPr>
                <w:sz w:val="20"/>
                <w:szCs w:val="20"/>
              </w:rPr>
            </w:pPr>
            <w:r w:rsidRPr="00413D58">
              <w:rPr>
                <w:sz w:val="20"/>
                <w:szCs w:val="20"/>
              </w:rPr>
              <w:t>Est.</w:t>
            </w:r>
          </w:p>
        </w:tc>
        <w:tc>
          <w:tcPr>
            <w:tcW w:w="888" w:type="dxa"/>
          </w:tcPr>
          <w:p w:rsidR="00BA1D08" w:rsidRPr="00413D58" w:rsidRDefault="00BA1D08" w:rsidP="00C05FAA">
            <w:pPr>
              <w:jc w:val="center"/>
              <w:rPr>
                <w:sz w:val="20"/>
                <w:szCs w:val="20"/>
              </w:rPr>
            </w:pPr>
            <w:r w:rsidRPr="00413D58">
              <w:rPr>
                <w:sz w:val="20"/>
                <w:szCs w:val="20"/>
              </w:rPr>
              <w:t>4.4</w:t>
            </w:r>
          </w:p>
        </w:tc>
        <w:tc>
          <w:tcPr>
            <w:tcW w:w="905" w:type="dxa"/>
          </w:tcPr>
          <w:p w:rsidR="00BA1D08" w:rsidRPr="00413D58" w:rsidRDefault="00BA1D08" w:rsidP="00C05FAA">
            <w:pPr>
              <w:jc w:val="center"/>
              <w:rPr>
                <w:sz w:val="20"/>
                <w:szCs w:val="20"/>
              </w:rPr>
            </w:pPr>
            <w:r w:rsidRPr="00413D58">
              <w:rPr>
                <w:sz w:val="20"/>
                <w:szCs w:val="20"/>
              </w:rPr>
              <w:t>19.3</w:t>
            </w:r>
          </w:p>
        </w:tc>
        <w:tc>
          <w:tcPr>
            <w:tcW w:w="976" w:type="dxa"/>
          </w:tcPr>
          <w:p w:rsidR="00BA1D08" w:rsidRPr="00413D58" w:rsidRDefault="00BA1D08" w:rsidP="00C05FAA">
            <w:pPr>
              <w:jc w:val="center"/>
              <w:rPr>
                <w:sz w:val="20"/>
                <w:szCs w:val="20"/>
              </w:rPr>
            </w:pPr>
            <w:r w:rsidRPr="00413D58">
              <w:rPr>
                <w:sz w:val="20"/>
                <w:szCs w:val="20"/>
              </w:rPr>
              <w:t>15.3</w:t>
            </w:r>
          </w:p>
        </w:tc>
        <w:tc>
          <w:tcPr>
            <w:tcW w:w="1123" w:type="dxa"/>
          </w:tcPr>
          <w:p w:rsidR="00BA1D08" w:rsidRPr="00413D58" w:rsidRDefault="00BA1D08" w:rsidP="00C05FAA">
            <w:pPr>
              <w:jc w:val="center"/>
              <w:rPr>
                <w:sz w:val="20"/>
                <w:szCs w:val="20"/>
              </w:rPr>
            </w:pPr>
            <w:r w:rsidRPr="00413D58">
              <w:rPr>
                <w:sz w:val="20"/>
                <w:szCs w:val="20"/>
              </w:rPr>
              <w:t>18.3</w:t>
            </w:r>
          </w:p>
        </w:tc>
        <w:tc>
          <w:tcPr>
            <w:tcW w:w="841" w:type="dxa"/>
          </w:tcPr>
          <w:p w:rsidR="00BA1D08" w:rsidRPr="00413D58" w:rsidRDefault="00BA1D08" w:rsidP="00C05FAA">
            <w:pPr>
              <w:jc w:val="center"/>
              <w:rPr>
                <w:sz w:val="20"/>
                <w:szCs w:val="20"/>
              </w:rPr>
            </w:pPr>
            <w:r w:rsidRPr="00413D58">
              <w:rPr>
                <w:sz w:val="20"/>
                <w:szCs w:val="20"/>
              </w:rPr>
              <w:t>26.4</w:t>
            </w:r>
          </w:p>
        </w:tc>
        <w:tc>
          <w:tcPr>
            <w:tcW w:w="890" w:type="dxa"/>
          </w:tcPr>
          <w:p w:rsidR="00BA1D08" w:rsidRPr="00413D58" w:rsidRDefault="00BA1D08" w:rsidP="00C05FAA">
            <w:pPr>
              <w:jc w:val="center"/>
              <w:rPr>
                <w:sz w:val="20"/>
                <w:szCs w:val="20"/>
              </w:rPr>
            </w:pPr>
            <w:r w:rsidRPr="00413D58">
              <w:rPr>
                <w:sz w:val="20"/>
                <w:szCs w:val="20"/>
              </w:rPr>
              <w:t>16.3</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Estimated teacher salaries per student (</w:t>
            </w:r>
            <w:proofErr w:type="spellStart"/>
            <w:r w:rsidRPr="00413D58">
              <w:rPr>
                <w:sz w:val="20"/>
                <w:szCs w:val="20"/>
              </w:rPr>
              <w:t>GoV</w:t>
            </w:r>
            <w:proofErr w:type="spellEnd"/>
            <w:r w:rsidRPr="00413D58">
              <w:rPr>
                <w:sz w:val="20"/>
                <w:szCs w:val="20"/>
              </w:rPr>
              <w:t>/GA schools)</w:t>
            </w:r>
          </w:p>
          <w:p w:rsidR="00BA1D08" w:rsidRPr="00413D58" w:rsidRDefault="00BA1D08" w:rsidP="00C05FAA">
            <w:pPr>
              <w:rPr>
                <w:sz w:val="20"/>
                <w:szCs w:val="20"/>
              </w:rPr>
            </w:pPr>
            <w:r w:rsidRPr="00413D58">
              <w:rPr>
                <w:sz w:val="20"/>
                <w:szCs w:val="20"/>
              </w:rPr>
              <w:t>(2011) (VT’000)</w:t>
            </w:r>
          </w:p>
        </w:tc>
        <w:tc>
          <w:tcPr>
            <w:tcW w:w="883" w:type="dxa"/>
          </w:tcPr>
          <w:p w:rsidR="00BA1D08" w:rsidRPr="00413D58" w:rsidRDefault="00BA1D08" w:rsidP="00C05FAA">
            <w:pPr>
              <w:jc w:val="center"/>
              <w:rPr>
                <w:sz w:val="20"/>
                <w:szCs w:val="20"/>
              </w:rPr>
            </w:pPr>
            <w:r w:rsidRPr="00413D58">
              <w:rPr>
                <w:sz w:val="20"/>
                <w:szCs w:val="20"/>
              </w:rPr>
              <w:t>Review</w:t>
            </w:r>
          </w:p>
          <w:p w:rsidR="00BA1D08" w:rsidRPr="00413D58" w:rsidRDefault="00BA1D08" w:rsidP="00C05FAA">
            <w:pPr>
              <w:jc w:val="center"/>
              <w:rPr>
                <w:sz w:val="20"/>
                <w:szCs w:val="20"/>
              </w:rPr>
            </w:pPr>
            <w:r w:rsidRPr="00413D58">
              <w:rPr>
                <w:sz w:val="20"/>
                <w:szCs w:val="20"/>
              </w:rPr>
              <w:t>Est.</w:t>
            </w:r>
          </w:p>
        </w:tc>
        <w:tc>
          <w:tcPr>
            <w:tcW w:w="888" w:type="dxa"/>
          </w:tcPr>
          <w:p w:rsidR="00BA1D08" w:rsidRPr="00413D58" w:rsidRDefault="00BA1D08" w:rsidP="00C05FAA">
            <w:pPr>
              <w:jc w:val="center"/>
              <w:rPr>
                <w:sz w:val="20"/>
                <w:szCs w:val="20"/>
              </w:rPr>
            </w:pPr>
            <w:r w:rsidRPr="00413D58">
              <w:rPr>
                <w:sz w:val="20"/>
                <w:szCs w:val="20"/>
              </w:rPr>
              <w:t>42.2</w:t>
            </w:r>
          </w:p>
        </w:tc>
        <w:tc>
          <w:tcPr>
            <w:tcW w:w="905" w:type="dxa"/>
          </w:tcPr>
          <w:p w:rsidR="00BA1D08" w:rsidRPr="00413D58" w:rsidRDefault="00BA1D08" w:rsidP="00C05FAA">
            <w:pPr>
              <w:jc w:val="center"/>
              <w:rPr>
                <w:sz w:val="20"/>
                <w:szCs w:val="20"/>
              </w:rPr>
            </w:pPr>
            <w:r w:rsidRPr="00413D58">
              <w:rPr>
                <w:sz w:val="20"/>
                <w:szCs w:val="20"/>
              </w:rPr>
              <w:t>35.2</w:t>
            </w:r>
          </w:p>
        </w:tc>
        <w:tc>
          <w:tcPr>
            <w:tcW w:w="976" w:type="dxa"/>
          </w:tcPr>
          <w:p w:rsidR="00BA1D08" w:rsidRPr="00413D58" w:rsidRDefault="00BA1D08" w:rsidP="00C05FAA">
            <w:pPr>
              <w:jc w:val="center"/>
              <w:rPr>
                <w:sz w:val="20"/>
                <w:szCs w:val="20"/>
              </w:rPr>
            </w:pPr>
            <w:r w:rsidRPr="00413D58">
              <w:rPr>
                <w:sz w:val="20"/>
                <w:szCs w:val="20"/>
              </w:rPr>
              <w:t>40.9</w:t>
            </w:r>
          </w:p>
        </w:tc>
        <w:tc>
          <w:tcPr>
            <w:tcW w:w="1123" w:type="dxa"/>
          </w:tcPr>
          <w:p w:rsidR="00BA1D08" w:rsidRPr="00413D58" w:rsidRDefault="00BA1D08" w:rsidP="00C05FAA">
            <w:pPr>
              <w:jc w:val="center"/>
              <w:rPr>
                <w:sz w:val="20"/>
                <w:szCs w:val="20"/>
              </w:rPr>
            </w:pPr>
            <w:r w:rsidRPr="00413D58">
              <w:rPr>
                <w:sz w:val="20"/>
                <w:szCs w:val="20"/>
              </w:rPr>
              <w:t>41.5</w:t>
            </w:r>
          </w:p>
        </w:tc>
        <w:tc>
          <w:tcPr>
            <w:tcW w:w="841" w:type="dxa"/>
          </w:tcPr>
          <w:p w:rsidR="00BA1D08" w:rsidRPr="00413D58" w:rsidRDefault="00BA1D08" w:rsidP="00C05FAA">
            <w:pPr>
              <w:jc w:val="center"/>
              <w:rPr>
                <w:sz w:val="20"/>
                <w:szCs w:val="20"/>
              </w:rPr>
            </w:pPr>
            <w:r w:rsidRPr="00413D58">
              <w:rPr>
                <w:sz w:val="20"/>
                <w:szCs w:val="20"/>
              </w:rPr>
              <w:t>41.4</w:t>
            </w:r>
          </w:p>
        </w:tc>
        <w:tc>
          <w:tcPr>
            <w:tcW w:w="890" w:type="dxa"/>
          </w:tcPr>
          <w:p w:rsidR="00BA1D08" w:rsidRPr="00413D58" w:rsidRDefault="00BA1D08" w:rsidP="00C05FAA">
            <w:pPr>
              <w:jc w:val="center"/>
              <w:rPr>
                <w:sz w:val="20"/>
                <w:szCs w:val="20"/>
              </w:rPr>
            </w:pPr>
            <w:r w:rsidRPr="00413D58">
              <w:rPr>
                <w:sz w:val="20"/>
                <w:szCs w:val="20"/>
              </w:rPr>
              <w:t>33.0</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of schools rated in poor condition (2008)</w:t>
            </w:r>
          </w:p>
        </w:tc>
        <w:tc>
          <w:tcPr>
            <w:tcW w:w="883" w:type="dxa"/>
          </w:tcPr>
          <w:p w:rsidR="00BA1D08" w:rsidRPr="00413D58" w:rsidRDefault="00BA1D08" w:rsidP="00C05FAA">
            <w:pPr>
              <w:jc w:val="center"/>
              <w:rPr>
                <w:sz w:val="20"/>
                <w:szCs w:val="20"/>
              </w:rPr>
            </w:pPr>
            <w:r w:rsidRPr="00413D58">
              <w:rPr>
                <w:sz w:val="20"/>
                <w:szCs w:val="20"/>
              </w:rPr>
              <w:t>3</w:t>
            </w:r>
          </w:p>
        </w:tc>
        <w:tc>
          <w:tcPr>
            <w:tcW w:w="888" w:type="dxa"/>
          </w:tcPr>
          <w:p w:rsidR="00BA1D08" w:rsidRPr="00413D58" w:rsidRDefault="00BA1D08" w:rsidP="00C05FAA">
            <w:pPr>
              <w:jc w:val="center"/>
              <w:rPr>
                <w:sz w:val="20"/>
                <w:szCs w:val="20"/>
              </w:rPr>
            </w:pPr>
            <w:r w:rsidRPr="00413D58">
              <w:rPr>
                <w:sz w:val="20"/>
                <w:szCs w:val="20"/>
              </w:rPr>
              <w:t>18</w:t>
            </w:r>
          </w:p>
        </w:tc>
        <w:tc>
          <w:tcPr>
            <w:tcW w:w="905" w:type="dxa"/>
          </w:tcPr>
          <w:p w:rsidR="00BA1D08" w:rsidRPr="00413D58" w:rsidRDefault="00BA1D08" w:rsidP="00C05FAA">
            <w:pPr>
              <w:jc w:val="center"/>
              <w:rPr>
                <w:sz w:val="20"/>
                <w:szCs w:val="20"/>
              </w:rPr>
            </w:pPr>
            <w:r w:rsidRPr="00413D58">
              <w:rPr>
                <w:sz w:val="20"/>
                <w:szCs w:val="20"/>
              </w:rPr>
              <w:t>19</w:t>
            </w:r>
          </w:p>
        </w:tc>
        <w:tc>
          <w:tcPr>
            <w:tcW w:w="976" w:type="dxa"/>
          </w:tcPr>
          <w:p w:rsidR="00BA1D08" w:rsidRPr="00413D58" w:rsidRDefault="00BA1D08" w:rsidP="00C05FAA">
            <w:pPr>
              <w:jc w:val="center"/>
              <w:rPr>
                <w:sz w:val="20"/>
                <w:szCs w:val="20"/>
              </w:rPr>
            </w:pPr>
            <w:r w:rsidRPr="00413D58">
              <w:rPr>
                <w:sz w:val="20"/>
                <w:szCs w:val="20"/>
              </w:rPr>
              <w:t>18</w:t>
            </w:r>
          </w:p>
        </w:tc>
        <w:tc>
          <w:tcPr>
            <w:tcW w:w="1123" w:type="dxa"/>
          </w:tcPr>
          <w:p w:rsidR="00BA1D08" w:rsidRPr="00413D58" w:rsidRDefault="00BA1D08" w:rsidP="00C05FAA">
            <w:pPr>
              <w:jc w:val="center"/>
              <w:rPr>
                <w:sz w:val="20"/>
                <w:szCs w:val="20"/>
              </w:rPr>
            </w:pPr>
            <w:r w:rsidRPr="00413D58">
              <w:rPr>
                <w:sz w:val="20"/>
                <w:szCs w:val="20"/>
              </w:rPr>
              <w:t>19</w:t>
            </w:r>
          </w:p>
        </w:tc>
        <w:tc>
          <w:tcPr>
            <w:tcW w:w="841" w:type="dxa"/>
          </w:tcPr>
          <w:p w:rsidR="00BA1D08" w:rsidRPr="00413D58" w:rsidRDefault="00BA1D08" w:rsidP="00C05FAA">
            <w:pPr>
              <w:jc w:val="center"/>
              <w:rPr>
                <w:sz w:val="20"/>
                <w:szCs w:val="20"/>
              </w:rPr>
            </w:pPr>
            <w:r w:rsidRPr="00413D58">
              <w:rPr>
                <w:sz w:val="20"/>
                <w:szCs w:val="20"/>
              </w:rPr>
              <w:t>13</w:t>
            </w:r>
          </w:p>
        </w:tc>
        <w:tc>
          <w:tcPr>
            <w:tcW w:w="890" w:type="dxa"/>
          </w:tcPr>
          <w:p w:rsidR="00BA1D08" w:rsidRPr="00413D58" w:rsidRDefault="00BA1D08" w:rsidP="00C05FAA">
            <w:pPr>
              <w:jc w:val="center"/>
              <w:rPr>
                <w:sz w:val="20"/>
                <w:szCs w:val="20"/>
              </w:rPr>
            </w:pPr>
            <w:r w:rsidRPr="00413D58">
              <w:rPr>
                <w:sz w:val="20"/>
                <w:szCs w:val="20"/>
              </w:rPr>
              <w:t>18</w:t>
            </w:r>
          </w:p>
        </w:tc>
      </w:tr>
      <w:tr w:rsidR="00695673" w:rsidRPr="00413D58" w:rsidTr="00695673">
        <w:trPr>
          <w:jc w:val="center"/>
        </w:trPr>
        <w:tc>
          <w:tcPr>
            <w:tcW w:w="2803" w:type="dxa"/>
            <w:shd w:val="clear" w:color="auto" w:fill="BFBFBF" w:themeFill="background1" w:themeFillShade="BF"/>
          </w:tcPr>
          <w:p w:rsidR="00695673" w:rsidRPr="00413D58" w:rsidRDefault="00695673" w:rsidP="00695673">
            <w:pPr>
              <w:jc w:val="both"/>
              <w:rPr>
                <w:sz w:val="20"/>
                <w:szCs w:val="20"/>
              </w:rPr>
            </w:pPr>
            <w:r w:rsidRPr="00413D58">
              <w:rPr>
                <w:sz w:val="20"/>
                <w:szCs w:val="20"/>
              </w:rPr>
              <w:t>Secondary sector (Years 7+)</w:t>
            </w:r>
          </w:p>
        </w:tc>
        <w:tc>
          <w:tcPr>
            <w:tcW w:w="883" w:type="dxa"/>
            <w:shd w:val="clear" w:color="auto" w:fill="BFBFBF" w:themeFill="background1" w:themeFillShade="BF"/>
          </w:tcPr>
          <w:p w:rsidR="00695673" w:rsidRPr="00413D58" w:rsidRDefault="00695673" w:rsidP="00695673">
            <w:pPr>
              <w:jc w:val="center"/>
              <w:rPr>
                <w:sz w:val="20"/>
                <w:szCs w:val="20"/>
              </w:rPr>
            </w:pPr>
          </w:p>
        </w:tc>
        <w:tc>
          <w:tcPr>
            <w:tcW w:w="888" w:type="dxa"/>
            <w:shd w:val="clear" w:color="auto" w:fill="BFBFBF" w:themeFill="background1" w:themeFillShade="BF"/>
          </w:tcPr>
          <w:p w:rsidR="00695673" w:rsidRPr="00413D58" w:rsidRDefault="00695673" w:rsidP="00695673">
            <w:pPr>
              <w:jc w:val="center"/>
              <w:rPr>
                <w:sz w:val="20"/>
                <w:szCs w:val="20"/>
              </w:rPr>
            </w:pPr>
          </w:p>
        </w:tc>
        <w:tc>
          <w:tcPr>
            <w:tcW w:w="905" w:type="dxa"/>
            <w:shd w:val="clear" w:color="auto" w:fill="BFBFBF" w:themeFill="background1" w:themeFillShade="BF"/>
          </w:tcPr>
          <w:p w:rsidR="00695673" w:rsidRPr="00413D58" w:rsidRDefault="00695673" w:rsidP="00695673">
            <w:pPr>
              <w:jc w:val="center"/>
              <w:rPr>
                <w:sz w:val="20"/>
                <w:szCs w:val="20"/>
              </w:rPr>
            </w:pPr>
          </w:p>
        </w:tc>
        <w:tc>
          <w:tcPr>
            <w:tcW w:w="976" w:type="dxa"/>
            <w:shd w:val="clear" w:color="auto" w:fill="BFBFBF" w:themeFill="background1" w:themeFillShade="BF"/>
          </w:tcPr>
          <w:p w:rsidR="00695673" w:rsidRPr="00413D58" w:rsidRDefault="00695673" w:rsidP="00695673">
            <w:pPr>
              <w:jc w:val="center"/>
              <w:rPr>
                <w:sz w:val="20"/>
                <w:szCs w:val="20"/>
              </w:rPr>
            </w:pPr>
          </w:p>
        </w:tc>
        <w:tc>
          <w:tcPr>
            <w:tcW w:w="1123" w:type="dxa"/>
            <w:shd w:val="clear" w:color="auto" w:fill="BFBFBF" w:themeFill="background1" w:themeFillShade="BF"/>
          </w:tcPr>
          <w:p w:rsidR="00695673" w:rsidRPr="00413D58" w:rsidRDefault="00695673" w:rsidP="00695673">
            <w:pPr>
              <w:jc w:val="center"/>
              <w:rPr>
                <w:sz w:val="20"/>
                <w:szCs w:val="20"/>
              </w:rPr>
            </w:pPr>
          </w:p>
        </w:tc>
        <w:tc>
          <w:tcPr>
            <w:tcW w:w="841" w:type="dxa"/>
            <w:shd w:val="clear" w:color="auto" w:fill="BFBFBF" w:themeFill="background1" w:themeFillShade="BF"/>
          </w:tcPr>
          <w:p w:rsidR="00695673" w:rsidRPr="00413D58" w:rsidRDefault="00695673" w:rsidP="00695673">
            <w:pPr>
              <w:jc w:val="center"/>
              <w:rPr>
                <w:sz w:val="20"/>
                <w:szCs w:val="20"/>
              </w:rPr>
            </w:pPr>
          </w:p>
        </w:tc>
        <w:tc>
          <w:tcPr>
            <w:tcW w:w="890" w:type="dxa"/>
            <w:shd w:val="clear" w:color="auto" w:fill="BFBFBF" w:themeFill="background1" w:themeFillShade="BF"/>
          </w:tcPr>
          <w:p w:rsidR="00695673" w:rsidRPr="00413D58" w:rsidRDefault="00695673" w:rsidP="00695673">
            <w:pPr>
              <w:jc w:val="center"/>
              <w:rPr>
                <w:sz w:val="20"/>
                <w:szCs w:val="20"/>
              </w:rPr>
            </w:pPr>
          </w:p>
        </w:tc>
      </w:tr>
      <w:tr w:rsidR="00695673" w:rsidRPr="00413D58" w:rsidTr="00695673">
        <w:trPr>
          <w:jc w:val="center"/>
        </w:trPr>
        <w:tc>
          <w:tcPr>
            <w:tcW w:w="2803" w:type="dxa"/>
          </w:tcPr>
          <w:p w:rsidR="00695673" w:rsidRPr="00413D58" w:rsidRDefault="00695673" w:rsidP="00695673">
            <w:pPr>
              <w:rPr>
                <w:sz w:val="20"/>
                <w:szCs w:val="20"/>
              </w:rPr>
            </w:pPr>
            <w:r w:rsidRPr="00413D58">
              <w:rPr>
                <w:sz w:val="20"/>
                <w:szCs w:val="20"/>
              </w:rPr>
              <w:t xml:space="preserve">Population aged 12-19 (2009) </w:t>
            </w:r>
          </w:p>
        </w:tc>
        <w:tc>
          <w:tcPr>
            <w:tcW w:w="883" w:type="dxa"/>
          </w:tcPr>
          <w:p w:rsidR="00695673" w:rsidRPr="00413D58" w:rsidRDefault="00695673" w:rsidP="00695673">
            <w:pPr>
              <w:jc w:val="center"/>
              <w:rPr>
                <w:sz w:val="20"/>
                <w:szCs w:val="20"/>
              </w:rPr>
            </w:pPr>
            <w:r w:rsidRPr="00413D58">
              <w:rPr>
                <w:sz w:val="20"/>
                <w:szCs w:val="20"/>
              </w:rPr>
              <w:t>1</w:t>
            </w:r>
          </w:p>
        </w:tc>
        <w:tc>
          <w:tcPr>
            <w:tcW w:w="888" w:type="dxa"/>
          </w:tcPr>
          <w:p w:rsidR="00695673" w:rsidRPr="00413D58" w:rsidRDefault="00695673" w:rsidP="00695673">
            <w:pPr>
              <w:jc w:val="center"/>
              <w:rPr>
                <w:sz w:val="20"/>
                <w:szCs w:val="20"/>
              </w:rPr>
            </w:pPr>
            <w:r w:rsidRPr="00413D58">
              <w:rPr>
                <w:sz w:val="20"/>
                <w:szCs w:val="20"/>
              </w:rPr>
              <w:t>1,797</w:t>
            </w:r>
          </w:p>
        </w:tc>
        <w:tc>
          <w:tcPr>
            <w:tcW w:w="905" w:type="dxa"/>
          </w:tcPr>
          <w:p w:rsidR="00695673" w:rsidRPr="00413D58" w:rsidRDefault="00695673" w:rsidP="00695673">
            <w:pPr>
              <w:jc w:val="center"/>
              <w:rPr>
                <w:sz w:val="20"/>
                <w:szCs w:val="20"/>
              </w:rPr>
            </w:pPr>
            <w:r w:rsidRPr="00413D58">
              <w:rPr>
                <w:sz w:val="20"/>
                <w:szCs w:val="20"/>
              </w:rPr>
              <w:t>8,928</w:t>
            </w:r>
          </w:p>
        </w:tc>
        <w:tc>
          <w:tcPr>
            <w:tcW w:w="976" w:type="dxa"/>
          </w:tcPr>
          <w:p w:rsidR="00695673" w:rsidRPr="00413D58" w:rsidRDefault="00695673" w:rsidP="00695673">
            <w:pPr>
              <w:jc w:val="center"/>
              <w:rPr>
                <w:sz w:val="20"/>
                <w:szCs w:val="20"/>
              </w:rPr>
            </w:pPr>
            <w:r w:rsidRPr="00413D58">
              <w:rPr>
                <w:sz w:val="20"/>
                <w:szCs w:val="20"/>
              </w:rPr>
              <w:t>5,925</w:t>
            </w:r>
          </w:p>
        </w:tc>
        <w:tc>
          <w:tcPr>
            <w:tcW w:w="1123" w:type="dxa"/>
          </w:tcPr>
          <w:p w:rsidR="00695673" w:rsidRPr="00413D58" w:rsidRDefault="00695673" w:rsidP="00695673">
            <w:pPr>
              <w:jc w:val="center"/>
              <w:rPr>
                <w:sz w:val="20"/>
                <w:szCs w:val="20"/>
              </w:rPr>
            </w:pPr>
            <w:r w:rsidRPr="00413D58">
              <w:rPr>
                <w:sz w:val="20"/>
                <w:szCs w:val="20"/>
              </w:rPr>
              <w:t>6,673</w:t>
            </w:r>
          </w:p>
        </w:tc>
        <w:tc>
          <w:tcPr>
            <w:tcW w:w="841" w:type="dxa"/>
          </w:tcPr>
          <w:p w:rsidR="00695673" w:rsidRPr="00413D58" w:rsidRDefault="00695673" w:rsidP="00695673">
            <w:pPr>
              <w:jc w:val="center"/>
              <w:rPr>
                <w:sz w:val="20"/>
                <w:szCs w:val="20"/>
              </w:rPr>
            </w:pPr>
            <w:r w:rsidRPr="00413D58">
              <w:rPr>
                <w:sz w:val="20"/>
                <w:szCs w:val="20"/>
              </w:rPr>
              <w:t>14,445</w:t>
            </w:r>
          </w:p>
        </w:tc>
        <w:tc>
          <w:tcPr>
            <w:tcW w:w="890" w:type="dxa"/>
          </w:tcPr>
          <w:p w:rsidR="00695673" w:rsidRPr="00413D58" w:rsidRDefault="00695673" w:rsidP="00695673">
            <w:pPr>
              <w:jc w:val="center"/>
              <w:rPr>
                <w:sz w:val="20"/>
                <w:szCs w:val="20"/>
              </w:rPr>
            </w:pPr>
            <w:r w:rsidRPr="00413D58">
              <w:rPr>
                <w:sz w:val="20"/>
                <w:szCs w:val="20"/>
              </w:rPr>
              <w:t>5,686</w:t>
            </w:r>
          </w:p>
        </w:tc>
      </w:tr>
      <w:tr w:rsidR="00695673" w:rsidRPr="00413D58" w:rsidTr="00695673">
        <w:trPr>
          <w:jc w:val="center"/>
        </w:trPr>
        <w:tc>
          <w:tcPr>
            <w:tcW w:w="2803" w:type="dxa"/>
          </w:tcPr>
          <w:p w:rsidR="00695673" w:rsidRPr="00413D58" w:rsidRDefault="00695673" w:rsidP="00695673">
            <w:pPr>
              <w:rPr>
                <w:sz w:val="20"/>
                <w:szCs w:val="20"/>
              </w:rPr>
            </w:pPr>
            <w:r w:rsidRPr="00413D58">
              <w:rPr>
                <w:sz w:val="20"/>
                <w:szCs w:val="20"/>
              </w:rPr>
              <w:t>Pop aged 12-19 as a % Vanuatu total (2009)</w:t>
            </w:r>
          </w:p>
        </w:tc>
        <w:tc>
          <w:tcPr>
            <w:tcW w:w="883" w:type="dxa"/>
          </w:tcPr>
          <w:p w:rsidR="00695673" w:rsidRPr="00413D58" w:rsidRDefault="00695673" w:rsidP="00695673">
            <w:pPr>
              <w:jc w:val="center"/>
              <w:rPr>
                <w:sz w:val="20"/>
                <w:szCs w:val="20"/>
              </w:rPr>
            </w:pPr>
            <w:r w:rsidRPr="00413D58">
              <w:rPr>
                <w:sz w:val="20"/>
                <w:szCs w:val="20"/>
              </w:rPr>
              <w:t>1</w:t>
            </w:r>
          </w:p>
        </w:tc>
        <w:tc>
          <w:tcPr>
            <w:tcW w:w="888" w:type="dxa"/>
          </w:tcPr>
          <w:p w:rsidR="00695673" w:rsidRPr="00413D58" w:rsidRDefault="00695673" w:rsidP="00695673">
            <w:pPr>
              <w:jc w:val="center"/>
              <w:rPr>
                <w:sz w:val="20"/>
                <w:szCs w:val="20"/>
              </w:rPr>
            </w:pPr>
            <w:r w:rsidRPr="00413D58">
              <w:rPr>
                <w:sz w:val="20"/>
                <w:szCs w:val="20"/>
              </w:rPr>
              <w:t>4.1</w:t>
            </w:r>
          </w:p>
        </w:tc>
        <w:tc>
          <w:tcPr>
            <w:tcW w:w="905" w:type="dxa"/>
          </w:tcPr>
          <w:p w:rsidR="00695673" w:rsidRPr="00413D58" w:rsidRDefault="00695673" w:rsidP="00695673">
            <w:pPr>
              <w:jc w:val="center"/>
              <w:rPr>
                <w:sz w:val="20"/>
                <w:szCs w:val="20"/>
              </w:rPr>
            </w:pPr>
            <w:r w:rsidRPr="00413D58">
              <w:rPr>
                <w:sz w:val="20"/>
                <w:szCs w:val="20"/>
              </w:rPr>
              <w:t>20.5</w:t>
            </w:r>
          </w:p>
        </w:tc>
        <w:tc>
          <w:tcPr>
            <w:tcW w:w="976" w:type="dxa"/>
          </w:tcPr>
          <w:p w:rsidR="00695673" w:rsidRPr="00413D58" w:rsidRDefault="00695673" w:rsidP="00695673">
            <w:pPr>
              <w:jc w:val="center"/>
              <w:rPr>
                <w:sz w:val="20"/>
                <w:szCs w:val="20"/>
              </w:rPr>
            </w:pPr>
            <w:r w:rsidRPr="00413D58">
              <w:rPr>
                <w:sz w:val="20"/>
                <w:szCs w:val="20"/>
              </w:rPr>
              <w:t>13.6</w:t>
            </w:r>
          </w:p>
        </w:tc>
        <w:tc>
          <w:tcPr>
            <w:tcW w:w="1123" w:type="dxa"/>
          </w:tcPr>
          <w:p w:rsidR="00695673" w:rsidRPr="00413D58" w:rsidRDefault="00695673" w:rsidP="00695673">
            <w:pPr>
              <w:jc w:val="center"/>
              <w:rPr>
                <w:sz w:val="20"/>
                <w:szCs w:val="20"/>
              </w:rPr>
            </w:pPr>
            <w:r w:rsidRPr="00413D58">
              <w:rPr>
                <w:sz w:val="20"/>
                <w:szCs w:val="20"/>
              </w:rPr>
              <w:t>15.3</w:t>
            </w:r>
          </w:p>
        </w:tc>
        <w:tc>
          <w:tcPr>
            <w:tcW w:w="841" w:type="dxa"/>
          </w:tcPr>
          <w:p w:rsidR="00695673" w:rsidRPr="00413D58" w:rsidRDefault="00695673" w:rsidP="00695673">
            <w:pPr>
              <w:jc w:val="center"/>
              <w:rPr>
                <w:sz w:val="20"/>
                <w:szCs w:val="20"/>
              </w:rPr>
            </w:pPr>
            <w:r w:rsidRPr="00413D58">
              <w:rPr>
                <w:sz w:val="20"/>
                <w:szCs w:val="20"/>
              </w:rPr>
              <w:t>33.2</w:t>
            </w:r>
          </w:p>
        </w:tc>
        <w:tc>
          <w:tcPr>
            <w:tcW w:w="890" w:type="dxa"/>
          </w:tcPr>
          <w:p w:rsidR="00695673" w:rsidRPr="00413D58" w:rsidRDefault="00695673" w:rsidP="00695673">
            <w:pPr>
              <w:jc w:val="center"/>
              <w:rPr>
                <w:sz w:val="20"/>
                <w:szCs w:val="20"/>
              </w:rPr>
            </w:pPr>
            <w:r w:rsidRPr="00413D58">
              <w:rPr>
                <w:sz w:val="20"/>
                <w:szCs w:val="20"/>
              </w:rPr>
              <w:t>13.1</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Secondary enrolments as a % of Vanuatu total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3.2</w:t>
            </w:r>
          </w:p>
        </w:tc>
        <w:tc>
          <w:tcPr>
            <w:tcW w:w="905" w:type="dxa"/>
          </w:tcPr>
          <w:p w:rsidR="00BA1D08" w:rsidRPr="00413D58" w:rsidRDefault="00BA1D08" w:rsidP="00C05FAA">
            <w:pPr>
              <w:jc w:val="center"/>
              <w:rPr>
                <w:sz w:val="20"/>
                <w:szCs w:val="20"/>
              </w:rPr>
            </w:pPr>
            <w:r w:rsidRPr="00413D58">
              <w:rPr>
                <w:sz w:val="20"/>
                <w:szCs w:val="20"/>
              </w:rPr>
              <w:t>20.3</w:t>
            </w:r>
          </w:p>
        </w:tc>
        <w:tc>
          <w:tcPr>
            <w:tcW w:w="976" w:type="dxa"/>
          </w:tcPr>
          <w:p w:rsidR="00BA1D08" w:rsidRPr="00413D58" w:rsidRDefault="00BA1D08" w:rsidP="00C05FAA">
            <w:pPr>
              <w:jc w:val="center"/>
              <w:rPr>
                <w:sz w:val="20"/>
                <w:szCs w:val="20"/>
              </w:rPr>
            </w:pPr>
            <w:r w:rsidRPr="00413D58">
              <w:rPr>
                <w:sz w:val="20"/>
                <w:szCs w:val="20"/>
              </w:rPr>
              <w:t>12.3</w:t>
            </w:r>
          </w:p>
        </w:tc>
        <w:tc>
          <w:tcPr>
            <w:tcW w:w="1123" w:type="dxa"/>
          </w:tcPr>
          <w:p w:rsidR="00BA1D08" w:rsidRPr="00413D58" w:rsidRDefault="00BA1D08" w:rsidP="00C05FAA">
            <w:pPr>
              <w:jc w:val="center"/>
              <w:rPr>
                <w:sz w:val="20"/>
                <w:szCs w:val="20"/>
              </w:rPr>
            </w:pPr>
            <w:r w:rsidRPr="00413D58">
              <w:rPr>
                <w:sz w:val="20"/>
                <w:szCs w:val="20"/>
              </w:rPr>
              <w:t>14.3</w:t>
            </w:r>
          </w:p>
        </w:tc>
        <w:tc>
          <w:tcPr>
            <w:tcW w:w="841" w:type="dxa"/>
          </w:tcPr>
          <w:p w:rsidR="00BA1D08" w:rsidRPr="00413D58" w:rsidRDefault="00BA1D08" w:rsidP="00C05FAA">
            <w:pPr>
              <w:jc w:val="center"/>
              <w:rPr>
                <w:sz w:val="20"/>
                <w:szCs w:val="20"/>
              </w:rPr>
            </w:pPr>
            <w:r w:rsidRPr="00413D58">
              <w:rPr>
                <w:sz w:val="20"/>
                <w:szCs w:val="20"/>
              </w:rPr>
              <w:t>36.1</w:t>
            </w:r>
          </w:p>
        </w:tc>
        <w:tc>
          <w:tcPr>
            <w:tcW w:w="890" w:type="dxa"/>
          </w:tcPr>
          <w:p w:rsidR="00BA1D08" w:rsidRPr="00413D58" w:rsidRDefault="00BA1D08" w:rsidP="00C05FAA">
            <w:pPr>
              <w:jc w:val="center"/>
              <w:rPr>
                <w:sz w:val="20"/>
                <w:szCs w:val="20"/>
              </w:rPr>
            </w:pPr>
            <w:r w:rsidRPr="00413D58">
              <w:rPr>
                <w:sz w:val="20"/>
                <w:szCs w:val="20"/>
              </w:rPr>
              <w:t>13.2</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Net enrolment rate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36.1</w:t>
            </w:r>
          </w:p>
        </w:tc>
        <w:tc>
          <w:tcPr>
            <w:tcW w:w="905" w:type="dxa"/>
          </w:tcPr>
          <w:p w:rsidR="00BA1D08" w:rsidRPr="00413D58" w:rsidRDefault="00BA1D08" w:rsidP="00C05FAA">
            <w:pPr>
              <w:jc w:val="center"/>
              <w:rPr>
                <w:sz w:val="20"/>
                <w:szCs w:val="20"/>
              </w:rPr>
            </w:pPr>
            <w:r w:rsidRPr="00413D58">
              <w:rPr>
                <w:sz w:val="20"/>
                <w:szCs w:val="20"/>
              </w:rPr>
              <w:t>45.1</w:t>
            </w:r>
          </w:p>
        </w:tc>
        <w:tc>
          <w:tcPr>
            <w:tcW w:w="976" w:type="dxa"/>
          </w:tcPr>
          <w:p w:rsidR="00BA1D08" w:rsidRPr="00413D58" w:rsidRDefault="00BA1D08" w:rsidP="00C05FAA">
            <w:pPr>
              <w:jc w:val="center"/>
              <w:rPr>
                <w:sz w:val="20"/>
                <w:szCs w:val="20"/>
              </w:rPr>
            </w:pPr>
            <w:r w:rsidRPr="00413D58">
              <w:rPr>
                <w:sz w:val="20"/>
                <w:szCs w:val="20"/>
              </w:rPr>
              <w:t>39.4</w:t>
            </w:r>
          </w:p>
        </w:tc>
        <w:tc>
          <w:tcPr>
            <w:tcW w:w="1123" w:type="dxa"/>
          </w:tcPr>
          <w:p w:rsidR="00BA1D08" w:rsidRPr="00413D58" w:rsidRDefault="00BA1D08" w:rsidP="00C05FAA">
            <w:pPr>
              <w:jc w:val="center"/>
              <w:rPr>
                <w:sz w:val="20"/>
                <w:szCs w:val="20"/>
              </w:rPr>
            </w:pPr>
            <w:r w:rsidRPr="00413D58">
              <w:rPr>
                <w:sz w:val="20"/>
                <w:szCs w:val="20"/>
              </w:rPr>
              <w:t>38.4</w:t>
            </w:r>
          </w:p>
        </w:tc>
        <w:tc>
          <w:tcPr>
            <w:tcW w:w="841" w:type="dxa"/>
          </w:tcPr>
          <w:p w:rsidR="00BA1D08" w:rsidRPr="00413D58" w:rsidRDefault="00BA1D08" w:rsidP="00C05FAA">
            <w:pPr>
              <w:jc w:val="center"/>
              <w:rPr>
                <w:sz w:val="20"/>
                <w:szCs w:val="20"/>
              </w:rPr>
            </w:pPr>
            <w:r w:rsidRPr="00413D58">
              <w:rPr>
                <w:sz w:val="20"/>
                <w:szCs w:val="20"/>
              </w:rPr>
              <w:t>46.6</w:t>
            </w:r>
          </w:p>
        </w:tc>
        <w:tc>
          <w:tcPr>
            <w:tcW w:w="890" w:type="dxa"/>
          </w:tcPr>
          <w:p w:rsidR="00BA1D08" w:rsidRPr="00413D58" w:rsidRDefault="00BA1D08" w:rsidP="00C05FAA">
            <w:pPr>
              <w:jc w:val="center"/>
              <w:rPr>
                <w:sz w:val="20"/>
                <w:szCs w:val="20"/>
              </w:rPr>
            </w:pPr>
            <w:r w:rsidRPr="00413D58">
              <w:rPr>
                <w:sz w:val="20"/>
                <w:szCs w:val="20"/>
              </w:rPr>
              <w:t>39.1</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xml:space="preserve">Ratio of </w:t>
            </w:r>
            <w:proofErr w:type="spellStart"/>
            <w:r w:rsidRPr="00413D58">
              <w:rPr>
                <w:sz w:val="20"/>
                <w:szCs w:val="20"/>
              </w:rPr>
              <w:t>GoV</w:t>
            </w:r>
            <w:proofErr w:type="spellEnd"/>
            <w:r w:rsidRPr="00413D58">
              <w:rPr>
                <w:sz w:val="20"/>
                <w:szCs w:val="20"/>
              </w:rPr>
              <w:t>/GA schools to population aged 12-19 (2011/2009)</w:t>
            </w:r>
          </w:p>
        </w:tc>
        <w:tc>
          <w:tcPr>
            <w:tcW w:w="883" w:type="dxa"/>
          </w:tcPr>
          <w:p w:rsidR="00BA1D08" w:rsidRPr="00413D58" w:rsidRDefault="00BA1D08" w:rsidP="00C05FAA">
            <w:pPr>
              <w:jc w:val="center"/>
              <w:rPr>
                <w:sz w:val="20"/>
                <w:szCs w:val="20"/>
              </w:rPr>
            </w:pPr>
            <w:r w:rsidRPr="00413D58">
              <w:rPr>
                <w:sz w:val="20"/>
                <w:szCs w:val="20"/>
              </w:rPr>
              <w:t>1/2</w:t>
            </w:r>
          </w:p>
        </w:tc>
        <w:tc>
          <w:tcPr>
            <w:tcW w:w="888" w:type="dxa"/>
          </w:tcPr>
          <w:p w:rsidR="00BA1D08" w:rsidRPr="00413D58" w:rsidRDefault="00BA1D08" w:rsidP="00C05FAA">
            <w:pPr>
              <w:jc w:val="center"/>
              <w:rPr>
                <w:sz w:val="20"/>
                <w:szCs w:val="20"/>
              </w:rPr>
            </w:pPr>
            <w:r w:rsidRPr="00413D58">
              <w:rPr>
                <w:sz w:val="20"/>
                <w:szCs w:val="20"/>
              </w:rPr>
              <w:t>1:183</w:t>
            </w:r>
          </w:p>
        </w:tc>
        <w:tc>
          <w:tcPr>
            <w:tcW w:w="905" w:type="dxa"/>
          </w:tcPr>
          <w:p w:rsidR="00BA1D08" w:rsidRPr="00413D58" w:rsidRDefault="00BA1D08" w:rsidP="00C05FAA">
            <w:pPr>
              <w:jc w:val="center"/>
              <w:rPr>
                <w:sz w:val="20"/>
                <w:szCs w:val="20"/>
              </w:rPr>
            </w:pPr>
            <w:r w:rsidRPr="00413D58">
              <w:rPr>
                <w:sz w:val="20"/>
                <w:szCs w:val="20"/>
              </w:rPr>
              <w:t>1:287</w:t>
            </w:r>
          </w:p>
        </w:tc>
        <w:tc>
          <w:tcPr>
            <w:tcW w:w="976" w:type="dxa"/>
          </w:tcPr>
          <w:p w:rsidR="00BA1D08" w:rsidRPr="00413D58" w:rsidRDefault="00BA1D08" w:rsidP="00C05FAA">
            <w:pPr>
              <w:jc w:val="center"/>
              <w:rPr>
                <w:sz w:val="20"/>
                <w:szCs w:val="20"/>
              </w:rPr>
            </w:pPr>
            <w:r w:rsidRPr="00413D58">
              <w:rPr>
                <w:sz w:val="20"/>
                <w:szCs w:val="20"/>
              </w:rPr>
              <w:t>1:183</w:t>
            </w:r>
          </w:p>
        </w:tc>
        <w:tc>
          <w:tcPr>
            <w:tcW w:w="1123" w:type="dxa"/>
          </w:tcPr>
          <w:p w:rsidR="00BA1D08" w:rsidRPr="00413D58" w:rsidRDefault="00BA1D08" w:rsidP="00C05FAA">
            <w:pPr>
              <w:jc w:val="center"/>
              <w:rPr>
                <w:sz w:val="20"/>
                <w:szCs w:val="20"/>
              </w:rPr>
            </w:pPr>
            <w:r w:rsidRPr="00413D58">
              <w:rPr>
                <w:sz w:val="20"/>
                <w:szCs w:val="20"/>
              </w:rPr>
              <w:t>1:162</w:t>
            </w:r>
          </w:p>
        </w:tc>
        <w:tc>
          <w:tcPr>
            <w:tcW w:w="841" w:type="dxa"/>
          </w:tcPr>
          <w:p w:rsidR="00BA1D08" w:rsidRPr="00413D58" w:rsidRDefault="00BA1D08" w:rsidP="00C05FAA">
            <w:pPr>
              <w:jc w:val="center"/>
              <w:rPr>
                <w:sz w:val="20"/>
                <w:szCs w:val="20"/>
              </w:rPr>
            </w:pPr>
            <w:r w:rsidRPr="00413D58">
              <w:rPr>
                <w:sz w:val="20"/>
                <w:szCs w:val="20"/>
              </w:rPr>
              <w:t>1:324</w:t>
            </w:r>
          </w:p>
        </w:tc>
        <w:tc>
          <w:tcPr>
            <w:tcW w:w="890" w:type="dxa"/>
          </w:tcPr>
          <w:p w:rsidR="00BA1D08" w:rsidRPr="00413D58" w:rsidRDefault="00BA1D08" w:rsidP="00C05FAA">
            <w:pPr>
              <w:jc w:val="center"/>
              <w:rPr>
                <w:sz w:val="20"/>
                <w:szCs w:val="20"/>
              </w:rPr>
            </w:pPr>
            <w:r w:rsidRPr="00413D58">
              <w:rPr>
                <w:sz w:val="20"/>
                <w:szCs w:val="20"/>
              </w:rPr>
              <w:t>1:173</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Students per teacher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17.2</w:t>
            </w:r>
          </w:p>
        </w:tc>
        <w:tc>
          <w:tcPr>
            <w:tcW w:w="905" w:type="dxa"/>
          </w:tcPr>
          <w:p w:rsidR="00BA1D08" w:rsidRPr="00413D58" w:rsidRDefault="00BA1D08" w:rsidP="00C05FAA">
            <w:pPr>
              <w:jc w:val="center"/>
              <w:rPr>
                <w:sz w:val="20"/>
                <w:szCs w:val="20"/>
              </w:rPr>
            </w:pPr>
            <w:r w:rsidRPr="00413D58">
              <w:rPr>
                <w:sz w:val="20"/>
                <w:szCs w:val="20"/>
              </w:rPr>
              <w:t>17.2</w:t>
            </w:r>
          </w:p>
        </w:tc>
        <w:tc>
          <w:tcPr>
            <w:tcW w:w="976" w:type="dxa"/>
          </w:tcPr>
          <w:p w:rsidR="00BA1D08" w:rsidRPr="00413D58" w:rsidRDefault="00BA1D08" w:rsidP="00C05FAA">
            <w:pPr>
              <w:jc w:val="center"/>
              <w:rPr>
                <w:sz w:val="20"/>
                <w:szCs w:val="20"/>
              </w:rPr>
            </w:pPr>
            <w:r w:rsidRPr="00413D58">
              <w:rPr>
                <w:sz w:val="20"/>
                <w:szCs w:val="20"/>
              </w:rPr>
              <w:t>12.9</w:t>
            </w:r>
          </w:p>
        </w:tc>
        <w:tc>
          <w:tcPr>
            <w:tcW w:w="1123" w:type="dxa"/>
          </w:tcPr>
          <w:p w:rsidR="00BA1D08" w:rsidRPr="00413D58" w:rsidRDefault="00BA1D08" w:rsidP="00C05FAA">
            <w:pPr>
              <w:jc w:val="center"/>
              <w:rPr>
                <w:sz w:val="20"/>
                <w:szCs w:val="20"/>
              </w:rPr>
            </w:pPr>
            <w:r w:rsidRPr="00413D58">
              <w:rPr>
                <w:sz w:val="20"/>
                <w:szCs w:val="20"/>
              </w:rPr>
              <w:t>16.8</w:t>
            </w:r>
          </w:p>
        </w:tc>
        <w:tc>
          <w:tcPr>
            <w:tcW w:w="841" w:type="dxa"/>
          </w:tcPr>
          <w:p w:rsidR="00BA1D08" w:rsidRPr="00413D58" w:rsidRDefault="00BA1D08" w:rsidP="00C05FAA">
            <w:pPr>
              <w:jc w:val="center"/>
              <w:rPr>
                <w:sz w:val="20"/>
                <w:szCs w:val="20"/>
              </w:rPr>
            </w:pPr>
            <w:r w:rsidRPr="00413D58">
              <w:rPr>
                <w:sz w:val="20"/>
                <w:szCs w:val="20"/>
              </w:rPr>
              <w:t>15.5</w:t>
            </w:r>
          </w:p>
        </w:tc>
        <w:tc>
          <w:tcPr>
            <w:tcW w:w="890" w:type="dxa"/>
          </w:tcPr>
          <w:p w:rsidR="00BA1D08" w:rsidRPr="00413D58" w:rsidRDefault="00BA1D08" w:rsidP="00C05FAA">
            <w:pPr>
              <w:jc w:val="center"/>
              <w:rPr>
                <w:sz w:val="20"/>
                <w:szCs w:val="20"/>
              </w:rPr>
            </w:pPr>
            <w:r w:rsidRPr="00413D58">
              <w:rPr>
                <w:sz w:val="20"/>
                <w:szCs w:val="20"/>
              </w:rPr>
              <w:t>15.8</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lastRenderedPageBreak/>
              <w:t xml:space="preserve">Estimated </w:t>
            </w:r>
            <w:proofErr w:type="spellStart"/>
            <w:r w:rsidRPr="00413D58">
              <w:rPr>
                <w:sz w:val="20"/>
                <w:szCs w:val="20"/>
              </w:rPr>
              <w:t>GoV</w:t>
            </w:r>
            <w:proofErr w:type="spellEnd"/>
            <w:r w:rsidRPr="00413D58">
              <w:rPr>
                <w:sz w:val="20"/>
                <w:szCs w:val="20"/>
              </w:rPr>
              <w:t xml:space="preserve">/GA teacher salaries as a % of </w:t>
            </w:r>
            <w:proofErr w:type="spellStart"/>
            <w:r w:rsidRPr="00413D58">
              <w:rPr>
                <w:sz w:val="20"/>
                <w:szCs w:val="20"/>
              </w:rPr>
              <w:t>MoE</w:t>
            </w:r>
            <w:proofErr w:type="spellEnd"/>
            <w:r w:rsidRPr="00413D58">
              <w:rPr>
                <w:sz w:val="20"/>
                <w:szCs w:val="20"/>
              </w:rPr>
              <w:t xml:space="preserve"> total (2012 Budget)</w:t>
            </w:r>
          </w:p>
        </w:tc>
        <w:tc>
          <w:tcPr>
            <w:tcW w:w="883" w:type="dxa"/>
          </w:tcPr>
          <w:p w:rsidR="00BA1D08" w:rsidRPr="00413D58" w:rsidRDefault="00BA1D08" w:rsidP="00C05FAA">
            <w:pPr>
              <w:jc w:val="center"/>
              <w:rPr>
                <w:sz w:val="20"/>
                <w:szCs w:val="20"/>
              </w:rPr>
            </w:pPr>
            <w:r w:rsidRPr="00413D58">
              <w:rPr>
                <w:sz w:val="20"/>
                <w:szCs w:val="20"/>
              </w:rPr>
              <w:t>Review est.</w:t>
            </w:r>
          </w:p>
        </w:tc>
        <w:tc>
          <w:tcPr>
            <w:tcW w:w="888" w:type="dxa"/>
          </w:tcPr>
          <w:p w:rsidR="00BA1D08" w:rsidRPr="00413D58" w:rsidRDefault="00BA1D08" w:rsidP="00C05FAA">
            <w:pPr>
              <w:jc w:val="center"/>
              <w:rPr>
                <w:sz w:val="20"/>
                <w:szCs w:val="20"/>
              </w:rPr>
            </w:pPr>
            <w:r w:rsidRPr="00413D58">
              <w:rPr>
                <w:sz w:val="20"/>
                <w:szCs w:val="20"/>
              </w:rPr>
              <w:t>1.2</w:t>
            </w:r>
          </w:p>
        </w:tc>
        <w:tc>
          <w:tcPr>
            <w:tcW w:w="905" w:type="dxa"/>
          </w:tcPr>
          <w:p w:rsidR="00BA1D08" w:rsidRPr="00413D58" w:rsidRDefault="00BA1D08" w:rsidP="00C05FAA">
            <w:pPr>
              <w:jc w:val="center"/>
              <w:rPr>
                <w:sz w:val="20"/>
                <w:szCs w:val="20"/>
              </w:rPr>
            </w:pPr>
            <w:r w:rsidRPr="00413D58">
              <w:rPr>
                <w:sz w:val="20"/>
                <w:szCs w:val="20"/>
              </w:rPr>
              <w:t>22.4</w:t>
            </w:r>
          </w:p>
        </w:tc>
        <w:tc>
          <w:tcPr>
            <w:tcW w:w="976" w:type="dxa"/>
          </w:tcPr>
          <w:p w:rsidR="00BA1D08" w:rsidRPr="00413D58" w:rsidRDefault="00BA1D08" w:rsidP="00C05FAA">
            <w:pPr>
              <w:jc w:val="center"/>
              <w:rPr>
                <w:sz w:val="20"/>
                <w:szCs w:val="20"/>
              </w:rPr>
            </w:pPr>
            <w:r w:rsidRPr="00413D58">
              <w:rPr>
                <w:sz w:val="20"/>
                <w:szCs w:val="20"/>
              </w:rPr>
              <w:t>13.2</w:t>
            </w:r>
          </w:p>
        </w:tc>
        <w:tc>
          <w:tcPr>
            <w:tcW w:w="1123" w:type="dxa"/>
          </w:tcPr>
          <w:p w:rsidR="00BA1D08" w:rsidRPr="00413D58" w:rsidRDefault="00BA1D08" w:rsidP="00C05FAA">
            <w:pPr>
              <w:jc w:val="center"/>
              <w:rPr>
                <w:sz w:val="20"/>
                <w:szCs w:val="20"/>
              </w:rPr>
            </w:pPr>
            <w:r w:rsidRPr="00413D58">
              <w:rPr>
                <w:sz w:val="20"/>
                <w:szCs w:val="20"/>
              </w:rPr>
              <w:t>14.0</w:t>
            </w:r>
          </w:p>
        </w:tc>
        <w:tc>
          <w:tcPr>
            <w:tcW w:w="841" w:type="dxa"/>
          </w:tcPr>
          <w:p w:rsidR="00BA1D08" w:rsidRPr="00413D58" w:rsidRDefault="00BA1D08" w:rsidP="00C05FAA">
            <w:pPr>
              <w:jc w:val="center"/>
              <w:rPr>
                <w:sz w:val="20"/>
                <w:szCs w:val="20"/>
              </w:rPr>
            </w:pPr>
            <w:r w:rsidRPr="00413D58">
              <w:rPr>
                <w:sz w:val="20"/>
                <w:szCs w:val="20"/>
              </w:rPr>
              <w:t>35.6</w:t>
            </w:r>
          </w:p>
        </w:tc>
        <w:tc>
          <w:tcPr>
            <w:tcW w:w="890" w:type="dxa"/>
          </w:tcPr>
          <w:p w:rsidR="00BA1D08" w:rsidRPr="00413D58" w:rsidRDefault="00BA1D08" w:rsidP="00C05FAA">
            <w:pPr>
              <w:jc w:val="center"/>
              <w:rPr>
                <w:sz w:val="20"/>
                <w:szCs w:val="20"/>
              </w:rPr>
            </w:pPr>
            <w:r w:rsidRPr="00413D58">
              <w:rPr>
                <w:sz w:val="20"/>
                <w:szCs w:val="20"/>
              </w:rPr>
              <w:t>13.0</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Estimated teacher salaries per student (</w:t>
            </w:r>
            <w:proofErr w:type="spellStart"/>
            <w:r w:rsidRPr="00413D58">
              <w:rPr>
                <w:sz w:val="20"/>
                <w:szCs w:val="20"/>
              </w:rPr>
              <w:t>GoV</w:t>
            </w:r>
            <w:proofErr w:type="spellEnd"/>
            <w:r w:rsidRPr="00413D58">
              <w:rPr>
                <w:sz w:val="20"/>
                <w:szCs w:val="20"/>
              </w:rPr>
              <w:t>/GA schools)</w:t>
            </w:r>
          </w:p>
          <w:p w:rsidR="00BA1D08" w:rsidRPr="00413D58" w:rsidRDefault="00BA1D08" w:rsidP="00C05FAA">
            <w:pPr>
              <w:rPr>
                <w:sz w:val="20"/>
                <w:szCs w:val="20"/>
              </w:rPr>
            </w:pPr>
            <w:r w:rsidRPr="00413D58">
              <w:rPr>
                <w:sz w:val="20"/>
                <w:szCs w:val="20"/>
              </w:rPr>
              <w:t>(2011) (VT’000)</w:t>
            </w:r>
          </w:p>
        </w:tc>
        <w:tc>
          <w:tcPr>
            <w:tcW w:w="883" w:type="dxa"/>
          </w:tcPr>
          <w:p w:rsidR="00BA1D08" w:rsidRPr="00413D58" w:rsidRDefault="00BA1D08" w:rsidP="00C05FAA">
            <w:pPr>
              <w:jc w:val="center"/>
              <w:rPr>
                <w:sz w:val="20"/>
                <w:szCs w:val="20"/>
              </w:rPr>
            </w:pPr>
            <w:r w:rsidRPr="00413D58">
              <w:rPr>
                <w:sz w:val="20"/>
                <w:szCs w:val="20"/>
              </w:rPr>
              <w:t>Review</w:t>
            </w:r>
          </w:p>
          <w:p w:rsidR="00BA1D08" w:rsidRPr="00413D58" w:rsidRDefault="00BA1D08" w:rsidP="00C05FAA">
            <w:pPr>
              <w:jc w:val="center"/>
              <w:rPr>
                <w:sz w:val="20"/>
                <w:szCs w:val="20"/>
              </w:rPr>
            </w:pPr>
            <w:r w:rsidRPr="00413D58">
              <w:rPr>
                <w:sz w:val="20"/>
                <w:szCs w:val="20"/>
              </w:rPr>
              <w:t>Est.</w:t>
            </w:r>
          </w:p>
        </w:tc>
        <w:tc>
          <w:tcPr>
            <w:tcW w:w="888" w:type="dxa"/>
          </w:tcPr>
          <w:p w:rsidR="00BA1D08" w:rsidRPr="00413D58" w:rsidRDefault="00BA1D08" w:rsidP="00C05FAA">
            <w:pPr>
              <w:jc w:val="center"/>
              <w:rPr>
                <w:sz w:val="20"/>
                <w:szCs w:val="20"/>
              </w:rPr>
            </w:pPr>
            <w:r w:rsidRPr="00413D58">
              <w:rPr>
                <w:sz w:val="20"/>
                <w:szCs w:val="20"/>
              </w:rPr>
              <w:t>34.0</w:t>
            </w:r>
          </w:p>
        </w:tc>
        <w:tc>
          <w:tcPr>
            <w:tcW w:w="905" w:type="dxa"/>
          </w:tcPr>
          <w:p w:rsidR="00BA1D08" w:rsidRPr="00413D58" w:rsidRDefault="00BA1D08" w:rsidP="00C05FAA">
            <w:pPr>
              <w:jc w:val="center"/>
              <w:rPr>
                <w:sz w:val="20"/>
                <w:szCs w:val="20"/>
              </w:rPr>
            </w:pPr>
            <w:r w:rsidRPr="00413D58">
              <w:rPr>
                <w:sz w:val="20"/>
                <w:szCs w:val="20"/>
              </w:rPr>
              <w:t>64.6</w:t>
            </w:r>
          </w:p>
        </w:tc>
        <w:tc>
          <w:tcPr>
            <w:tcW w:w="976" w:type="dxa"/>
          </w:tcPr>
          <w:p w:rsidR="00BA1D08" w:rsidRPr="00413D58" w:rsidRDefault="00BA1D08" w:rsidP="00C05FAA">
            <w:pPr>
              <w:jc w:val="center"/>
              <w:rPr>
                <w:sz w:val="20"/>
                <w:szCs w:val="20"/>
              </w:rPr>
            </w:pPr>
            <w:r w:rsidRPr="00413D58">
              <w:rPr>
                <w:sz w:val="20"/>
                <w:szCs w:val="20"/>
              </w:rPr>
              <w:t>59.9</w:t>
            </w:r>
          </w:p>
        </w:tc>
        <w:tc>
          <w:tcPr>
            <w:tcW w:w="1123" w:type="dxa"/>
          </w:tcPr>
          <w:p w:rsidR="00BA1D08" w:rsidRPr="00413D58" w:rsidRDefault="00BA1D08" w:rsidP="00C05FAA">
            <w:pPr>
              <w:jc w:val="center"/>
              <w:rPr>
                <w:sz w:val="20"/>
                <w:szCs w:val="20"/>
              </w:rPr>
            </w:pPr>
            <w:r w:rsidRPr="00413D58">
              <w:rPr>
                <w:sz w:val="20"/>
                <w:szCs w:val="20"/>
              </w:rPr>
              <w:t>57.4</w:t>
            </w:r>
          </w:p>
        </w:tc>
        <w:tc>
          <w:tcPr>
            <w:tcW w:w="841" w:type="dxa"/>
          </w:tcPr>
          <w:p w:rsidR="00BA1D08" w:rsidRPr="00413D58" w:rsidRDefault="00BA1D08" w:rsidP="00C05FAA">
            <w:pPr>
              <w:jc w:val="center"/>
              <w:rPr>
                <w:sz w:val="20"/>
                <w:szCs w:val="20"/>
              </w:rPr>
            </w:pPr>
            <w:r w:rsidRPr="00413D58">
              <w:rPr>
                <w:sz w:val="20"/>
                <w:szCs w:val="20"/>
              </w:rPr>
              <w:t>57.7</w:t>
            </w:r>
          </w:p>
        </w:tc>
        <w:tc>
          <w:tcPr>
            <w:tcW w:w="890" w:type="dxa"/>
          </w:tcPr>
          <w:p w:rsidR="00BA1D08" w:rsidRPr="00413D58" w:rsidRDefault="00BA1D08" w:rsidP="00C05FAA">
            <w:pPr>
              <w:jc w:val="center"/>
              <w:rPr>
                <w:sz w:val="20"/>
                <w:szCs w:val="20"/>
              </w:rPr>
            </w:pPr>
            <w:r w:rsidRPr="00413D58">
              <w:rPr>
                <w:sz w:val="20"/>
                <w:szCs w:val="20"/>
              </w:rPr>
              <w:t>57.5</w:t>
            </w:r>
          </w:p>
        </w:tc>
      </w:tr>
      <w:tr w:rsidR="00BA1D08" w:rsidRPr="00413D58" w:rsidTr="00C05FAA">
        <w:trPr>
          <w:jc w:val="center"/>
        </w:trPr>
        <w:tc>
          <w:tcPr>
            <w:tcW w:w="2803" w:type="dxa"/>
          </w:tcPr>
          <w:p w:rsidR="00BA1D08" w:rsidRPr="00413D58" w:rsidRDefault="00BA1D08" w:rsidP="00C05FAA">
            <w:pPr>
              <w:rPr>
                <w:sz w:val="20"/>
                <w:szCs w:val="20"/>
              </w:rPr>
            </w:pPr>
            <w:r w:rsidRPr="00413D58">
              <w:rPr>
                <w:sz w:val="20"/>
                <w:szCs w:val="20"/>
              </w:rPr>
              <w:t>% of schools rated in poor condition (2008)</w:t>
            </w:r>
          </w:p>
        </w:tc>
        <w:tc>
          <w:tcPr>
            <w:tcW w:w="883" w:type="dxa"/>
          </w:tcPr>
          <w:p w:rsidR="00BA1D08" w:rsidRPr="00413D58" w:rsidRDefault="00BA1D08" w:rsidP="00C05FAA">
            <w:pPr>
              <w:jc w:val="center"/>
              <w:rPr>
                <w:sz w:val="20"/>
                <w:szCs w:val="20"/>
              </w:rPr>
            </w:pPr>
            <w:r w:rsidRPr="00413D58">
              <w:rPr>
                <w:sz w:val="20"/>
                <w:szCs w:val="20"/>
              </w:rPr>
              <w:t>3</w:t>
            </w:r>
          </w:p>
        </w:tc>
        <w:tc>
          <w:tcPr>
            <w:tcW w:w="888" w:type="dxa"/>
          </w:tcPr>
          <w:p w:rsidR="00BA1D08" w:rsidRPr="00413D58" w:rsidRDefault="00BA1D08" w:rsidP="00C05FAA">
            <w:pPr>
              <w:jc w:val="center"/>
              <w:rPr>
                <w:sz w:val="20"/>
                <w:szCs w:val="20"/>
              </w:rPr>
            </w:pPr>
            <w:r w:rsidRPr="00413D58">
              <w:rPr>
                <w:sz w:val="20"/>
                <w:szCs w:val="20"/>
              </w:rPr>
              <w:t>0</w:t>
            </w:r>
          </w:p>
        </w:tc>
        <w:tc>
          <w:tcPr>
            <w:tcW w:w="905" w:type="dxa"/>
          </w:tcPr>
          <w:p w:rsidR="00BA1D08" w:rsidRPr="00413D58" w:rsidRDefault="00BA1D08" w:rsidP="00C05FAA">
            <w:pPr>
              <w:jc w:val="center"/>
              <w:rPr>
                <w:sz w:val="20"/>
                <w:szCs w:val="20"/>
              </w:rPr>
            </w:pPr>
            <w:r w:rsidRPr="00413D58">
              <w:rPr>
                <w:sz w:val="20"/>
                <w:szCs w:val="20"/>
              </w:rPr>
              <w:t>1</w:t>
            </w:r>
          </w:p>
        </w:tc>
        <w:tc>
          <w:tcPr>
            <w:tcW w:w="976" w:type="dxa"/>
          </w:tcPr>
          <w:p w:rsidR="00BA1D08" w:rsidRPr="00413D58" w:rsidRDefault="00BA1D08" w:rsidP="00C05FAA">
            <w:pPr>
              <w:jc w:val="center"/>
              <w:rPr>
                <w:sz w:val="20"/>
                <w:szCs w:val="20"/>
              </w:rPr>
            </w:pPr>
            <w:r w:rsidRPr="00413D58">
              <w:rPr>
                <w:sz w:val="20"/>
                <w:szCs w:val="20"/>
              </w:rPr>
              <w:t>18</w:t>
            </w:r>
          </w:p>
        </w:tc>
        <w:tc>
          <w:tcPr>
            <w:tcW w:w="1123" w:type="dxa"/>
          </w:tcPr>
          <w:p w:rsidR="00BA1D08" w:rsidRPr="00413D58" w:rsidRDefault="00BA1D08" w:rsidP="00C05FAA">
            <w:pPr>
              <w:jc w:val="center"/>
              <w:rPr>
                <w:sz w:val="20"/>
                <w:szCs w:val="20"/>
              </w:rPr>
            </w:pPr>
            <w:r w:rsidRPr="00413D58">
              <w:rPr>
                <w:sz w:val="20"/>
                <w:szCs w:val="20"/>
              </w:rPr>
              <w:t>1</w:t>
            </w:r>
          </w:p>
        </w:tc>
        <w:tc>
          <w:tcPr>
            <w:tcW w:w="841" w:type="dxa"/>
          </w:tcPr>
          <w:p w:rsidR="00BA1D08" w:rsidRPr="00413D58" w:rsidRDefault="00BA1D08" w:rsidP="00C05FAA">
            <w:pPr>
              <w:jc w:val="center"/>
              <w:rPr>
                <w:sz w:val="20"/>
                <w:szCs w:val="20"/>
              </w:rPr>
            </w:pPr>
            <w:r w:rsidRPr="00413D58">
              <w:rPr>
                <w:sz w:val="20"/>
                <w:szCs w:val="20"/>
              </w:rPr>
              <w:t>2</w:t>
            </w:r>
          </w:p>
        </w:tc>
        <w:tc>
          <w:tcPr>
            <w:tcW w:w="890" w:type="dxa"/>
          </w:tcPr>
          <w:p w:rsidR="00BA1D08" w:rsidRPr="00413D58" w:rsidRDefault="00BA1D08" w:rsidP="00C05FAA">
            <w:pPr>
              <w:jc w:val="center"/>
              <w:rPr>
                <w:sz w:val="20"/>
                <w:szCs w:val="20"/>
              </w:rPr>
            </w:pPr>
            <w:r w:rsidRPr="00413D58">
              <w:rPr>
                <w:sz w:val="20"/>
                <w:szCs w:val="20"/>
              </w:rPr>
              <w:t>18</w:t>
            </w:r>
          </w:p>
        </w:tc>
      </w:tr>
      <w:tr w:rsidR="00BA1D08" w:rsidRPr="00413D58" w:rsidTr="00C05FAA">
        <w:trPr>
          <w:jc w:val="center"/>
        </w:trPr>
        <w:tc>
          <w:tcPr>
            <w:tcW w:w="9309" w:type="dxa"/>
            <w:gridSpan w:val="8"/>
          </w:tcPr>
          <w:p w:rsidR="00BA1D08" w:rsidRPr="00413D58" w:rsidRDefault="00BA1D08" w:rsidP="00C05FAA">
            <w:pPr>
              <w:rPr>
                <w:szCs w:val="24"/>
              </w:rPr>
            </w:pPr>
            <w:r w:rsidRPr="00413D58">
              <w:rPr>
                <w:szCs w:val="24"/>
              </w:rPr>
              <w:t xml:space="preserve">Sources: (1) National Census 2009; (2) Annual Statistical Report 2010-2011, </w:t>
            </w:r>
            <w:proofErr w:type="spellStart"/>
            <w:r w:rsidRPr="00413D58">
              <w:rPr>
                <w:szCs w:val="24"/>
              </w:rPr>
              <w:t>MoE</w:t>
            </w:r>
            <w:proofErr w:type="spellEnd"/>
            <w:r w:rsidRPr="00413D58">
              <w:rPr>
                <w:szCs w:val="24"/>
              </w:rPr>
              <w:t xml:space="preserve"> (June 2012); (3) </w:t>
            </w:r>
            <w:proofErr w:type="spellStart"/>
            <w:r w:rsidRPr="00413D58">
              <w:rPr>
                <w:szCs w:val="24"/>
              </w:rPr>
              <w:t>MoE</w:t>
            </w:r>
            <w:proofErr w:type="spellEnd"/>
            <w:r w:rsidRPr="00413D58">
              <w:rPr>
                <w:szCs w:val="24"/>
              </w:rPr>
              <w:t xml:space="preserve"> Digest of Education Statistics 2008.</w:t>
            </w:r>
          </w:p>
        </w:tc>
      </w:tr>
    </w:tbl>
    <w:p w:rsidR="00BA1D08" w:rsidRPr="00413D58" w:rsidRDefault="00BA1D08" w:rsidP="00BA1D08">
      <w:pPr>
        <w:jc w:val="both"/>
      </w:pPr>
    </w:p>
    <w:p w:rsidR="00BA1D08" w:rsidRPr="00413D58" w:rsidRDefault="00BA1D08" w:rsidP="00BA1D08">
      <w:pPr>
        <w:jc w:val="both"/>
      </w:pPr>
      <w:r w:rsidRPr="00413D58">
        <w:t>There are some obvious disparities between these indicators at Province level, for example:</w:t>
      </w:r>
    </w:p>
    <w:p w:rsidR="00BA1D08" w:rsidRPr="00413D58" w:rsidRDefault="00BA1D08" w:rsidP="00BA1D08">
      <w:pPr>
        <w:jc w:val="both"/>
      </w:pPr>
    </w:p>
    <w:p w:rsidR="00BA1D08" w:rsidRPr="00413D58" w:rsidRDefault="00BA1D08" w:rsidP="00D34AA0">
      <w:pPr>
        <w:pStyle w:val="ListParagraph"/>
        <w:numPr>
          <w:ilvl w:val="0"/>
          <w:numId w:val="44"/>
        </w:numPr>
        <w:jc w:val="both"/>
      </w:pPr>
      <w:proofErr w:type="spellStart"/>
      <w:r w:rsidRPr="00413D58">
        <w:t>Torba</w:t>
      </w:r>
      <w:proofErr w:type="spellEnd"/>
      <w:r w:rsidRPr="00413D58">
        <w:t xml:space="preserve"> and </w:t>
      </w:r>
      <w:proofErr w:type="spellStart"/>
      <w:r w:rsidRPr="00413D58">
        <w:t>Tafea</w:t>
      </w:r>
      <w:proofErr w:type="spellEnd"/>
      <w:r w:rsidRPr="00413D58">
        <w:t xml:space="preserve"> Provinces have by far the highest percentages of the population aged 15 years or more that have never been to school.</w:t>
      </w:r>
    </w:p>
    <w:p w:rsidR="00BA1D08" w:rsidRPr="00413D58" w:rsidRDefault="00BA1D08" w:rsidP="00D34AA0">
      <w:pPr>
        <w:pStyle w:val="ListParagraph"/>
        <w:numPr>
          <w:ilvl w:val="0"/>
          <w:numId w:val="44"/>
        </w:numPr>
        <w:jc w:val="both"/>
      </w:pPr>
      <w:r w:rsidRPr="00413D58">
        <w:t xml:space="preserve">The ratio of both primary and secondary students to primary and secondary </w:t>
      </w:r>
      <w:proofErr w:type="spellStart"/>
      <w:r w:rsidRPr="00413D58">
        <w:t>GoV</w:t>
      </w:r>
      <w:proofErr w:type="spellEnd"/>
      <w:r w:rsidRPr="00413D58">
        <w:t xml:space="preserve">/GA schools in </w:t>
      </w:r>
      <w:proofErr w:type="spellStart"/>
      <w:r w:rsidRPr="00413D58">
        <w:t>Shefa</w:t>
      </w:r>
      <w:proofErr w:type="spellEnd"/>
      <w:r w:rsidRPr="00413D58">
        <w:t xml:space="preserve"> Province is far above that for other Provinces, perhaps suggesting some degree of primary and secondary school over-crowding in </w:t>
      </w:r>
      <w:proofErr w:type="spellStart"/>
      <w:r w:rsidRPr="00413D58">
        <w:t>Shefa</w:t>
      </w:r>
      <w:proofErr w:type="spellEnd"/>
      <w:r w:rsidRPr="00413D58">
        <w:t>.</w:t>
      </w:r>
    </w:p>
    <w:p w:rsidR="00BA1D08" w:rsidRPr="00413D58" w:rsidRDefault="00BA1D08" w:rsidP="00D34AA0">
      <w:pPr>
        <w:pStyle w:val="ListParagraph"/>
        <w:numPr>
          <w:ilvl w:val="0"/>
          <w:numId w:val="44"/>
        </w:numPr>
        <w:jc w:val="both"/>
      </w:pPr>
      <w:r w:rsidRPr="00413D58">
        <w:t xml:space="preserve">There are wide variations by Province in the ratio of the number of secondary schools to the number of the population aged 12-19 years old, with </w:t>
      </w:r>
      <w:proofErr w:type="spellStart"/>
      <w:r w:rsidRPr="00413D58">
        <w:t>Shefa</w:t>
      </w:r>
      <w:proofErr w:type="spellEnd"/>
      <w:r w:rsidRPr="00413D58">
        <w:t xml:space="preserve"> and </w:t>
      </w:r>
      <w:proofErr w:type="spellStart"/>
      <w:r w:rsidR="004853A6">
        <w:t>Sanma</w:t>
      </w:r>
      <w:proofErr w:type="spellEnd"/>
      <w:r w:rsidRPr="00413D58">
        <w:t xml:space="preserve"> featuring well above the average.</w:t>
      </w:r>
    </w:p>
    <w:p w:rsidR="00BA1D08" w:rsidRPr="00413D58" w:rsidRDefault="00BA1D08" w:rsidP="00BA1D08">
      <w:pPr>
        <w:jc w:val="both"/>
      </w:pPr>
    </w:p>
    <w:p w:rsidR="00BA1D08" w:rsidRPr="00413D58" w:rsidRDefault="00BA1D08" w:rsidP="00BA1D08">
      <w:pPr>
        <w:jc w:val="both"/>
      </w:pPr>
      <w:r w:rsidRPr="00413D58">
        <w:t>Perhaps more surprising in a nation as</w:t>
      </w:r>
      <w:r w:rsidR="00B9036D">
        <w:t xml:space="preserve"> diverse</w:t>
      </w:r>
      <w:r w:rsidRPr="00413D58">
        <w:t xml:space="preserve"> as Vanuatu is the </w:t>
      </w:r>
      <w:r w:rsidRPr="00413D58">
        <w:rPr>
          <w:i/>
        </w:rPr>
        <w:t xml:space="preserve">absence </w:t>
      </w:r>
      <w:r w:rsidRPr="00413D58">
        <w:t>of major disparities in most indicators for most Provinces, especially at the primary school level:</w:t>
      </w:r>
    </w:p>
    <w:p w:rsidR="00BA1D08" w:rsidRPr="00413D58" w:rsidRDefault="00BA1D08" w:rsidP="00BA1D08">
      <w:pPr>
        <w:jc w:val="both"/>
      </w:pPr>
    </w:p>
    <w:p w:rsidR="00BA1D08" w:rsidRPr="00413D58" w:rsidRDefault="00BA1D08" w:rsidP="00D34AA0">
      <w:pPr>
        <w:pStyle w:val="ListParagraph"/>
        <w:numPr>
          <w:ilvl w:val="0"/>
          <w:numId w:val="46"/>
        </w:numPr>
        <w:jc w:val="both"/>
      </w:pPr>
      <w:r w:rsidRPr="00413D58">
        <w:t>At the primary level, allowing a margin for survey and other estimation error:</w:t>
      </w:r>
    </w:p>
    <w:p w:rsidR="00BA1D08" w:rsidRPr="00413D58" w:rsidRDefault="00BA1D08" w:rsidP="00BA1D08">
      <w:pPr>
        <w:jc w:val="both"/>
      </w:pPr>
    </w:p>
    <w:p w:rsidR="00BA1D08" w:rsidRPr="00413D58" w:rsidRDefault="00BA1D08" w:rsidP="00D34AA0">
      <w:pPr>
        <w:pStyle w:val="ListParagraph"/>
        <w:numPr>
          <w:ilvl w:val="2"/>
          <w:numId w:val="45"/>
        </w:numPr>
        <w:ind w:left="993" w:hanging="284"/>
        <w:jc w:val="both"/>
      </w:pPr>
      <w:r w:rsidRPr="00413D58">
        <w:t>Enrolments as a percentage of Vanuatu’s total primary enrolments are broadly consistent with each Province’s share of the population aged 6-11.</w:t>
      </w:r>
    </w:p>
    <w:p w:rsidR="00BA1D08" w:rsidRPr="00413D58" w:rsidRDefault="00BA1D08" w:rsidP="00D34AA0">
      <w:pPr>
        <w:pStyle w:val="ListParagraph"/>
        <w:numPr>
          <w:ilvl w:val="0"/>
          <w:numId w:val="47"/>
        </w:numPr>
        <w:ind w:left="993" w:hanging="284"/>
        <w:jc w:val="both"/>
      </w:pPr>
      <w:r w:rsidRPr="00413D58">
        <w:t xml:space="preserve">With the exception of </w:t>
      </w:r>
      <w:proofErr w:type="spellStart"/>
      <w:r w:rsidRPr="00413D58">
        <w:t>Torba</w:t>
      </w:r>
      <w:proofErr w:type="spellEnd"/>
      <w:r w:rsidRPr="00413D58">
        <w:t>, primary net enrolment rates are broadly similar across each of the other Provinces.</w:t>
      </w:r>
    </w:p>
    <w:p w:rsidR="00BA1D08" w:rsidRPr="00413D58" w:rsidRDefault="00BA1D08" w:rsidP="00D34AA0">
      <w:pPr>
        <w:pStyle w:val="ListParagraph"/>
        <w:numPr>
          <w:ilvl w:val="0"/>
          <w:numId w:val="47"/>
        </w:numPr>
        <w:ind w:left="993" w:hanging="284"/>
        <w:jc w:val="both"/>
      </w:pPr>
      <w:r w:rsidRPr="00413D58">
        <w:t xml:space="preserve">The number of primary </w:t>
      </w:r>
      <w:proofErr w:type="spellStart"/>
      <w:r w:rsidRPr="00413D58">
        <w:t>GoV</w:t>
      </w:r>
      <w:proofErr w:type="spellEnd"/>
      <w:r w:rsidRPr="00413D58">
        <w:t xml:space="preserve">/GA schools per member of the population aged 6-11 is similar for each Province except </w:t>
      </w:r>
      <w:proofErr w:type="spellStart"/>
      <w:r w:rsidRPr="00413D58">
        <w:t>Shefa</w:t>
      </w:r>
      <w:proofErr w:type="spellEnd"/>
      <w:r w:rsidRPr="00413D58">
        <w:t>.</w:t>
      </w:r>
    </w:p>
    <w:p w:rsidR="00BA1D08" w:rsidRPr="00413D58" w:rsidRDefault="00BA1D08" w:rsidP="00D34AA0">
      <w:pPr>
        <w:pStyle w:val="ListParagraph"/>
        <w:numPr>
          <w:ilvl w:val="0"/>
          <w:numId w:val="47"/>
        </w:numPr>
        <w:ind w:left="993" w:hanging="284"/>
        <w:jc w:val="both"/>
      </w:pPr>
      <w:r w:rsidRPr="00413D58">
        <w:t xml:space="preserve">Primary </w:t>
      </w:r>
      <w:proofErr w:type="spellStart"/>
      <w:r w:rsidRPr="00413D58">
        <w:t>student</w:t>
      </w:r>
      <w:proofErr w:type="gramStart"/>
      <w:r w:rsidRPr="00413D58">
        <w:t>:teacher</w:t>
      </w:r>
      <w:proofErr w:type="spellEnd"/>
      <w:proofErr w:type="gramEnd"/>
      <w:r w:rsidRPr="00413D58">
        <w:t xml:space="preserve"> ratios are all in the range 20 to 30 per teacher except (by a small difference) in </w:t>
      </w:r>
      <w:proofErr w:type="spellStart"/>
      <w:r w:rsidRPr="00413D58">
        <w:t>Malampa</w:t>
      </w:r>
      <w:proofErr w:type="spellEnd"/>
      <w:r w:rsidRPr="00413D58">
        <w:t>.</w:t>
      </w:r>
    </w:p>
    <w:p w:rsidR="00BA1D08" w:rsidRPr="00413D58" w:rsidRDefault="00BA1D08" w:rsidP="00D34AA0">
      <w:pPr>
        <w:pStyle w:val="ListParagraph"/>
        <w:numPr>
          <w:ilvl w:val="0"/>
          <w:numId w:val="47"/>
        </w:numPr>
        <w:ind w:left="993" w:hanging="284"/>
        <w:jc w:val="both"/>
      </w:pPr>
      <w:r w:rsidRPr="00413D58">
        <w:t xml:space="preserve"> </w:t>
      </w:r>
      <w:proofErr w:type="spellStart"/>
      <w:r w:rsidRPr="00413D58">
        <w:t>GoV</w:t>
      </w:r>
      <w:proofErr w:type="spellEnd"/>
      <w:r w:rsidRPr="00413D58">
        <w:t xml:space="preserve">/GA primary teacher personal emoluments per Province as a share of the </w:t>
      </w:r>
      <w:proofErr w:type="spellStart"/>
      <w:r w:rsidRPr="00413D58">
        <w:t>MoE</w:t>
      </w:r>
      <w:proofErr w:type="spellEnd"/>
      <w:r w:rsidRPr="00413D58">
        <w:t xml:space="preserve"> total mirror fairly closely the number of enrolees in </w:t>
      </w:r>
      <w:proofErr w:type="spellStart"/>
      <w:r w:rsidRPr="00413D58">
        <w:t>GoV</w:t>
      </w:r>
      <w:proofErr w:type="spellEnd"/>
      <w:r w:rsidRPr="00413D58">
        <w:t xml:space="preserve">/GA primary schools in each Province. </w:t>
      </w:r>
    </w:p>
    <w:p w:rsidR="00BA1D08" w:rsidRPr="00413D58" w:rsidRDefault="00BA1D08" w:rsidP="00D34AA0">
      <w:pPr>
        <w:pStyle w:val="ListParagraph"/>
        <w:numPr>
          <w:ilvl w:val="0"/>
          <w:numId w:val="47"/>
        </w:numPr>
        <w:ind w:left="993" w:hanging="284"/>
        <w:jc w:val="both"/>
      </w:pPr>
      <w:r w:rsidRPr="00413D58">
        <w:t>Estimated primary teacher salaries per student are also similar across four Provinces (</w:t>
      </w:r>
      <w:proofErr w:type="spellStart"/>
      <w:r w:rsidRPr="00413D58">
        <w:t>Sanma</w:t>
      </w:r>
      <w:proofErr w:type="spellEnd"/>
      <w:r w:rsidRPr="00413D58">
        <w:t xml:space="preserve"> and </w:t>
      </w:r>
      <w:proofErr w:type="spellStart"/>
      <w:r w:rsidRPr="00413D58">
        <w:t>Tafea</w:t>
      </w:r>
      <w:proofErr w:type="spellEnd"/>
      <w:r w:rsidRPr="00413D58">
        <w:t xml:space="preserve"> being below the norm for reasons that may merit further enquiry).</w:t>
      </w:r>
    </w:p>
    <w:p w:rsidR="00BA1D08" w:rsidRPr="00413D58" w:rsidRDefault="00BA1D08" w:rsidP="00BA1D08">
      <w:pPr>
        <w:jc w:val="both"/>
      </w:pPr>
    </w:p>
    <w:p w:rsidR="00BA1D08" w:rsidRPr="00413D58" w:rsidRDefault="00BA1D08" w:rsidP="00D34AA0">
      <w:pPr>
        <w:pStyle w:val="ListParagraph"/>
        <w:numPr>
          <w:ilvl w:val="0"/>
          <w:numId w:val="45"/>
        </w:numPr>
        <w:jc w:val="both"/>
      </w:pPr>
      <w:r w:rsidRPr="00413D58">
        <w:t xml:space="preserve">At the Secondary level there is more apparent diversity but some of this is explainable in terms of differences between Provinces in their endowments of junior and senior secondary schools.  The best example here is </w:t>
      </w:r>
      <w:proofErr w:type="spellStart"/>
      <w:r w:rsidRPr="00413D58">
        <w:t>Torba</w:t>
      </w:r>
      <w:proofErr w:type="spellEnd"/>
      <w:r w:rsidRPr="00413D58">
        <w:t xml:space="preserve"> which, without senior secondary schooling, features behind other Provinces against the indicators of secondary enrolment rate as a percentage of the Vanuatu total, net enrolment rate and estimated teacher salary per student.</w:t>
      </w:r>
    </w:p>
    <w:p w:rsidR="00BA1D08" w:rsidRPr="00413D58" w:rsidRDefault="00BA1D08" w:rsidP="00BA1D08">
      <w:pPr>
        <w:jc w:val="both"/>
      </w:pPr>
    </w:p>
    <w:p w:rsidR="00BA1D08" w:rsidRPr="00413D58" w:rsidRDefault="00BA1D08" w:rsidP="00D34AA0">
      <w:pPr>
        <w:pStyle w:val="ListParagraph"/>
        <w:numPr>
          <w:ilvl w:val="1"/>
          <w:numId w:val="45"/>
        </w:numPr>
        <w:ind w:left="993" w:hanging="284"/>
        <w:jc w:val="both"/>
      </w:pPr>
      <w:r w:rsidRPr="00413D58">
        <w:t>Nevertheless, the majority of indicators fall within broadly similar bounds for most indicators.</w:t>
      </w:r>
    </w:p>
    <w:p w:rsidR="00BA1D08" w:rsidRPr="00413D58" w:rsidRDefault="00BA1D08" w:rsidP="00D34AA0">
      <w:pPr>
        <w:pStyle w:val="ListParagraph"/>
        <w:numPr>
          <w:ilvl w:val="1"/>
          <w:numId w:val="45"/>
        </w:numPr>
        <w:ind w:left="993" w:hanging="284"/>
        <w:jc w:val="both"/>
      </w:pPr>
      <w:r w:rsidRPr="00413D58">
        <w:t>The indicators for ‘percentage of secondary schools rated in poor condition (2008)’ must be regarded with some caution.</w:t>
      </w:r>
    </w:p>
    <w:p w:rsidR="00BA1D08" w:rsidRPr="00413D58" w:rsidRDefault="00BA1D08" w:rsidP="00BA1D08">
      <w:pPr>
        <w:jc w:val="both"/>
      </w:pPr>
    </w:p>
    <w:p w:rsidR="00BA1D08" w:rsidRDefault="00BA1D08" w:rsidP="00BA1D08">
      <w:pPr>
        <w:jc w:val="both"/>
      </w:pPr>
      <w:r w:rsidRPr="00413D58">
        <w:t xml:space="preserve">Data for comparable indicators by Province at the </w:t>
      </w:r>
      <w:proofErr w:type="spellStart"/>
      <w:r w:rsidRPr="00413D58">
        <w:t>post secondary</w:t>
      </w:r>
      <w:proofErr w:type="spellEnd"/>
      <w:r w:rsidRPr="00413D58">
        <w:t xml:space="preserve"> level are unavailable.  Table </w:t>
      </w:r>
      <w:r w:rsidR="006E77CA">
        <w:t>23</w:t>
      </w:r>
      <w:r w:rsidRPr="00413D58">
        <w:t xml:space="preserve"> presents what is known in relation to scholarships. There is no explanation currently available for the (apparently) disproportionate shares of </w:t>
      </w:r>
      <w:proofErr w:type="spellStart"/>
      <w:r w:rsidRPr="00413D58">
        <w:t>Penama</w:t>
      </w:r>
      <w:proofErr w:type="spellEnd"/>
      <w:r w:rsidRPr="00413D58">
        <w:t xml:space="preserve"> and </w:t>
      </w:r>
      <w:proofErr w:type="spellStart"/>
      <w:r w:rsidRPr="00413D58">
        <w:t>Malampa</w:t>
      </w:r>
      <w:proofErr w:type="spellEnd"/>
      <w:r w:rsidRPr="00413D58">
        <w:t xml:space="preserve"> in the total of all scholarships awarded in 2011.</w:t>
      </w:r>
    </w:p>
    <w:p w:rsidR="00635B90" w:rsidRPr="00413D58" w:rsidRDefault="00635B90" w:rsidP="00BA1D08">
      <w:pPr>
        <w:jc w:val="both"/>
      </w:pPr>
    </w:p>
    <w:tbl>
      <w:tblPr>
        <w:tblStyle w:val="TableGrid"/>
        <w:tblW w:w="0" w:type="auto"/>
        <w:jc w:val="center"/>
        <w:tblLook w:val="04A0" w:firstRow="1" w:lastRow="0" w:firstColumn="1" w:lastColumn="0" w:noHBand="0" w:noVBand="1"/>
        <w:tblCaption w:val="Table 23: Selected scholarship indicators by Province"/>
      </w:tblPr>
      <w:tblGrid>
        <w:gridCol w:w="2770"/>
        <w:gridCol w:w="883"/>
        <w:gridCol w:w="888"/>
        <w:gridCol w:w="905"/>
        <w:gridCol w:w="976"/>
        <w:gridCol w:w="1123"/>
        <w:gridCol w:w="841"/>
        <w:gridCol w:w="841"/>
      </w:tblGrid>
      <w:tr w:rsidR="00BA1D08" w:rsidRPr="00413D58" w:rsidTr="00D339A4">
        <w:trPr>
          <w:tblHeader/>
          <w:jc w:val="center"/>
        </w:trPr>
        <w:tc>
          <w:tcPr>
            <w:tcW w:w="9227" w:type="dxa"/>
            <w:gridSpan w:val="8"/>
            <w:shd w:val="clear" w:color="auto" w:fill="BFBFBF" w:themeFill="background1" w:themeFillShade="BF"/>
          </w:tcPr>
          <w:p w:rsidR="00743573" w:rsidRDefault="00BA1D08">
            <w:pPr>
              <w:jc w:val="both"/>
              <w:rPr>
                <w:sz w:val="20"/>
                <w:szCs w:val="20"/>
              </w:rPr>
            </w:pPr>
            <w:r w:rsidRPr="00413D58">
              <w:t xml:space="preserve">Table </w:t>
            </w:r>
            <w:r w:rsidR="006E77CA">
              <w:t>23</w:t>
            </w:r>
            <w:r w:rsidRPr="00413D58">
              <w:t xml:space="preserve">: Selected </w:t>
            </w:r>
            <w:r w:rsidR="004853A6">
              <w:t xml:space="preserve">scholarship </w:t>
            </w:r>
            <w:r w:rsidRPr="00413D58">
              <w:t>indicators by Province</w:t>
            </w:r>
          </w:p>
        </w:tc>
      </w:tr>
      <w:tr w:rsidR="00BA1D08" w:rsidRPr="00413D58" w:rsidTr="00C05FAA">
        <w:trPr>
          <w:jc w:val="center"/>
        </w:trPr>
        <w:tc>
          <w:tcPr>
            <w:tcW w:w="2770" w:type="dxa"/>
          </w:tcPr>
          <w:p w:rsidR="00BA1D08" w:rsidRPr="00413D58" w:rsidRDefault="00BA1D08" w:rsidP="00C05FAA">
            <w:pPr>
              <w:jc w:val="both"/>
            </w:pPr>
          </w:p>
        </w:tc>
        <w:tc>
          <w:tcPr>
            <w:tcW w:w="883" w:type="dxa"/>
          </w:tcPr>
          <w:p w:rsidR="00BA1D08" w:rsidRPr="00413D58" w:rsidRDefault="00BA1D08" w:rsidP="00C05FAA">
            <w:pPr>
              <w:jc w:val="both"/>
            </w:pPr>
            <w:r w:rsidRPr="00413D58">
              <w:t>Source</w:t>
            </w:r>
          </w:p>
        </w:tc>
        <w:tc>
          <w:tcPr>
            <w:tcW w:w="888" w:type="dxa"/>
          </w:tcPr>
          <w:p w:rsidR="00BA1D08" w:rsidRPr="00413D58" w:rsidRDefault="00BA1D08" w:rsidP="00C05FAA">
            <w:pPr>
              <w:jc w:val="both"/>
            </w:pPr>
            <w:proofErr w:type="spellStart"/>
            <w:r w:rsidRPr="00413D58">
              <w:t>Torba</w:t>
            </w:r>
            <w:proofErr w:type="spellEnd"/>
          </w:p>
        </w:tc>
        <w:tc>
          <w:tcPr>
            <w:tcW w:w="905" w:type="dxa"/>
          </w:tcPr>
          <w:p w:rsidR="00BA1D08" w:rsidRPr="00413D58" w:rsidRDefault="00BA1D08" w:rsidP="00C05FAA">
            <w:pPr>
              <w:jc w:val="both"/>
            </w:pPr>
            <w:proofErr w:type="spellStart"/>
            <w:r w:rsidRPr="00413D58">
              <w:t>Sanma</w:t>
            </w:r>
            <w:proofErr w:type="spellEnd"/>
          </w:p>
        </w:tc>
        <w:tc>
          <w:tcPr>
            <w:tcW w:w="976" w:type="dxa"/>
          </w:tcPr>
          <w:p w:rsidR="00BA1D08" w:rsidRPr="00413D58" w:rsidRDefault="00BA1D08" w:rsidP="00C05FAA">
            <w:pPr>
              <w:jc w:val="both"/>
            </w:pPr>
            <w:proofErr w:type="spellStart"/>
            <w:r w:rsidRPr="00413D58">
              <w:t>Penama</w:t>
            </w:r>
            <w:proofErr w:type="spellEnd"/>
          </w:p>
        </w:tc>
        <w:tc>
          <w:tcPr>
            <w:tcW w:w="1123" w:type="dxa"/>
          </w:tcPr>
          <w:p w:rsidR="00BA1D08" w:rsidRPr="00413D58" w:rsidRDefault="00BA1D08" w:rsidP="00C05FAA">
            <w:pPr>
              <w:jc w:val="both"/>
            </w:pPr>
            <w:proofErr w:type="spellStart"/>
            <w:r w:rsidRPr="00413D58">
              <w:t>Malampa</w:t>
            </w:r>
            <w:proofErr w:type="spellEnd"/>
          </w:p>
        </w:tc>
        <w:tc>
          <w:tcPr>
            <w:tcW w:w="841" w:type="dxa"/>
          </w:tcPr>
          <w:p w:rsidR="00BA1D08" w:rsidRPr="00413D58" w:rsidRDefault="00BA1D08" w:rsidP="00C05FAA">
            <w:pPr>
              <w:jc w:val="both"/>
            </w:pPr>
            <w:proofErr w:type="spellStart"/>
            <w:r w:rsidRPr="00413D58">
              <w:t>Shefa</w:t>
            </w:r>
            <w:proofErr w:type="spellEnd"/>
          </w:p>
        </w:tc>
        <w:tc>
          <w:tcPr>
            <w:tcW w:w="841" w:type="dxa"/>
          </w:tcPr>
          <w:p w:rsidR="00BA1D08" w:rsidRPr="00413D58" w:rsidRDefault="00BA1D08" w:rsidP="00C05FAA">
            <w:pPr>
              <w:jc w:val="both"/>
            </w:pPr>
            <w:proofErr w:type="spellStart"/>
            <w:r w:rsidRPr="00413D58">
              <w:t>Tafea</w:t>
            </w:r>
            <w:proofErr w:type="spellEnd"/>
          </w:p>
        </w:tc>
      </w:tr>
      <w:tr w:rsidR="00BA1D08" w:rsidRPr="00413D58" w:rsidTr="00C05FAA">
        <w:trPr>
          <w:jc w:val="center"/>
        </w:trPr>
        <w:tc>
          <w:tcPr>
            <w:tcW w:w="2770" w:type="dxa"/>
          </w:tcPr>
          <w:p w:rsidR="00BA1D08" w:rsidRPr="00413D58" w:rsidRDefault="00BA1D08" w:rsidP="00C05FAA">
            <w:pPr>
              <w:rPr>
                <w:sz w:val="20"/>
                <w:szCs w:val="20"/>
              </w:rPr>
            </w:pPr>
            <w:r w:rsidRPr="00413D58">
              <w:rPr>
                <w:sz w:val="20"/>
                <w:szCs w:val="20"/>
              </w:rPr>
              <w:t>% of Vanuatu total population aged 20-24 (2009)</w:t>
            </w:r>
          </w:p>
        </w:tc>
        <w:tc>
          <w:tcPr>
            <w:tcW w:w="883" w:type="dxa"/>
          </w:tcPr>
          <w:p w:rsidR="00BA1D08" w:rsidRPr="00413D58" w:rsidRDefault="00BA1D08" w:rsidP="00C05FAA">
            <w:pPr>
              <w:jc w:val="center"/>
              <w:rPr>
                <w:sz w:val="20"/>
                <w:szCs w:val="20"/>
              </w:rPr>
            </w:pPr>
            <w:r w:rsidRPr="00413D58">
              <w:rPr>
                <w:sz w:val="20"/>
                <w:szCs w:val="20"/>
              </w:rPr>
              <w:t>1</w:t>
            </w:r>
          </w:p>
        </w:tc>
        <w:tc>
          <w:tcPr>
            <w:tcW w:w="888" w:type="dxa"/>
          </w:tcPr>
          <w:p w:rsidR="00BA1D08" w:rsidRPr="00413D58" w:rsidRDefault="00BA1D08" w:rsidP="00C05FAA">
            <w:pPr>
              <w:jc w:val="center"/>
              <w:rPr>
                <w:sz w:val="20"/>
                <w:szCs w:val="20"/>
              </w:rPr>
            </w:pPr>
            <w:r w:rsidRPr="00413D58">
              <w:rPr>
                <w:sz w:val="20"/>
                <w:szCs w:val="20"/>
              </w:rPr>
              <w:t>3.7</w:t>
            </w:r>
          </w:p>
        </w:tc>
        <w:tc>
          <w:tcPr>
            <w:tcW w:w="905" w:type="dxa"/>
          </w:tcPr>
          <w:p w:rsidR="00BA1D08" w:rsidRPr="00413D58" w:rsidRDefault="00BA1D08" w:rsidP="00C05FAA">
            <w:pPr>
              <w:jc w:val="center"/>
              <w:rPr>
                <w:sz w:val="20"/>
                <w:szCs w:val="20"/>
              </w:rPr>
            </w:pPr>
            <w:r w:rsidRPr="00413D58">
              <w:rPr>
                <w:sz w:val="20"/>
                <w:szCs w:val="20"/>
              </w:rPr>
              <w:t>19.1</w:t>
            </w:r>
          </w:p>
        </w:tc>
        <w:tc>
          <w:tcPr>
            <w:tcW w:w="976" w:type="dxa"/>
          </w:tcPr>
          <w:p w:rsidR="00BA1D08" w:rsidRPr="00413D58" w:rsidRDefault="00BA1D08" w:rsidP="00C05FAA">
            <w:pPr>
              <w:jc w:val="center"/>
              <w:rPr>
                <w:sz w:val="20"/>
                <w:szCs w:val="20"/>
              </w:rPr>
            </w:pPr>
            <w:r w:rsidRPr="00413D58">
              <w:rPr>
                <w:sz w:val="20"/>
                <w:szCs w:val="20"/>
              </w:rPr>
              <w:t>10.3</w:t>
            </w:r>
          </w:p>
        </w:tc>
        <w:tc>
          <w:tcPr>
            <w:tcW w:w="1123" w:type="dxa"/>
          </w:tcPr>
          <w:p w:rsidR="00BA1D08" w:rsidRPr="00413D58" w:rsidRDefault="00BA1D08" w:rsidP="00C05FAA">
            <w:pPr>
              <w:jc w:val="center"/>
              <w:rPr>
                <w:sz w:val="20"/>
                <w:szCs w:val="20"/>
              </w:rPr>
            </w:pPr>
            <w:r w:rsidRPr="00413D58">
              <w:rPr>
                <w:sz w:val="20"/>
                <w:szCs w:val="20"/>
              </w:rPr>
              <w:t>12.6</w:t>
            </w:r>
          </w:p>
        </w:tc>
        <w:tc>
          <w:tcPr>
            <w:tcW w:w="841" w:type="dxa"/>
          </w:tcPr>
          <w:p w:rsidR="00BA1D08" w:rsidRPr="00413D58" w:rsidRDefault="00BA1D08" w:rsidP="00C05FAA">
            <w:pPr>
              <w:jc w:val="center"/>
              <w:rPr>
                <w:sz w:val="20"/>
                <w:szCs w:val="20"/>
              </w:rPr>
            </w:pPr>
            <w:r w:rsidRPr="00413D58">
              <w:rPr>
                <w:sz w:val="20"/>
                <w:szCs w:val="20"/>
              </w:rPr>
              <w:t>42.6</w:t>
            </w:r>
          </w:p>
        </w:tc>
        <w:tc>
          <w:tcPr>
            <w:tcW w:w="841" w:type="dxa"/>
          </w:tcPr>
          <w:p w:rsidR="00BA1D08" w:rsidRPr="00413D58" w:rsidRDefault="00BA1D08" w:rsidP="00C05FAA">
            <w:pPr>
              <w:jc w:val="center"/>
              <w:rPr>
                <w:sz w:val="20"/>
                <w:szCs w:val="20"/>
              </w:rPr>
            </w:pPr>
            <w:r w:rsidRPr="00413D58">
              <w:rPr>
                <w:sz w:val="20"/>
                <w:szCs w:val="20"/>
              </w:rPr>
              <w:t>11.8</w:t>
            </w:r>
          </w:p>
        </w:tc>
      </w:tr>
      <w:tr w:rsidR="00BA1D08" w:rsidRPr="00413D58" w:rsidTr="00C05FAA">
        <w:trPr>
          <w:jc w:val="center"/>
        </w:trPr>
        <w:tc>
          <w:tcPr>
            <w:tcW w:w="2770" w:type="dxa"/>
          </w:tcPr>
          <w:p w:rsidR="00BA1D08" w:rsidRPr="00413D58" w:rsidRDefault="00BA1D08" w:rsidP="00C05FAA">
            <w:pPr>
              <w:rPr>
                <w:sz w:val="20"/>
                <w:szCs w:val="20"/>
              </w:rPr>
            </w:pPr>
            <w:r w:rsidRPr="00413D58">
              <w:rPr>
                <w:sz w:val="20"/>
                <w:szCs w:val="20"/>
              </w:rPr>
              <w:t>% of scholarships awarded (all funding sources) (2011)</w:t>
            </w:r>
          </w:p>
        </w:tc>
        <w:tc>
          <w:tcPr>
            <w:tcW w:w="883" w:type="dxa"/>
          </w:tcPr>
          <w:p w:rsidR="00BA1D08" w:rsidRPr="00413D58" w:rsidRDefault="00BA1D08" w:rsidP="00C05FAA">
            <w:pPr>
              <w:jc w:val="center"/>
              <w:rPr>
                <w:sz w:val="20"/>
                <w:szCs w:val="20"/>
              </w:rPr>
            </w:pPr>
            <w:r w:rsidRPr="00413D58">
              <w:rPr>
                <w:sz w:val="20"/>
                <w:szCs w:val="20"/>
              </w:rPr>
              <w:t>2</w:t>
            </w:r>
          </w:p>
        </w:tc>
        <w:tc>
          <w:tcPr>
            <w:tcW w:w="888" w:type="dxa"/>
          </w:tcPr>
          <w:p w:rsidR="00BA1D08" w:rsidRPr="00413D58" w:rsidRDefault="00BA1D08" w:rsidP="00C05FAA">
            <w:pPr>
              <w:jc w:val="center"/>
              <w:rPr>
                <w:sz w:val="20"/>
                <w:szCs w:val="20"/>
              </w:rPr>
            </w:pPr>
            <w:r w:rsidRPr="00413D58">
              <w:rPr>
                <w:sz w:val="20"/>
                <w:szCs w:val="20"/>
              </w:rPr>
              <w:t>0.5</w:t>
            </w:r>
          </w:p>
        </w:tc>
        <w:tc>
          <w:tcPr>
            <w:tcW w:w="905" w:type="dxa"/>
          </w:tcPr>
          <w:p w:rsidR="00BA1D08" w:rsidRPr="00413D58" w:rsidRDefault="00BA1D08" w:rsidP="00C05FAA">
            <w:pPr>
              <w:jc w:val="center"/>
              <w:rPr>
                <w:sz w:val="20"/>
                <w:szCs w:val="20"/>
              </w:rPr>
            </w:pPr>
            <w:r w:rsidRPr="00413D58">
              <w:rPr>
                <w:sz w:val="20"/>
                <w:szCs w:val="20"/>
              </w:rPr>
              <w:t>7.2</w:t>
            </w:r>
          </w:p>
        </w:tc>
        <w:tc>
          <w:tcPr>
            <w:tcW w:w="976" w:type="dxa"/>
          </w:tcPr>
          <w:p w:rsidR="00BA1D08" w:rsidRPr="00413D58" w:rsidRDefault="00BA1D08" w:rsidP="00C05FAA">
            <w:pPr>
              <w:jc w:val="center"/>
              <w:rPr>
                <w:sz w:val="20"/>
                <w:szCs w:val="20"/>
              </w:rPr>
            </w:pPr>
            <w:r w:rsidRPr="00413D58">
              <w:rPr>
                <w:sz w:val="20"/>
                <w:szCs w:val="20"/>
              </w:rPr>
              <w:t>32.5</w:t>
            </w:r>
          </w:p>
        </w:tc>
        <w:tc>
          <w:tcPr>
            <w:tcW w:w="1123" w:type="dxa"/>
          </w:tcPr>
          <w:p w:rsidR="00BA1D08" w:rsidRPr="00413D58" w:rsidRDefault="00BA1D08" w:rsidP="00C05FAA">
            <w:pPr>
              <w:jc w:val="center"/>
              <w:rPr>
                <w:sz w:val="20"/>
                <w:szCs w:val="20"/>
              </w:rPr>
            </w:pPr>
            <w:r w:rsidRPr="00413D58">
              <w:rPr>
                <w:sz w:val="20"/>
                <w:szCs w:val="20"/>
              </w:rPr>
              <w:t>33.9</w:t>
            </w:r>
          </w:p>
        </w:tc>
        <w:tc>
          <w:tcPr>
            <w:tcW w:w="841" w:type="dxa"/>
          </w:tcPr>
          <w:p w:rsidR="00BA1D08" w:rsidRPr="00413D58" w:rsidRDefault="00BA1D08" w:rsidP="00C05FAA">
            <w:pPr>
              <w:jc w:val="center"/>
              <w:rPr>
                <w:sz w:val="20"/>
                <w:szCs w:val="20"/>
              </w:rPr>
            </w:pPr>
            <w:r w:rsidRPr="00413D58">
              <w:rPr>
                <w:sz w:val="20"/>
                <w:szCs w:val="20"/>
              </w:rPr>
              <w:t>15.2</w:t>
            </w:r>
          </w:p>
        </w:tc>
        <w:tc>
          <w:tcPr>
            <w:tcW w:w="841" w:type="dxa"/>
          </w:tcPr>
          <w:p w:rsidR="00BA1D08" w:rsidRPr="00413D58" w:rsidRDefault="00BA1D08" w:rsidP="00C05FAA">
            <w:pPr>
              <w:jc w:val="center"/>
              <w:rPr>
                <w:sz w:val="20"/>
                <w:szCs w:val="20"/>
              </w:rPr>
            </w:pPr>
            <w:r w:rsidRPr="00413D58">
              <w:rPr>
                <w:sz w:val="20"/>
                <w:szCs w:val="20"/>
              </w:rPr>
              <w:t>10.6</w:t>
            </w:r>
          </w:p>
        </w:tc>
      </w:tr>
      <w:tr w:rsidR="00BA1D08" w:rsidRPr="00413D58" w:rsidTr="00C05FAA">
        <w:trPr>
          <w:jc w:val="center"/>
        </w:trPr>
        <w:tc>
          <w:tcPr>
            <w:tcW w:w="9227" w:type="dxa"/>
            <w:gridSpan w:val="8"/>
          </w:tcPr>
          <w:p w:rsidR="00BA1D08" w:rsidRPr="00413D58" w:rsidRDefault="00BA1D08" w:rsidP="00C05FAA">
            <w:pPr>
              <w:rPr>
                <w:szCs w:val="24"/>
              </w:rPr>
            </w:pPr>
            <w:r w:rsidRPr="00413D58">
              <w:rPr>
                <w:szCs w:val="24"/>
              </w:rPr>
              <w:t xml:space="preserve">Sources: (1) National Census 2009; (2) Annual Statistical Report 2010-211, </w:t>
            </w:r>
            <w:proofErr w:type="spellStart"/>
            <w:r w:rsidRPr="00413D58">
              <w:rPr>
                <w:szCs w:val="24"/>
              </w:rPr>
              <w:t>MoE</w:t>
            </w:r>
            <w:proofErr w:type="spellEnd"/>
            <w:r w:rsidRPr="00413D58">
              <w:rPr>
                <w:szCs w:val="24"/>
              </w:rPr>
              <w:t xml:space="preserve"> (June 2012)</w:t>
            </w:r>
          </w:p>
        </w:tc>
      </w:tr>
    </w:tbl>
    <w:p w:rsidR="00BA1D08" w:rsidRPr="00413D58" w:rsidRDefault="00BA1D08" w:rsidP="00BA1D08"/>
    <w:p w:rsidR="00BA1D08" w:rsidRPr="00413D58" w:rsidRDefault="00BA1D08" w:rsidP="00BA1D08">
      <w:pPr>
        <w:jc w:val="both"/>
      </w:pPr>
      <w:r w:rsidRPr="00413D58">
        <w:t xml:space="preserve">Indicators for secondary schooling and scholarships should be interpreted having regard to the fact that an unknown number of students migrate between Provinces to access education opportunities at the secondary and post-secondary levels in particular.  More generally, the shift of population shares in the age 20-24 range towards </w:t>
      </w:r>
      <w:proofErr w:type="spellStart"/>
      <w:r w:rsidRPr="00413D58">
        <w:t>Shefa</w:t>
      </w:r>
      <w:proofErr w:type="spellEnd"/>
      <w:r w:rsidRPr="00413D58">
        <w:t xml:space="preserve"> in particular is quite striking.</w:t>
      </w:r>
    </w:p>
    <w:p w:rsidR="00BA1D08" w:rsidRPr="00413D58" w:rsidRDefault="00BA1D08" w:rsidP="00BA1D08">
      <w:pPr>
        <w:jc w:val="both"/>
      </w:pPr>
    </w:p>
    <w:p w:rsidR="00BA1D08" w:rsidRPr="00413D58" w:rsidRDefault="00BA1D08" w:rsidP="00BA1D08">
      <w:pPr>
        <w:jc w:val="both"/>
      </w:pPr>
      <w:r w:rsidRPr="00413D58">
        <w:t xml:space="preserve">The above data for teacher salaries by Province capture around 79% of total </w:t>
      </w:r>
      <w:proofErr w:type="spellStart"/>
      <w:r w:rsidRPr="00413D58">
        <w:t>MoE</w:t>
      </w:r>
      <w:proofErr w:type="spellEnd"/>
      <w:r w:rsidRPr="00413D58">
        <w:t xml:space="preserve"> spending on primary and secondary education and are therefore fair reflections of how this spending is distributed across Provinces.  Given that a significant proportion of </w:t>
      </w:r>
      <w:proofErr w:type="spellStart"/>
      <w:r w:rsidRPr="00413D58">
        <w:t>MoE’s</w:t>
      </w:r>
      <w:proofErr w:type="spellEnd"/>
      <w:r w:rsidRPr="00413D58">
        <w:t xml:space="preserve"> non-salary expenditure is in the form of primary and secondary school grants allocated on a per-student basis without variations across Provinces, spending on teachers by Province is a reasonable proxy for total </w:t>
      </w:r>
      <w:proofErr w:type="spellStart"/>
      <w:r w:rsidRPr="00413D58">
        <w:t>MoE</w:t>
      </w:r>
      <w:proofErr w:type="spellEnd"/>
      <w:r w:rsidRPr="00413D58">
        <w:t xml:space="preserve"> spending by Province on primary and secondary schools. </w:t>
      </w:r>
    </w:p>
    <w:p w:rsidR="00BA1D08" w:rsidRPr="00413D58" w:rsidRDefault="00BA1D08" w:rsidP="00BA1D08">
      <w:pPr>
        <w:jc w:val="both"/>
      </w:pPr>
    </w:p>
    <w:p w:rsidR="00BA1D08" w:rsidRPr="00413D58" w:rsidRDefault="00BA1D08" w:rsidP="00BA1D08">
      <w:pPr>
        <w:jc w:val="both"/>
      </w:pPr>
      <w:r w:rsidRPr="00413D58">
        <w:t>Overall, while there are a few wide discrepancies between Provinces in the above education indicators the majority suggest no systematic differentials across the Provinces.</w:t>
      </w:r>
      <w:r w:rsidR="004853A6">
        <w:t xml:space="preserve">  T</w:t>
      </w:r>
      <w:r w:rsidRPr="00413D58">
        <w:t xml:space="preserve">he </w:t>
      </w:r>
      <w:proofErr w:type="spellStart"/>
      <w:r w:rsidRPr="00413D58">
        <w:t>GoV</w:t>
      </w:r>
      <w:proofErr w:type="spellEnd"/>
      <w:r w:rsidRPr="00413D58">
        <w:t xml:space="preserve"> appears to have been substantially even-handed in its distribution of funding across Provinces to the primary sector in particular.  It seems probable that differentials </w:t>
      </w:r>
      <w:r w:rsidRPr="00413D58">
        <w:rPr>
          <w:i/>
        </w:rPr>
        <w:t>within</w:t>
      </w:r>
      <w:r w:rsidRPr="00413D58">
        <w:t xml:space="preserve"> Provinces, from school to school and as between rural and urban areas, are at least if not more marked.  Consideration of the rural-urban divide follows.  </w:t>
      </w:r>
    </w:p>
    <w:p w:rsidR="00BA1D08" w:rsidRPr="00413D58" w:rsidRDefault="00BA1D08" w:rsidP="00160C19">
      <w:pPr>
        <w:pStyle w:val="Heading2"/>
      </w:pPr>
      <w:bookmarkStart w:id="143" w:name="_Toc341210798"/>
      <w:bookmarkStart w:id="144" w:name="_Toc341210918"/>
      <w:bookmarkStart w:id="145" w:name="_Toc341265736"/>
      <w:bookmarkStart w:id="146" w:name="_Toc343257298"/>
      <w:bookmarkStart w:id="147" w:name="_Toc343257412"/>
      <w:bookmarkStart w:id="148" w:name="_Toc348711333"/>
      <w:r w:rsidRPr="00413D58">
        <w:t>2.3.2 The rural-urban divide</w:t>
      </w:r>
      <w:bookmarkEnd w:id="143"/>
      <w:bookmarkEnd w:id="144"/>
      <w:bookmarkEnd w:id="145"/>
      <w:bookmarkEnd w:id="146"/>
      <w:bookmarkEnd w:id="147"/>
      <w:bookmarkEnd w:id="148"/>
    </w:p>
    <w:p w:rsidR="00BA1D08" w:rsidRPr="00413D58" w:rsidRDefault="00BA1D08" w:rsidP="00BA1D08"/>
    <w:p w:rsidR="00BA1D08" w:rsidRPr="00413D58" w:rsidRDefault="00BA1D08" w:rsidP="00BA1D08">
      <w:pPr>
        <w:autoSpaceDE w:val="0"/>
        <w:autoSpaceDN w:val="0"/>
        <w:adjustRightInd w:val="0"/>
        <w:jc w:val="both"/>
        <w:rPr>
          <w:rFonts w:cs="Times New Roman"/>
          <w:szCs w:val="24"/>
        </w:rPr>
      </w:pPr>
      <w:r w:rsidRPr="00413D58">
        <w:rPr>
          <w:rFonts w:cs="Times New Roman"/>
          <w:szCs w:val="24"/>
        </w:rPr>
        <w:t xml:space="preserve">Arising from the World Bank’s country case study in 2005 its authors concluded that “like other countries in the region that are made up of dispersed, remote islands, the quality of education in rural areas and rural students’ access to secondary school are highly inequitable.  Enrolment, even in primary school, is uneven; a significant </w:t>
      </w:r>
      <w:proofErr w:type="spellStart"/>
      <w:r w:rsidRPr="00413D58">
        <w:rPr>
          <w:rFonts w:cs="Times New Roman"/>
          <w:szCs w:val="24"/>
        </w:rPr>
        <w:t>percent</w:t>
      </w:r>
      <w:proofErr w:type="spellEnd"/>
      <w:r w:rsidRPr="00413D58">
        <w:rPr>
          <w:rFonts w:cs="Times New Roman"/>
          <w:szCs w:val="24"/>
        </w:rPr>
        <w:t xml:space="preserve"> of rural students never attend school.”</w:t>
      </w:r>
      <w:r w:rsidRPr="00413D58">
        <w:rPr>
          <w:rStyle w:val="FootnoteReference"/>
          <w:rFonts w:cs="Times New Roman"/>
          <w:szCs w:val="24"/>
        </w:rPr>
        <w:footnoteReference w:id="39"/>
      </w:r>
    </w:p>
    <w:p w:rsidR="00BA1D08" w:rsidRPr="00413D58" w:rsidRDefault="00BA1D08" w:rsidP="00BA1D08">
      <w:pPr>
        <w:autoSpaceDE w:val="0"/>
        <w:autoSpaceDN w:val="0"/>
        <w:adjustRightInd w:val="0"/>
        <w:jc w:val="both"/>
        <w:rPr>
          <w:rFonts w:cs="Times New Roman"/>
          <w:szCs w:val="24"/>
        </w:rPr>
      </w:pPr>
    </w:p>
    <w:p w:rsidR="00BA1D08" w:rsidRPr="00413D58" w:rsidRDefault="00BA1D08" w:rsidP="00BA1D08">
      <w:pPr>
        <w:autoSpaceDE w:val="0"/>
        <w:autoSpaceDN w:val="0"/>
        <w:adjustRightInd w:val="0"/>
        <w:jc w:val="both"/>
        <w:rPr>
          <w:rFonts w:cs="Times New Roman"/>
          <w:szCs w:val="24"/>
        </w:rPr>
      </w:pPr>
      <w:r w:rsidRPr="00413D58">
        <w:rPr>
          <w:rFonts w:cs="Times New Roman"/>
          <w:szCs w:val="24"/>
        </w:rPr>
        <w:t>As at the 2009 National Census some 75% of Vanuatu’s total population was classified as living in rural areas</w:t>
      </w:r>
      <w:r>
        <w:rPr>
          <w:rFonts w:cs="Times New Roman"/>
          <w:szCs w:val="24"/>
        </w:rPr>
        <w:t xml:space="preserve">, </w:t>
      </w:r>
      <w:r w:rsidRPr="00413D58">
        <w:rPr>
          <w:rFonts w:cs="Times New Roman"/>
          <w:szCs w:val="24"/>
        </w:rPr>
        <w:t xml:space="preserve">the remainder living in urban areas (Port Vila and </w:t>
      </w:r>
      <w:proofErr w:type="spellStart"/>
      <w:r w:rsidRPr="00413D58">
        <w:rPr>
          <w:rFonts w:cs="Times New Roman"/>
          <w:szCs w:val="24"/>
        </w:rPr>
        <w:t>Luganville</w:t>
      </w:r>
      <w:proofErr w:type="spellEnd"/>
      <w:r w:rsidRPr="00413D58">
        <w:rPr>
          <w:rFonts w:cs="Times New Roman"/>
          <w:szCs w:val="24"/>
        </w:rPr>
        <w:t>).  The proportions of the rural/urban populations aged 0 to 24 years were similar (some 77% living in rural areas).</w:t>
      </w:r>
    </w:p>
    <w:p w:rsidR="00BA1D08" w:rsidRPr="00413D58" w:rsidRDefault="00BA1D08" w:rsidP="00BA1D08">
      <w:pPr>
        <w:autoSpaceDE w:val="0"/>
        <w:autoSpaceDN w:val="0"/>
        <w:adjustRightInd w:val="0"/>
        <w:jc w:val="both"/>
        <w:rPr>
          <w:rFonts w:cs="Times New Roman"/>
          <w:szCs w:val="24"/>
        </w:rPr>
      </w:pPr>
    </w:p>
    <w:p w:rsidR="00BA1D08" w:rsidRPr="00413D58" w:rsidRDefault="00BA1D08" w:rsidP="00BA1D08">
      <w:pPr>
        <w:autoSpaceDE w:val="0"/>
        <w:autoSpaceDN w:val="0"/>
        <w:adjustRightInd w:val="0"/>
        <w:jc w:val="both"/>
        <w:rPr>
          <w:rFonts w:cs="Times New Roman"/>
          <w:szCs w:val="24"/>
        </w:rPr>
      </w:pPr>
      <w:r w:rsidRPr="00413D58">
        <w:rPr>
          <w:rFonts w:cs="Times New Roman"/>
          <w:szCs w:val="24"/>
        </w:rPr>
        <w:t xml:space="preserve">The most recent data available that distinguish rural and urban areas suggest that little has changed since the World Bank assessment in relation to school attendance or educational attainment as between the two areas (see Tables </w:t>
      </w:r>
      <w:r w:rsidR="006E77CA">
        <w:rPr>
          <w:rFonts w:cs="Times New Roman"/>
          <w:szCs w:val="24"/>
        </w:rPr>
        <w:t>24, 25 and 26).</w:t>
      </w:r>
      <w:r w:rsidRPr="00413D58">
        <w:rPr>
          <w:rFonts w:cs="Times New Roman"/>
          <w:szCs w:val="24"/>
        </w:rPr>
        <w:t xml:space="preserve">  It is apparent that net enrolment rates, highest levels of education participation and (as measured) literacy rates continue to be significantly higher in the urban areas of Port Vila and </w:t>
      </w:r>
      <w:proofErr w:type="spellStart"/>
      <w:r w:rsidRPr="00413D58">
        <w:rPr>
          <w:rFonts w:cs="Times New Roman"/>
          <w:szCs w:val="24"/>
        </w:rPr>
        <w:t>Luganville</w:t>
      </w:r>
      <w:proofErr w:type="spellEnd"/>
      <w:r w:rsidRPr="00413D58">
        <w:rPr>
          <w:rFonts w:cs="Times New Roman"/>
          <w:szCs w:val="24"/>
        </w:rPr>
        <w:t>.</w:t>
      </w:r>
    </w:p>
    <w:p w:rsidR="00BA1D08" w:rsidRDefault="00BA1D08" w:rsidP="00BA1D08">
      <w:pPr>
        <w:autoSpaceDE w:val="0"/>
        <w:autoSpaceDN w:val="0"/>
        <w:adjustRightInd w:val="0"/>
        <w:jc w:val="both"/>
        <w:rPr>
          <w:rFonts w:cs="Times New Roman"/>
          <w:szCs w:val="24"/>
        </w:rPr>
      </w:pPr>
    </w:p>
    <w:tbl>
      <w:tblPr>
        <w:tblStyle w:val="TableGrid"/>
        <w:tblW w:w="0" w:type="auto"/>
        <w:tblLook w:val="04A0" w:firstRow="1" w:lastRow="0" w:firstColumn="1" w:lastColumn="0" w:noHBand="0" w:noVBand="1"/>
        <w:tblCaption w:val="Table 24: Net enrolment rates in primary education (Years 1-8), males and females, 2005-2009"/>
        <w:tblDescription w:val="Broken down by year and by rural and urban"/>
      </w:tblPr>
      <w:tblGrid>
        <w:gridCol w:w="1595"/>
        <w:gridCol w:w="1595"/>
        <w:gridCol w:w="1595"/>
        <w:gridCol w:w="1595"/>
        <w:gridCol w:w="1595"/>
        <w:gridCol w:w="1595"/>
      </w:tblGrid>
      <w:tr w:rsidR="00BA1D08" w:rsidRPr="00413D58" w:rsidTr="00D339A4">
        <w:trPr>
          <w:tblHeader/>
        </w:trPr>
        <w:tc>
          <w:tcPr>
            <w:tcW w:w="9570" w:type="dxa"/>
            <w:gridSpan w:val="6"/>
            <w:shd w:val="clear" w:color="auto" w:fill="BFBFBF" w:themeFill="background1" w:themeFillShade="BF"/>
          </w:tcPr>
          <w:p w:rsidR="00BA1D08" w:rsidRPr="00413D58" w:rsidRDefault="00BA1D08" w:rsidP="006E77CA">
            <w:pPr>
              <w:autoSpaceDE w:val="0"/>
              <w:autoSpaceDN w:val="0"/>
              <w:adjustRightInd w:val="0"/>
              <w:jc w:val="both"/>
              <w:rPr>
                <w:rFonts w:cs="Times New Roman"/>
                <w:szCs w:val="24"/>
              </w:rPr>
            </w:pPr>
            <w:r w:rsidRPr="00413D58">
              <w:rPr>
                <w:rFonts w:cs="Times New Roman"/>
                <w:szCs w:val="24"/>
              </w:rPr>
              <w:lastRenderedPageBreak/>
              <w:t xml:space="preserve">Table </w:t>
            </w:r>
            <w:r w:rsidR="006E77CA">
              <w:rPr>
                <w:rFonts w:cs="Times New Roman"/>
                <w:szCs w:val="24"/>
              </w:rPr>
              <w:t>24</w:t>
            </w:r>
            <w:r w:rsidRPr="00413D58">
              <w:rPr>
                <w:rFonts w:cs="Times New Roman"/>
                <w:szCs w:val="24"/>
              </w:rPr>
              <w:t>: Net enrolment rates in primary education (Years 1-8), males and females, 2005-2009</w:t>
            </w:r>
          </w:p>
        </w:tc>
      </w:tr>
      <w:tr w:rsidR="00BA1D08" w:rsidRPr="00413D58" w:rsidTr="00C05FAA">
        <w:tc>
          <w:tcPr>
            <w:tcW w:w="1595"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Year</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2005</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2006</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2007</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2008</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2009</w:t>
            </w:r>
          </w:p>
        </w:tc>
      </w:tr>
      <w:tr w:rsidR="00BA1D08" w:rsidRPr="00413D58" w:rsidTr="00C05FAA">
        <w:tc>
          <w:tcPr>
            <w:tcW w:w="1595" w:type="dxa"/>
          </w:tcPr>
          <w:p w:rsidR="00BA1D08" w:rsidRPr="00413D58" w:rsidRDefault="00BA1D08" w:rsidP="00C05FAA">
            <w:pPr>
              <w:autoSpaceDE w:val="0"/>
              <w:autoSpaceDN w:val="0"/>
              <w:adjustRightInd w:val="0"/>
              <w:rPr>
                <w:rFonts w:cs="Times New Roman"/>
                <w:szCs w:val="24"/>
              </w:rPr>
            </w:pPr>
            <w:r w:rsidRPr="00413D58">
              <w:rPr>
                <w:rFonts w:cs="Times New Roman"/>
                <w:szCs w:val="24"/>
              </w:rPr>
              <w:t>Rural (%)</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89</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86</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86</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85</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80</w:t>
            </w:r>
          </w:p>
        </w:tc>
      </w:tr>
      <w:tr w:rsidR="00BA1D08" w:rsidRPr="00413D58" w:rsidTr="00C05FAA">
        <w:tc>
          <w:tcPr>
            <w:tcW w:w="1595" w:type="dxa"/>
          </w:tcPr>
          <w:p w:rsidR="00BA1D08" w:rsidRPr="00413D58" w:rsidRDefault="00BA1D08" w:rsidP="00C05FAA">
            <w:pPr>
              <w:autoSpaceDE w:val="0"/>
              <w:autoSpaceDN w:val="0"/>
              <w:adjustRightInd w:val="0"/>
              <w:rPr>
                <w:rFonts w:cs="Times New Roman"/>
                <w:szCs w:val="24"/>
              </w:rPr>
            </w:pPr>
            <w:r w:rsidRPr="00413D58">
              <w:rPr>
                <w:rFonts w:cs="Times New Roman"/>
                <w:szCs w:val="24"/>
              </w:rPr>
              <w:t>Urban (%)</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94</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81</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90</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92</w:t>
            </w:r>
          </w:p>
        </w:tc>
        <w:tc>
          <w:tcPr>
            <w:tcW w:w="1595"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91</w:t>
            </w:r>
          </w:p>
        </w:tc>
      </w:tr>
      <w:tr w:rsidR="00BA1D08" w:rsidRPr="00413D58" w:rsidTr="00C05FAA">
        <w:tc>
          <w:tcPr>
            <w:tcW w:w="9570" w:type="dxa"/>
            <w:gridSpan w:val="6"/>
          </w:tcPr>
          <w:p w:rsidR="00BA1D08" w:rsidRPr="00413D58" w:rsidRDefault="00BA1D08" w:rsidP="00C05FAA">
            <w:pPr>
              <w:autoSpaceDE w:val="0"/>
              <w:autoSpaceDN w:val="0"/>
              <w:adjustRightInd w:val="0"/>
              <w:jc w:val="both"/>
              <w:rPr>
                <w:rFonts w:cs="Times New Roman"/>
                <w:szCs w:val="24"/>
              </w:rPr>
            </w:pPr>
            <w:r w:rsidRPr="00413D58">
              <w:rPr>
                <w:rFonts w:cs="Times New Roman"/>
                <w:szCs w:val="24"/>
              </w:rPr>
              <w:t xml:space="preserve">Source:  Derived from Table 8 of 2010 MDG Report for Vanuatu, Government of Vanuatu (September 2010). </w:t>
            </w:r>
          </w:p>
        </w:tc>
      </w:tr>
    </w:tbl>
    <w:p w:rsidR="00BA1D08" w:rsidRPr="00413D58" w:rsidRDefault="00BA1D08" w:rsidP="00BA1D08">
      <w:pPr>
        <w:autoSpaceDE w:val="0"/>
        <w:autoSpaceDN w:val="0"/>
        <w:adjustRightInd w:val="0"/>
        <w:jc w:val="both"/>
        <w:rPr>
          <w:rFonts w:cs="Times New Roman"/>
          <w:szCs w:val="24"/>
        </w:rPr>
      </w:pPr>
    </w:p>
    <w:tbl>
      <w:tblPr>
        <w:tblStyle w:val="TableGrid"/>
        <w:tblW w:w="0" w:type="auto"/>
        <w:tblLook w:val="04A0" w:firstRow="1" w:lastRow="0" w:firstColumn="1" w:lastColumn="0" w:noHBand="0" w:noVBand="1"/>
        <w:tblCaption w:val="Table 25: Rural-Urban Education Indicators from the 2009 National Census"/>
        <w:tblDescription w:val="includes percentage of enrolments, percantages of population who have attended, percentage literacy rates"/>
      </w:tblPr>
      <w:tblGrid>
        <w:gridCol w:w="3828"/>
        <w:gridCol w:w="1914"/>
        <w:gridCol w:w="1914"/>
        <w:gridCol w:w="1914"/>
      </w:tblGrid>
      <w:tr w:rsidR="00BA1D08" w:rsidRPr="00413D58" w:rsidTr="00D339A4">
        <w:trPr>
          <w:tblHeader/>
        </w:trPr>
        <w:tc>
          <w:tcPr>
            <w:tcW w:w="9570" w:type="dxa"/>
            <w:gridSpan w:val="4"/>
            <w:shd w:val="clear" w:color="auto" w:fill="BFBFBF" w:themeFill="background1" w:themeFillShade="BF"/>
          </w:tcPr>
          <w:p w:rsidR="00BA1D08" w:rsidRPr="00413D58" w:rsidRDefault="00BA1D08" w:rsidP="006E77CA">
            <w:pPr>
              <w:autoSpaceDE w:val="0"/>
              <w:autoSpaceDN w:val="0"/>
              <w:adjustRightInd w:val="0"/>
              <w:jc w:val="both"/>
              <w:rPr>
                <w:rFonts w:cs="Times New Roman"/>
                <w:szCs w:val="24"/>
              </w:rPr>
            </w:pPr>
            <w:r w:rsidRPr="00413D58">
              <w:rPr>
                <w:rFonts w:cs="Times New Roman"/>
                <w:szCs w:val="24"/>
              </w:rPr>
              <w:t xml:space="preserve">Table </w:t>
            </w:r>
            <w:r w:rsidR="006E77CA">
              <w:rPr>
                <w:rFonts w:cs="Times New Roman"/>
                <w:szCs w:val="24"/>
              </w:rPr>
              <w:t>25</w:t>
            </w:r>
            <w:r w:rsidRPr="00413D58">
              <w:rPr>
                <w:rFonts w:cs="Times New Roman"/>
                <w:szCs w:val="24"/>
              </w:rPr>
              <w:t>: Rural-Urban Education Indicators from the 2009 National Census</w:t>
            </w:r>
          </w:p>
        </w:tc>
      </w:tr>
      <w:tr w:rsidR="00BA1D08" w:rsidRPr="00413D58" w:rsidTr="00C05FAA">
        <w:tc>
          <w:tcPr>
            <w:tcW w:w="3828" w:type="dxa"/>
          </w:tcPr>
          <w:p w:rsidR="00BA1D08" w:rsidRPr="00413D58" w:rsidRDefault="00BA1D08" w:rsidP="00C05FAA">
            <w:pPr>
              <w:autoSpaceDE w:val="0"/>
              <w:autoSpaceDN w:val="0"/>
              <w:adjustRightInd w:val="0"/>
              <w:jc w:val="both"/>
              <w:rPr>
                <w:rFonts w:cs="Times New Roman"/>
                <w:szCs w:val="24"/>
              </w:rPr>
            </w:pP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Rural</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Urban</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Vanuatu</w:t>
            </w:r>
          </w:p>
        </w:tc>
      </w:tr>
      <w:tr w:rsidR="00BA1D08" w:rsidRPr="00413D58" w:rsidTr="00C05FAA">
        <w:tc>
          <w:tcPr>
            <w:tcW w:w="9570" w:type="dxa"/>
            <w:gridSpan w:val="4"/>
            <w:shd w:val="clear" w:color="auto" w:fill="BFBFBF" w:themeFill="background1" w:themeFillShade="BF"/>
          </w:tcPr>
          <w:p w:rsidR="00BA1D08" w:rsidRPr="00413D58" w:rsidRDefault="00BA1D08" w:rsidP="00C05FAA">
            <w:pPr>
              <w:autoSpaceDE w:val="0"/>
              <w:autoSpaceDN w:val="0"/>
              <w:adjustRightInd w:val="0"/>
              <w:rPr>
                <w:rFonts w:cs="Times New Roman"/>
                <w:szCs w:val="24"/>
              </w:rPr>
            </w:pPr>
            <w:r w:rsidRPr="00413D58">
              <w:rPr>
                <w:rFonts w:cs="Times New Roman"/>
                <w:szCs w:val="24"/>
              </w:rPr>
              <w:t>Percentage of enrolments</w:t>
            </w:r>
          </w:p>
        </w:tc>
      </w:tr>
      <w:tr w:rsidR="00BA1D08" w:rsidRPr="00413D58" w:rsidTr="00C05FAA">
        <w:tc>
          <w:tcPr>
            <w:tcW w:w="3828" w:type="dxa"/>
          </w:tcPr>
          <w:p w:rsidR="00BA1D08" w:rsidRPr="00413D58" w:rsidRDefault="00BA1D08" w:rsidP="00C05FAA">
            <w:pPr>
              <w:autoSpaceDE w:val="0"/>
              <w:autoSpaceDN w:val="0"/>
              <w:adjustRightInd w:val="0"/>
              <w:jc w:val="both"/>
              <w:rPr>
                <w:rFonts w:cs="Times New Roman"/>
                <w:szCs w:val="24"/>
              </w:rPr>
            </w:pPr>
            <w:r w:rsidRPr="00413D58">
              <w:rPr>
                <w:rFonts w:cs="Times New Roman"/>
                <w:szCs w:val="24"/>
              </w:rPr>
              <w:t>School enrolment of 6-13 year olds</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84.8</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90.8</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85.9</w:t>
            </w:r>
          </w:p>
        </w:tc>
      </w:tr>
      <w:tr w:rsidR="00BA1D08" w:rsidRPr="00413D58" w:rsidTr="00C05FAA">
        <w:tc>
          <w:tcPr>
            <w:tcW w:w="9570" w:type="dxa"/>
            <w:gridSpan w:val="4"/>
            <w:shd w:val="clear" w:color="auto" w:fill="BFBFBF" w:themeFill="background1" w:themeFillShade="BF"/>
          </w:tcPr>
          <w:p w:rsidR="00BA1D08" w:rsidRPr="00413D58" w:rsidRDefault="00BA1D08" w:rsidP="00C05FAA">
            <w:pPr>
              <w:autoSpaceDE w:val="0"/>
              <w:autoSpaceDN w:val="0"/>
              <w:adjustRightInd w:val="0"/>
              <w:rPr>
                <w:rFonts w:cs="Times New Roman"/>
                <w:szCs w:val="24"/>
              </w:rPr>
            </w:pPr>
            <w:r w:rsidRPr="00413D58">
              <w:rPr>
                <w:rFonts w:cs="Times New Roman"/>
                <w:szCs w:val="24"/>
              </w:rPr>
              <w:t>Percentages of the population who have attended:</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Never been to school</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21.7</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5.0</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17.2</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Primary education</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56.2</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38.8 (see Note 1)</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51.5</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Secondary education</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18.9</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46.5</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26.4</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 xml:space="preserve">Tertiary education </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2.3</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7.7</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3.8</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Vocational/professional education</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0.9</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2.0</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1.2</w:t>
            </w:r>
          </w:p>
        </w:tc>
      </w:tr>
      <w:tr w:rsidR="00BA1D08" w:rsidRPr="00413D58" w:rsidTr="00C05FAA">
        <w:tc>
          <w:tcPr>
            <w:tcW w:w="9570" w:type="dxa"/>
            <w:gridSpan w:val="4"/>
            <w:shd w:val="clear" w:color="auto" w:fill="BFBFBF" w:themeFill="background1" w:themeFillShade="BF"/>
          </w:tcPr>
          <w:p w:rsidR="00BA1D08" w:rsidRPr="00413D58" w:rsidRDefault="00BA1D08" w:rsidP="00C05FAA">
            <w:pPr>
              <w:autoSpaceDE w:val="0"/>
              <w:autoSpaceDN w:val="0"/>
              <w:adjustRightInd w:val="0"/>
              <w:rPr>
                <w:rFonts w:cs="Times New Roman"/>
                <w:szCs w:val="24"/>
              </w:rPr>
            </w:pPr>
            <w:r w:rsidRPr="00413D58">
              <w:rPr>
                <w:rFonts w:cs="Times New Roman"/>
                <w:szCs w:val="24"/>
              </w:rPr>
              <w:t>Percentage literacy rates (see Note 2)</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For persons aged 15 and over</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80.5</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97.7</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84.8</w:t>
            </w:r>
          </w:p>
        </w:tc>
      </w:tr>
      <w:tr w:rsidR="00BA1D08" w:rsidRPr="00413D58" w:rsidTr="00C05FAA">
        <w:tc>
          <w:tcPr>
            <w:tcW w:w="3828" w:type="dxa"/>
          </w:tcPr>
          <w:p w:rsidR="00BA1D08" w:rsidRPr="00413D58" w:rsidRDefault="00BA1D08" w:rsidP="00C05FAA">
            <w:pPr>
              <w:autoSpaceDE w:val="0"/>
              <w:autoSpaceDN w:val="0"/>
              <w:adjustRightInd w:val="0"/>
              <w:jc w:val="right"/>
              <w:rPr>
                <w:rFonts w:cs="Times New Roman"/>
                <w:szCs w:val="24"/>
              </w:rPr>
            </w:pPr>
            <w:r w:rsidRPr="00413D58">
              <w:rPr>
                <w:rFonts w:cs="Times New Roman"/>
                <w:szCs w:val="24"/>
              </w:rPr>
              <w:t>For persons aged 15-24 years</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89.0</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99.2</w:t>
            </w:r>
          </w:p>
        </w:tc>
        <w:tc>
          <w:tcPr>
            <w:tcW w:w="1914"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92.1</w:t>
            </w:r>
          </w:p>
        </w:tc>
      </w:tr>
      <w:tr w:rsidR="00BA1D08" w:rsidRPr="00413D58" w:rsidTr="00C05FAA">
        <w:tc>
          <w:tcPr>
            <w:tcW w:w="9570" w:type="dxa"/>
            <w:gridSpan w:val="4"/>
          </w:tcPr>
          <w:p w:rsidR="00BA1D08" w:rsidRPr="00413D58" w:rsidRDefault="00BA1D08" w:rsidP="00C05FAA">
            <w:pPr>
              <w:autoSpaceDE w:val="0"/>
              <w:autoSpaceDN w:val="0"/>
              <w:adjustRightInd w:val="0"/>
              <w:jc w:val="both"/>
              <w:rPr>
                <w:rFonts w:cs="Times New Roman"/>
                <w:szCs w:val="24"/>
              </w:rPr>
            </w:pPr>
            <w:r w:rsidRPr="00413D58">
              <w:rPr>
                <w:rFonts w:cs="Times New Roman"/>
                <w:szCs w:val="24"/>
              </w:rPr>
              <w:t>Notes and Source:</w:t>
            </w:r>
          </w:p>
          <w:p w:rsidR="00BA1D08" w:rsidRPr="00413D58" w:rsidRDefault="00BA1D08" w:rsidP="00C05FAA">
            <w:pPr>
              <w:autoSpaceDE w:val="0"/>
              <w:autoSpaceDN w:val="0"/>
              <w:adjustRightInd w:val="0"/>
              <w:jc w:val="both"/>
              <w:rPr>
                <w:rFonts w:cs="Times New Roman"/>
                <w:szCs w:val="24"/>
              </w:rPr>
            </w:pPr>
            <w:r w:rsidRPr="00413D58">
              <w:rPr>
                <w:rFonts w:cs="Times New Roman"/>
                <w:szCs w:val="24"/>
              </w:rPr>
              <w:t xml:space="preserve">Note (1): This figure, taken from the 2009 Census Analytical Report summary indicators table appears to be an error.  The same summary table for the same indicator shows all six Provinces exceeding 45%.  </w:t>
            </w:r>
          </w:p>
          <w:p w:rsidR="00BA1D08" w:rsidRPr="00413D58" w:rsidRDefault="00BA1D08" w:rsidP="00C05FAA">
            <w:pPr>
              <w:autoSpaceDE w:val="0"/>
              <w:autoSpaceDN w:val="0"/>
              <w:adjustRightInd w:val="0"/>
              <w:jc w:val="both"/>
              <w:rPr>
                <w:rFonts w:cs="Times New Roman"/>
                <w:szCs w:val="24"/>
              </w:rPr>
            </w:pPr>
            <w:r w:rsidRPr="00413D58">
              <w:rPr>
                <w:rFonts w:cs="Times New Roman"/>
                <w:szCs w:val="24"/>
              </w:rPr>
              <w:t>Note (2): Measured by ability to read and write a simple sentence in any one or more languages.</w:t>
            </w:r>
          </w:p>
          <w:p w:rsidR="00BA1D08" w:rsidRPr="00413D58" w:rsidRDefault="00BA1D08" w:rsidP="00C05FAA">
            <w:pPr>
              <w:autoSpaceDE w:val="0"/>
              <w:autoSpaceDN w:val="0"/>
              <w:adjustRightInd w:val="0"/>
              <w:jc w:val="both"/>
              <w:rPr>
                <w:rFonts w:cs="Times New Roman"/>
                <w:szCs w:val="24"/>
              </w:rPr>
            </w:pPr>
            <w:r w:rsidRPr="00413D58">
              <w:rPr>
                <w:rFonts w:cs="Times New Roman"/>
                <w:szCs w:val="24"/>
              </w:rPr>
              <w:t>Source:  VNSO, 2009 Census Analytical Report Summary Table.</w:t>
            </w:r>
          </w:p>
        </w:tc>
      </w:tr>
    </w:tbl>
    <w:p w:rsidR="00BA1D08" w:rsidRPr="00413D58" w:rsidRDefault="00BA1D08" w:rsidP="00BA1D08">
      <w:pPr>
        <w:autoSpaceDE w:val="0"/>
        <w:autoSpaceDN w:val="0"/>
        <w:adjustRightInd w:val="0"/>
        <w:jc w:val="both"/>
        <w:rPr>
          <w:rFonts w:cs="Times New Roman"/>
          <w:szCs w:val="24"/>
        </w:rPr>
      </w:pPr>
    </w:p>
    <w:tbl>
      <w:tblPr>
        <w:tblStyle w:val="TableGrid"/>
        <w:tblW w:w="0" w:type="auto"/>
        <w:tblLook w:val="04A0" w:firstRow="1" w:lastRow="0" w:firstColumn="1" w:lastColumn="0" w:noHBand="0" w:noVBand="1"/>
        <w:tblCaption w:val="Table 26: Highest attendance of persons aged 15 years or more from the (draft) 2010 HIES"/>
        <w:tblDescription w:val="broken down by: never attended/still attending/primary/secondary/post-secondary/not stated for rural and urban"/>
      </w:tblPr>
      <w:tblGrid>
        <w:gridCol w:w="4784"/>
        <w:gridCol w:w="2393"/>
        <w:gridCol w:w="2393"/>
      </w:tblGrid>
      <w:tr w:rsidR="00BA1D08" w:rsidRPr="00413D58" w:rsidTr="00D339A4">
        <w:trPr>
          <w:tblHeader/>
        </w:trPr>
        <w:tc>
          <w:tcPr>
            <w:tcW w:w="9570" w:type="dxa"/>
            <w:gridSpan w:val="3"/>
            <w:shd w:val="clear" w:color="auto" w:fill="BFBFBF" w:themeFill="background1" w:themeFillShade="BF"/>
          </w:tcPr>
          <w:p w:rsidR="00BA1D08" w:rsidRPr="00413D58" w:rsidRDefault="00BA1D08" w:rsidP="006E77CA">
            <w:pPr>
              <w:autoSpaceDE w:val="0"/>
              <w:autoSpaceDN w:val="0"/>
              <w:adjustRightInd w:val="0"/>
              <w:jc w:val="both"/>
              <w:rPr>
                <w:rFonts w:cs="Times New Roman"/>
                <w:szCs w:val="24"/>
              </w:rPr>
            </w:pPr>
            <w:r w:rsidRPr="00413D58">
              <w:rPr>
                <w:rFonts w:cs="Times New Roman"/>
                <w:szCs w:val="24"/>
              </w:rPr>
              <w:t xml:space="preserve">Table </w:t>
            </w:r>
            <w:r w:rsidR="006E77CA">
              <w:rPr>
                <w:rFonts w:cs="Times New Roman"/>
                <w:szCs w:val="24"/>
              </w:rPr>
              <w:t>26</w:t>
            </w:r>
            <w:r w:rsidRPr="00413D58">
              <w:rPr>
                <w:rFonts w:cs="Times New Roman"/>
                <w:szCs w:val="24"/>
              </w:rPr>
              <w:t>: Highest attendance of persons aged 15 years or more from the (draft) 2010 HIES</w:t>
            </w:r>
          </w:p>
        </w:tc>
      </w:tr>
      <w:tr w:rsidR="00BA1D08" w:rsidRPr="00413D58" w:rsidTr="00C05FAA">
        <w:tc>
          <w:tcPr>
            <w:tcW w:w="4784" w:type="dxa"/>
          </w:tcPr>
          <w:p w:rsidR="00BA1D08" w:rsidRPr="00413D58" w:rsidRDefault="00BA1D08" w:rsidP="00C05FAA">
            <w:pPr>
              <w:autoSpaceDE w:val="0"/>
              <w:autoSpaceDN w:val="0"/>
              <w:adjustRightInd w:val="0"/>
              <w:jc w:val="both"/>
              <w:rPr>
                <w:rFonts w:cs="Times New Roman"/>
                <w:szCs w:val="24"/>
              </w:rPr>
            </w:pPr>
            <w:r w:rsidRPr="00413D58">
              <w:rPr>
                <w:rFonts w:cs="Times New Roman"/>
                <w:szCs w:val="24"/>
              </w:rPr>
              <w:t>Percentages of the survey:</w:t>
            </w:r>
          </w:p>
          <w:p w:rsidR="00BA1D08" w:rsidRPr="00413D58" w:rsidRDefault="00BA1D08" w:rsidP="00C05FAA">
            <w:pPr>
              <w:autoSpaceDE w:val="0"/>
              <w:autoSpaceDN w:val="0"/>
              <w:adjustRightInd w:val="0"/>
              <w:jc w:val="right"/>
              <w:rPr>
                <w:rFonts w:cs="Times New Roman"/>
                <w:szCs w:val="24"/>
              </w:rPr>
            </w:pPr>
            <w:r w:rsidRPr="00413D58">
              <w:rPr>
                <w:rFonts w:cs="Times New Roman"/>
                <w:szCs w:val="24"/>
              </w:rPr>
              <w:t xml:space="preserve">Never attended </w:t>
            </w:r>
          </w:p>
          <w:p w:rsidR="00BA1D08" w:rsidRPr="00413D58" w:rsidRDefault="00BA1D08" w:rsidP="00C05FAA">
            <w:pPr>
              <w:autoSpaceDE w:val="0"/>
              <w:autoSpaceDN w:val="0"/>
              <w:adjustRightInd w:val="0"/>
              <w:jc w:val="right"/>
              <w:rPr>
                <w:rFonts w:cs="Times New Roman"/>
                <w:szCs w:val="24"/>
              </w:rPr>
            </w:pPr>
            <w:r w:rsidRPr="00413D58">
              <w:rPr>
                <w:rFonts w:cs="Times New Roman"/>
                <w:szCs w:val="24"/>
              </w:rPr>
              <w:t>Still attending</w:t>
            </w:r>
          </w:p>
          <w:p w:rsidR="00BA1D08" w:rsidRPr="00413D58" w:rsidRDefault="00BA1D08" w:rsidP="00C05FAA">
            <w:pPr>
              <w:autoSpaceDE w:val="0"/>
              <w:autoSpaceDN w:val="0"/>
              <w:adjustRightInd w:val="0"/>
              <w:jc w:val="right"/>
              <w:rPr>
                <w:rFonts w:cs="Times New Roman"/>
                <w:szCs w:val="24"/>
              </w:rPr>
            </w:pPr>
            <w:r w:rsidRPr="00413D58">
              <w:rPr>
                <w:rFonts w:cs="Times New Roman"/>
                <w:szCs w:val="24"/>
              </w:rPr>
              <w:t>Primary</w:t>
            </w:r>
          </w:p>
          <w:p w:rsidR="00BA1D08" w:rsidRPr="00413D58" w:rsidRDefault="00BA1D08" w:rsidP="00C05FAA">
            <w:pPr>
              <w:autoSpaceDE w:val="0"/>
              <w:autoSpaceDN w:val="0"/>
              <w:adjustRightInd w:val="0"/>
              <w:jc w:val="right"/>
              <w:rPr>
                <w:rFonts w:cs="Times New Roman"/>
                <w:szCs w:val="24"/>
              </w:rPr>
            </w:pPr>
            <w:r w:rsidRPr="00413D58">
              <w:rPr>
                <w:rFonts w:cs="Times New Roman"/>
                <w:szCs w:val="24"/>
              </w:rPr>
              <w:t>Secondary</w:t>
            </w:r>
          </w:p>
          <w:p w:rsidR="00BA1D08" w:rsidRPr="00413D58" w:rsidRDefault="00BA1D08" w:rsidP="00C05FAA">
            <w:pPr>
              <w:autoSpaceDE w:val="0"/>
              <w:autoSpaceDN w:val="0"/>
              <w:adjustRightInd w:val="0"/>
              <w:jc w:val="right"/>
              <w:rPr>
                <w:rFonts w:cs="Times New Roman"/>
                <w:szCs w:val="24"/>
              </w:rPr>
            </w:pPr>
            <w:proofErr w:type="spellStart"/>
            <w:r w:rsidRPr="00413D58">
              <w:rPr>
                <w:rFonts w:cs="Times New Roman"/>
                <w:szCs w:val="24"/>
              </w:rPr>
              <w:t>Post Secondary</w:t>
            </w:r>
            <w:proofErr w:type="spellEnd"/>
          </w:p>
          <w:p w:rsidR="00BA1D08" w:rsidRPr="00413D58" w:rsidRDefault="00BA1D08" w:rsidP="00C05FAA">
            <w:pPr>
              <w:autoSpaceDE w:val="0"/>
              <w:autoSpaceDN w:val="0"/>
              <w:adjustRightInd w:val="0"/>
              <w:jc w:val="right"/>
              <w:rPr>
                <w:rFonts w:cs="Times New Roman"/>
                <w:szCs w:val="24"/>
              </w:rPr>
            </w:pPr>
            <w:r w:rsidRPr="00413D58">
              <w:rPr>
                <w:rFonts w:cs="Times New Roman"/>
                <w:szCs w:val="24"/>
              </w:rPr>
              <w:t>Not stated</w:t>
            </w:r>
          </w:p>
        </w:tc>
        <w:tc>
          <w:tcPr>
            <w:tcW w:w="2393"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Rural</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26.1</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7.3</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42.0</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14.9</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2.6</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7.1</w:t>
            </w:r>
          </w:p>
        </w:tc>
        <w:tc>
          <w:tcPr>
            <w:tcW w:w="2393" w:type="dxa"/>
          </w:tcPr>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Urban</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7.5</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12.3</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30.0</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34.4</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6.1</w:t>
            </w:r>
          </w:p>
          <w:p w:rsidR="00BA1D08" w:rsidRPr="00413D58" w:rsidRDefault="00BA1D08" w:rsidP="00C05FAA">
            <w:pPr>
              <w:autoSpaceDE w:val="0"/>
              <w:autoSpaceDN w:val="0"/>
              <w:adjustRightInd w:val="0"/>
              <w:jc w:val="center"/>
              <w:rPr>
                <w:rFonts w:cs="Times New Roman"/>
                <w:szCs w:val="24"/>
              </w:rPr>
            </w:pPr>
            <w:r w:rsidRPr="00413D58">
              <w:rPr>
                <w:rFonts w:cs="Times New Roman"/>
                <w:szCs w:val="24"/>
              </w:rPr>
              <w:t>9.7</w:t>
            </w:r>
          </w:p>
        </w:tc>
      </w:tr>
      <w:tr w:rsidR="00BA1D08" w:rsidRPr="00413D58" w:rsidTr="00C05FAA">
        <w:tc>
          <w:tcPr>
            <w:tcW w:w="9570" w:type="dxa"/>
            <w:gridSpan w:val="3"/>
          </w:tcPr>
          <w:p w:rsidR="00BA1D08" w:rsidRPr="00413D58" w:rsidRDefault="00BA1D08" w:rsidP="00C05FAA">
            <w:pPr>
              <w:autoSpaceDE w:val="0"/>
              <w:autoSpaceDN w:val="0"/>
              <w:adjustRightInd w:val="0"/>
              <w:jc w:val="both"/>
              <w:rPr>
                <w:rFonts w:cs="Times New Roman"/>
                <w:szCs w:val="24"/>
              </w:rPr>
            </w:pPr>
            <w:r w:rsidRPr="00413D58">
              <w:rPr>
                <w:rFonts w:cs="Times New Roman"/>
                <w:szCs w:val="24"/>
              </w:rPr>
              <w:t>Source: Derived from (draft) 2010 HIES Table 5-4.</w:t>
            </w:r>
          </w:p>
        </w:tc>
      </w:tr>
    </w:tbl>
    <w:p w:rsidR="00BA1D08" w:rsidRPr="00413D58" w:rsidRDefault="00BA1D08" w:rsidP="00BA1D08">
      <w:pPr>
        <w:autoSpaceDE w:val="0"/>
        <w:autoSpaceDN w:val="0"/>
        <w:adjustRightInd w:val="0"/>
        <w:jc w:val="both"/>
        <w:rPr>
          <w:rFonts w:cs="Times New Roman"/>
          <w:szCs w:val="24"/>
        </w:rPr>
      </w:pPr>
    </w:p>
    <w:p w:rsidR="00BA1D08" w:rsidRPr="00413D58" w:rsidRDefault="00BA1D08" w:rsidP="00BA1D08">
      <w:pPr>
        <w:autoSpaceDE w:val="0"/>
        <w:autoSpaceDN w:val="0"/>
        <w:adjustRightInd w:val="0"/>
        <w:jc w:val="both"/>
        <w:rPr>
          <w:rFonts w:cs="Times New Roman"/>
          <w:szCs w:val="24"/>
        </w:rPr>
      </w:pPr>
      <w:r w:rsidRPr="00413D58">
        <w:rPr>
          <w:rFonts w:cs="Times New Roman"/>
          <w:szCs w:val="24"/>
        </w:rPr>
        <w:t>Further indicators of the rural-urban divide are the proportion of teachers neither qualified nor certified and the condition of classrooms in the two areas, both being factors influencing the quality of education.  The Thornton Study found that “</w:t>
      </w:r>
      <w:r w:rsidRPr="00413D58">
        <w:t>a greater percentage of teachers in rural areas are neither qualified nor certified which inevitably implies a lower quality of education for rural children.”</w:t>
      </w:r>
      <w:r w:rsidRPr="00413D58">
        <w:rPr>
          <w:rStyle w:val="FootnoteReference"/>
        </w:rPr>
        <w:footnoteReference w:id="40"/>
      </w:r>
      <w:r w:rsidRPr="00413D58">
        <w:t xml:space="preserve">  </w:t>
      </w:r>
      <w:r w:rsidRPr="00413D58">
        <w:rPr>
          <w:rFonts w:cs="Times New Roman"/>
          <w:szCs w:val="24"/>
        </w:rPr>
        <w:t>The percentage of classrooms rated as being in poor condition was in the range of 24% to 31% for rural schools over the period 2007-2009 whereas the corresponding percentage for urban schools was consistently under 5%.</w:t>
      </w:r>
      <w:r w:rsidRPr="00413D58">
        <w:rPr>
          <w:rStyle w:val="FootnoteReference"/>
          <w:rFonts w:cs="Times New Roman"/>
          <w:szCs w:val="24"/>
        </w:rPr>
        <w:footnoteReference w:id="41"/>
      </w:r>
    </w:p>
    <w:p w:rsidR="00BA1D08" w:rsidRPr="00413D58" w:rsidRDefault="00BA1D08" w:rsidP="00160C19">
      <w:pPr>
        <w:pStyle w:val="Heading2"/>
      </w:pPr>
      <w:bookmarkStart w:id="149" w:name="_Toc341210799"/>
      <w:bookmarkStart w:id="150" w:name="_Toc341210919"/>
      <w:bookmarkStart w:id="151" w:name="_Toc341265737"/>
      <w:bookmarkStart w:id="152" w:name="_Toc343257299"/>
      <w:bookmarkStart w:id="153" w:name="_Toc343257413"/>
      <w:bookmarkStart w:id="154" w:name="_Toc348711334"/>
      <w:r w:rsidRPr="00413D58">
        <w:t>2.3.3 Gender</w:t>
      </w:r>
      <w:bookmarkEnd w:id="149"/>
      <w:bookmarkEnd w:id="150"/>
      <w:bookmarkEnd w:id="151"/>
      <w:bookmarkEnd w:id="152"/>
      <w:bookmarkEnd w:id="153"/>
      <w:bookmarkEnd w:id="154"/>
    </w:p>
    <w:p w:rsidR="00BA1D08" w:rsidRPr="00413D58" w:rsidRDefault="00BA1D08" w:rsidP="00BA1D08"/>
    <w:p w:rsidR="00BA1D08" w:rsidRDefault="00BA1D08" w:rsidP="00BA1D08">
      <w:r w:rsidRPr="00413D58">
        <w:lastRenderedPageBreak/>
        <w:t xml:space="preserve">Amongst the population aged 15 or more females improved their levels of educational attainment over the period 1999 to 2009, especially at the </w:t>
      </w:r>
      <w:r>
        <w:t>s</w:t>
      </w:r>
      <w:r w:rsidRPr="00413D58">
        <w:t xml:space="preserve">econdary and </w:t>
      </w:r>
      <w:r>
        <w:t>t</w:t>
      </w:r>
      <w:r w:rsidRPr="00413D58">
        <w:t>ertiary levels.</w:t>
      </w:r>
    </w:p>
    <w:p w:rsidR="00BA1D08" w:rsidRPr="00413D58" w:rsidRDefault="00BA1D08" w:rsidP="00BA1D08"/>
    <w:tbl>
      <w:tblPr>
        <w:tblStyle w:val="TableGrid"/>
        <w:tblW w:w="0" w:type="auto"/>
        <w:tblLook w:val="04A0" w:firstRow="1" w:lastRow="0" w:firstColumn="1" w:lastColumn="0" w:noHBand="0" w:noVBand="1"/>
        <w:tblCaption w:val="Table 27: Proportions of population aged 15 years or older by sex and highest level of education completed, 1999 and 2009"/>
      </w:tblPr>
      <w:tblGrid>
        <w:gridCol w:w="1595"/>
        <w:gridCol w:w="1595"/>
        <w:gridCol w:w="1595"/>
        <w:gridCol w:w="1595"/>
        <w:gridCol w:w="1595"/>
        <w:gridCol w:w="1595"/>
      </w:tblGrid>
      <w:tr w:rsidR="00BA1D08" w:rsidRPr="00413D58" w:rsidTr="00D339A4">
        <w:trPr>
          <w:tblHeader/>
        </w:trPr>
        <w:tc>
          <w:tcPr>
            <w:tcW w:w="9570" w:type="dxa"/>
            <w:gridSpan w:val="6"/>
            <w:shd w:val="clear" w:color="auto" w:fill="BFBFBF" w:themeFill="background1" w:themeFillShade="BF"/>
          </w:tcPr>
          <w:p w:rsidR="00BA1D08" w:rsidRPr="00413D58" w:rsidRDefault="00BA1D08" w:rsidP="006E77CA">
            <w:r w:rsidRPr="00413D58">
              <w:t xml:space="preserve">Table </w:t>
            </w:r>
            <w:r w:rsidR="006E77CA">
              <w:t>27</w:t>
            </w:r>
            <w:r w:rsidRPr="00413D58">
              <w:t>: Proportions of population aged 15 years or older by sex and highest level of education completed, 1999 and 2009</w:t>
            </w:r>
          </w:p>
        </w:tc>
      </w:tr>
      <w:tr w:rsidR="00BA1D08" w:rsidRPr="00413D58" w:rsidTr="00C05FAA">
        <w:tc>
          <w:tcPr>
            <w:tcW w:w="1595" w:type="dxa"/>
          </w:tcPr>
          <w:p w:rsidR="00BA1D08" w:rsidRPr="00413D58" w:rsidRDefault="00BA1D08" w:rsidP="00C05FAA"/>
        </w:tc>
        <w:tc>
          <w:tcPr>
            <w:tcW w:w="1595" w:type="dxa"/>
          </w:tcPr>
          <w:p w:rsidR="00BA1D08" w:rsidRPr="00413D58" w:rsidRDefault="00BA1D08" w:rsidP="00C05FAA">
            <w:pPr>
              <w:jc w:val="center"/>
            </w:pPr>
            <w:r w:rsidRPr="00413D58">
              <w:t>No school or Kindergarten only</w:t>
            </w:r>
          </w:p>
        </w:tc>
        <w:tc>
          <w:tcPr>
            <w:tcW w:w="1595" w:type="dxa"/>
          </w:tcPr>
          <w:p w:rsidR="00BA1D08" w:rsidRPr="00413D58" w:rsidRDefault="00BA1D08" w:rsidP="00C05FAA">
            <w:pPr>
              <w:jc w:val="center"/>
            </w:pPr>
            <w:r w:rsidRPr="00413D58">
              <w:t>Primary</w:t>
            </w:r>
          </w:p>
        </w:tc>
        <w:tc>
          <w:tcPr>
            <w:tcW w:w="1595" w:type="dxa"/>
          </w:tcPr>
          <w:p w:rsidR="00BA1D08" w:rsidRPr="00413D58" w:rsidRDefault="00BA1D08" w:rsidP="00C05FAA">
            <w:pPr>
              <w:jc w:val="center"/>
            </w:pPr>
            <w:r w:rsidRPr="00413D58">
              <w:t>Secondary</w:t>
            </w:r>
          </w:p>
        </w:tc>
        <w:tc>
          <w:tcPr>
            <w:tcW w:w="1595" w:type="dxa"/>
          </w:tcPr>
          <w:p w:rsidR="00BA1D08" w:rsidRPr="00413D58" w:rsidRDefault="00BA1D08" w:rsidP="00C05FAA">
            <w:pPr>
              <w:jc w:val="center"/>
            </w:pPr>
            <w:r w:rsidRPr="00413D58">
              <w:t>Vocational</w:t>
            </w:r>
          </w:p>
          <w:p w:rsidR="00BA1D08" w:rsidRPr="00413D58" w:rsidRDefault="00BA1D08" w:rsidP="00C05FAA">
            <w:pPr>
              <w:jc w:val="center"/>
            </w:pPr>
            <w:r w:rsidRPr="00413D58">
              <w:t>(see Note)</w:t>
            </w:r>
          </w:p>
        </w:tc>
        <w:tc>
          <w:tcPr>
            <w:tcW w:w="1595" w:type="dxa"/>
          </w:tcPr>
          <w:p w:rsidR="00BA1D08" w:rsidRPr="00413D58" w:rsidRDefault="00BA1D08" w:rsidP="00C05FAA">
            <w:pPr>
              <w:jc w:val="center"/>
            </w:pPr>
            <w:r w:rsidRPr="00413D58">
              <w:t>Tertiary</w:t>
            </w:r>
          </w:p>
        </w:tc>
      </w:tr>
      <w:tr w:rsidR="00BA1D08" w:rsidRPr="00413D58" w:rsidTr="00C05FAA">
        <w:tc>
          <w:tcPr>
            <w:tcW w:w="1595" w:type="dxa"/>
          </w:tcPr>
          <w:p w:rsidR="00BA1D08" w:rsidRPr="00413D58" w:rsidRDefault="00BA1D08" w:rsidP="00C05FAA">
            <w:r w:rsidRPr="00413D58">
              <w:t>1999 - percentage of females</w:t>
            </w:r>
          </w:p>
        </w:tc>
        <w:tc>
          <w:tcPr>
            <w:tcW w:w="1595" w:type="dxa"/>
          </w:tcPr>
          <w:p w:rsidR="00BA1D08" w:rsidRPr="00413D58" w:rsidRDefault="00BA1D08" w:rsidP="00C05FAA">
            <w:pPr>
              <w:jc w:val="center"/>
            </w:pPr>
          </w:p>
          <w:p w:rsidR="00BA1D08" w:rsidRPr="00413D58" w:rsidRDefault="00BA1D08" w:rsidP="00C05FAA">
            <w:pPr>
              <w:jc w:val="center"/>
            </w:pPr>
            <w:r w:rsidRPr="00413D58">
              <w:t>56.6</w:t>
            </w:r>
          </w:p>
        </w:tc>
        <w:tc>
          <w:tcPr>
            <w:tcW w:w="1595" w:type="dxa"/>
          </w:tcPr>
          <w:p w:rsidR="00BA1D08" w:rsidRPr="00413D58" w:rsidRDefault="00BA1D08" w:rsidP="00C05FAA">
            <w:pPr>
              <w:jc w:val="center"/>
            </w:pPr>
          </w:p>
          <w:p w:rsidR="00BA1D08" w:rsidRPr="00413D58" w:rsidRDefault="00BA1D08" w:rsidP="00C05FAA">
            <w:pPr>
              <w:jc w:val="center"/>
            </w:pPr>
            <w:r w:rsidRPr="00413D58">
              <w:t>49.5</w:t>
            </w:r>
          </w:p>
        </w:tc>
        <w:tc>
          <w:tcPr>
            <w:tcW w:w="1595" w:type="dxa"/>
          </w:tcPr>
          <w:p w:rsidR="00BA1D08" w:rsidRPr="00413D58" w:rsidRDefault="00BA1D08" w:rsidP="00C05FAA">
            <w:pPr>
              <w:jc w:val="center"/>
            </w:pPr>
          </w:p>
          <w:p w:rsidR="00BA1D08" w:rsidRPr="00413D58" w:rsidRDefault="00BA1D08" w:rsidP="00C05FAA">
            <w:pPr>
              <w:jc w:val="center"/>
            </w:pPr>
            <w:r w:rsidRPr="00413D58">
              <w:t>44.7</w:t>
            </w:r>
          </w:p>
        </w:tc>
        <w:tc>
          <w:tcPr>
            <w:tcW w:w="1595" w:type="dxa"/>
          </w:tcPr>
          <w:p w:rsidR="00BA1D08" w:rsidRPr="00413D58" w:rsidRDefault="00BA1D08" w:rsidP="00C05FAA">
            <w:pPr>
              <w:jc w:val="center"/>
            </w:pPr>
          </w:p>
          <w:p w:rsidR="00BA1D08" w:rsidRPr="00413D58" w:rsidRDefault="00BA1D08" w:rsidP="00C05FAA">
            <w:pPr>
              <w:jc w:val="center"/>
            </w:pPr>
            <w:r w:rsidRPr="00413D58">
              <w:t>40.6</w:t>
            </w:r>
          </w:p>
        </w:tc>
        <w:tc>
          <w:tcPr>
            <w:tcW w:w="1595" w:type="dxa"/>
          </w:tcPr>
          <w:p w:rsidR="00BA1D08" w:rsidRPr="00413D58" w:rsidRDefault="00BA1D08" w:rsidP="00C05FAA">
            <w:pPr>
              <w:jc w:val="center"/>
            </w:pPr>
          </w:p>
          <w:p w:rsidR="00BA1D08" w:rsidRPr="00413D58" w:rsidRDefault="00BA1D08" w:rsidP="00C05FAA">
            <w:pPr>
              <w:jc w:val="center"/>
            </w:pPr>
            <w:r w:rsidRPr="00413D58">
              <w:t>36.0</w:t>
            </w:r>
          </w:p>
        </w:tc>
      </w:tr>
      <w:tr w:rsidR="00BA1D08" w:rsidRPr="00413D58" w:rsidTr="00C05FAA">
        <w:tc>
          <w:tcPr>
            <w:tcW w:w="1595" w:type="dxa"/>
          </w:tcPr>
          <w:p w:rsidR="00BA1D08" w:rsidRPr="00413D58" w:rsidRDefault="00BA1D08" w:rsidP="00C05FAA">
            <w:r w:rsidRPr="00413D58">
              <w:t>2009 - percentage of females</w:t>
            </w:r>
          </w:p>
        </w:tc>
        <w:tc>
          <w:tcPr>
            <w:tcW w:w="1595" w:type="dxa"/>
          </w:tcPr>
          <w:p w:rsidR="00BA1D08" w:rsidRPr="00413D58" w:rsidRDefault="00BA1D08" w:rsidP="00C05FAA">
            <w:pPr>
              <w:jc w:val="center"/>
            </w:pPr>
          </w:p>
          <w:p w:rsidR="00BA1D08" w:rsidRPr="00413D58" w:rsidRDefault="00BA1D08" w:rsidP="00C05FAA">
            <w:pPr>
              <w:jc w:val="center"/>
            </w:pPr>
            <w:r w:rsidRPr="00413D58">
              <w:t>55.2</w:t>
            </w:r>
          </w:p>
        </w:tc>
        <w:tc>
          <w:tcPr>
            <w:tcW w:w="1595" w:type="dxa"/>
          </w:tcPr>
          <w:p w:rsidR="00BA1D08" w:rsidRPr="00413D58" w:rsidRDefault="00BA1D08" w:rsidP="00C05FAA">
            <w:pPr>
              <w:jc w:val="center"/>
            </w:pPr>
          </w:p>
          <w:p w:rsidR="00BA1D08" w:rsidRPr="00413D58" w:rsidRDefault="00BA1D08" w:rsidP="00C05FAA">
            <w:pPr>
              <w:jc w:val="center"/>
            </w:pPr>
            <w:r w:rsidRPr="00413D58">
              <w:t>50.1</w:t>
            </w:r>
          </w:p>
        </w:tc>
        <w:tc>
          <w:tcPr>
            <w:tcW w:w="1595" w:type="dxa"/>
          </w:tcPr>
          <w:p w:rsidR="00BA1D08" w:rsidRPr="00413D58" w:rsidRDefault="00BA1D08" w:rsidP="00C05FAA">
            <w:pPr>
              <w:jc w:val="center"/>
            </w:pPr>
          </w:p>
          <w:p w:rsidR="00BA1D08" w:rsidRPr="00413D58" w:rsidRDefault="00BA1D08" w:rsidP="00C05FAA">
            <w:pPr>
              <w:jc w:val="center"/>
            </w:pPr>
            <w:r w:rsidRPr="00413D58">
              <w:t>47.9</w:t>
            </w:r>
          </w:p>
          <w:p w:rsidR="00BA1D08" w:rsidRPr="00413D58" w:rsidRDefault="00BA1D08" w:rsidP="00C05FAA">
            <w:pPr>
              <w:jc w:val="center"/>
            </w:pPr>
          </w:p>
        </w:tc>
        <w:tc>
          <w:tcPr>
            <w:tcW w:w="1595" w:type="dxa"/>
          </w:tcPr>
          <w:p w:rsidR="00BA1D08" w:rsidRPr="00413D58" w:rsidRDefault="00BA1D08" w:rsidP="00C05FAA">
            <w:pPr>
              <w:jc w:val="center"/>
            </w:pPr>
          </w:p>
          <w:p w:rsidR="00BA1D08" w:rsidRPr="00413D58" w:rsidRDefault="00BA1D08" w:rsidP="00C05FAA">
            <w:pPr>
              <w:jc w:val="center"/>
            </w:pPr>
            <w:r w:rsidRPr="00413D58">
              <w:t>36.5</w:t>
            </w:r>
          </w:p>
        </w:tc>
        <w:tc>
          <w:tcPr>
            <w:tcW w:w="1595" w:type="dxa"/>
          </w:tcPr>
          <w:p w:rsidR="00BA1D08" w:rsidRPr="00413D58" w:rsidRDefault="00BA1D08" w:rsidP="00C05FAA">
            <w:pPr>
              <w:jc w:val="center"/>
            </w:pPr>
          </w:p>
          <w:p w:rsidR="00BA1D08" w:rsidRPr="00413D58" w:rsidRDefault="00BA1D08" w:rsidP="00C05FAA">
            <w:pPr>
              <w:jc w:val="center"/>
            </w:pPr>
            <w:r w:rsidRPr="00413D58">
              <w:t>42.4</w:t>
            </w:r>
          </w:p>
        </w:tc>
      </w:tr>
      <w:tr w:rsidR="00BA1D08" w:rsidRPr="00413D58" w:rsidTr="00C05FAA">
        <w:tc>
          <w:tcPr>
            <w:tcW w:w="9570" w:type="dxa"/>
            <w:gridSpan w:val="6"/>
          </w:tcPr>
          <w:p w:rsidR="00BA1D08" w:rsidRPr="00413D58" w:rsidRDefault="00BA1D08" w:rsidP="00C05FAA">
            <w:pPr>
              <w:jc w:val="both"/>
            </w:pPr>
            <w:r w:rsidRPr="00413D58">
              <w:t xml:space="preserve">Notes and Sources:  Derived from 1999 and 2009 National Census data.  Data for the vocational training sub-sector was presented in different ways as between the two Censuses hence female percentages for this sub-sector should be treated with considerable caution.  </w:t>
            </w:r>
          </w:p>
        </w:tc>
      </w:tr>
    </w:tbl>
    <w:p w:rsidR="00BA1D08" w:rsidRPr="00413D58" w:rsidRDefault="00BA1D08" w:rsidP="00BA1D08"/>
    <w:p w:rsidR="00BA1D08" w:rsidRPr="00413D58" w:rsidRDefault="00BA1D08" w:rsidP="00BA1D08">
      <w:pPr>
        <w:jc w:val="both"/>
      </w:pPr>
      <w:r w:rsidRPr="00413D58">
        <w:t xml:space="preserve">The above trends at primary and secondary levels are borne out by more recent data indicating: </w:t>
      </w:r>
    </w:p>
    <w:p w:rsidR="00BA1D08" w:rsidRPr="00413D58" w:rsidRDefault="00BA1D08" w:rsidP="00BA1D08">
      <w:pPr>
        <w:jc w:val="both"/>
      </w:pPr>
    </w:p>
    <w:p w:rsidR="00BA1D08" w:rsidRPr="00413D58" w:rsidRDefault="00BA1D08" w:rsidP="00D34AA0">
      <w:pPr>
        <w:pStyle w:val="ListParagraph"/>
        <w:numPr>
          <w:ilvl w:val="0"/>
          <w:numId w:val="43"/>
        </w:numPr>
        <w:jc w:val="both"/>
      </w:pPr>
      <w:r w:rsidRPr="00413D58">
        <w:t xml:space="preserve">There </w:t>
      </w:r>
      <w:proofErr w:type="gramStart"/>
      <w:r w:rsidRPr="00413D58">
        <w:t>is</w:t>
      </w:r>
      <w:proofErr w:type="gramEnd"/>
      <w:r w:rsidRPr="00413D58">
        <w:t xml:space="preserve"> little differences between the sexes in the percentages of those aged between 5 and 17 years who are enrolled in schools (Figure </w:t>
      </w:r>
      <w:r w:rsidR="006E77CA">
        <w:t>10</w:t>
      </w:r>
      <w:r w:rsidR="00A11254">
        <w:t>, next page</w:t>
      </w:r>
      <w:r w:rsidRPr="00413D58">
        <w:t xml:space="preserve"> - reproduced from </w:t>
      </w:r>
      <w:proofErr w:type="spellStart"/>
      <w:r w:rsidRPr="00413D58">
        <w:t>Bennell</w:t>
      </w:r>
      <w:proofErr w:type="spellEnd"/>
      <w:r w:rsidRPr="00413D58">
        <w:t xml:space="preserve"> Study Figure 3.2, page 15).</w:t>
      </w:r>
    </w:p>
    <w:p w:rsidR="00BA1D08" w:rsidRDefault="00BA1D08" w:rsidP="00D34AA0">
      <w:pPr>
        <w:pStyle w:val="ListParagraph"/>
        <w:numPr>
          <w:ilvl w:val="0"/>
          <w:numId w:val="43"/>
        </w:numPr>
        <w:jc w:val="both"/>
      </w:pPr>
      <w:r w:rsidRPr="00413D58">
        <w:t xml:space="preserve">Gender parity indices for net enrolment rates at primary and secondary schools levels over the period 2007 to 2011 typically hover within 2 percentage points of parity in favour of girls at primary level and (since 2009) more strongly in favour of girls at secondary level (Table </w:t>
      </w:r>
      <w:r w:rsidR="006E77CA">
        <w:t>28</w:t>
      </w:r>
      <w:r w:rsidRPr="00413D58">
        <w:t>).</w:t>
      </w:r>
    </w:p>
    <w:p w:rsidR="003F703F" w:rsidRDefault="003F703F" w:rsidP="003F703F">
      <w:pPr>
        <w:jc w:val="both"/>
      </w:pPr>
    </w:p>
    <w:p w:rsidR="003F703F" w:rsidRDefault="003F703F" w:rsidP="003F703F">
      <w:pPr>
        <w:jc w:val="both"/>
      </w:pPr>
      <w:r w:rsidRPr="00413D58">
        <w:t>The overall consensus amongst prior studies has been that, in recent years, gender differentials</w:t>
      </w:r>
      <w:r>
        <w:t xml:space="preserve"> at primary and secondary levels </w:t>
      </w:r>
      <w:r w:rsidRPr="00413D58">
        <w:t>for enrolment and related data are typically small.</w:t>
      </w:r>
      <w:r w:rsidRPr="00413D58">
        <w:rPr>
          <w:rStyle w:val="FootnoteReference"/>
        </w:rPr>
        <w:footnoteReference w:id="42"/>
      </w:r>
    </w:p>
    <w:p w:rsidR="008D4707" w:rsidRPr="00413D58" w:rsidRDefault="008D4707" w:rsidP="008D4707"/>
    <w:tbl>
      <w:tblPr>
        <w:tblStyle w:val="TableGrid"/>
        <w:tblW w:w="0" w:type="auto"/>
        <w:tblLook w:val="04A0" w:firstRow="1" w:lastRow="0" w:firstColumn="1" w:lastColumn="0" w:noHBand="0" w:noVBand="1"/>
        <w:tblCaption w:val="Table 28: Gender Parity Indices for Net Enrolment Rates 2007-2011 "/>
        <w:tblDescription w:val="broken down by primary and secondary"/>
      </w:tblPr>
      <w:tblGrid>
        <w:gridCol w:w="2734"/>
        <w:gridCol w:w="1367"/>
        <w:gridCol w:w="1367"/>
        <w:gridCol w:w="1367"/>
        <w:gridCol w:w="1367"/>
        <w:gridCol w:w="1368"/>
      </w:tblGrid>
      <w:tr w:rsidR="008D4707" w:rsidRPr="00413D58" w:rsidTr="00D339A4">
        <w:trPr>
          <w:tblHeader/>
        </w:trPr>
        <w:tc>
          <w:tcPr>
            <w:tcW w:w="9570" w:type="dxa"/>
            <w:gridSpan w:val="6"/>
            <w:shd w:val="clear" w:color="auto" w:fill="BFBFBF" w:themeFill="background1" w:themeFillShade="BF"/>
          </w:tcPr>
          <w:p w:rsidR="008D4707" w:rsidRPr="00413D58" w:rsidRDefault="008D4707" w:rsidP="000248A2">
            <w:r w:rsidRPr="00413D58">
              <w:t xml:space="preserve">Table </w:t>
            </w:r>
            <w:r>
              <w:t>28</w:t>
            </w:r>
            <w:r w:rsidRPr="00413D58">
              <w:t xml:space="preserve">: Gender Parity Indices for Net Enrolment Rates 2007-2011 </w:t>
            </w:r>
          </w:p>
        </w:tc>
      </w:tr>
      <w:tr w:rsidR="008D4707" w:rsidRPr="00413D58" w:rsidTr="000248A2">
        <w:tc>
          <w:tcPr>
            <w:tcW w:w="2734" w:type="dxa"/>
          </w:tcPr>
          <w:p w:rsidR="008D4707" w:rsidRPr="00413D58" w:rsidRDefault="008D4707" w:rsidP="000248A2">
            <w:pPr>
              <w:jc w:val="right"/>
            </w:pPr>
            <w:r w:rsidRPr="00413D58">
              <w:t>Year</w:t>
            </w:r>
          </w:p>
        </w:tc>
        <w:tc>
          <w:tcPr>
            <w:tcW w:w="1367" w:type="dxa"/>
          </w:tcPr>
          <w:p w:rsidR="008D4707" w:rsidRPr="00413D58" w:rsidRDefault="008D4707" w:rsidP="000248A2">
            <w:pPr>
              <w:jc w:val="center"/>
            </w:pPr>
            <w:r w:rsidRPr="00413D58">
              <w:t>2007</w:t>
            </w:r>
          </w:p>
        </w:tc>
        <w:tc>
          <w:tcPr>
            <w:tcW w:w="1367" w:type="dxa"/>
          </w:tcPr>
          <w:p w:rsidR="008D4707" w:rsidRPr="00413D58" w:rsidRDefault="008D4707" w:rsidP="000248A2">
            <w:pPr>
              <w:jc w:val="center"/>
            </w:pPr>
            <w:r w:rsidRPr="00413D58">
              <w:t>2008</w:t>
            </w:r>
          </w:p>
        </w:tc>
        <w:tc>
          <w:tcPr>
            <w:tcW w:w="1367" w:type="dxa"/>
          </w:tcPr>
          <w:p w:rsidR="008D4707" w:rsidRPr="00413D58" w:rsidRDefault="008D4707" w:rsidP="000248A2">
            <w:pPr>
              <w:jc w:val="center"/>
            </w:pPr>
            <w:r w:rsidRPr="00413D58">
              <w:t>2009</w:t>
            </w:r>
          </w:p>
        </w:tc>
        <w:tc>
          <w:tcPr>
            <w:tcW w:w="1367" w:type="dxa"/>
          </w:tcPr>
          <w:p w:rsidR="008D4707" w:rsidRPr="00413D58" w:rsidRDefault="008D4707" w:rsidP="000248A2">
            <w:pPr>
              <w:jc w:val="center"/>
            </w:pPr>
            <w:r w:rsidRPr="00413D58">
              <w:t>2010</w:t>
            </w:r>
          </w:p>
        </w:tc>
        <w:tc>
          <w:tcPr>
            <w:tcW w:w="1368" w:type="dxa"/>
          </w:tcPr>
          <w:p w:rsidR="008D4707" w:rsidRPr="00413D58" w:rsidRDefault="008D4707" w:rsidP="000248A2">
            <w:pPr>
              <w:jc w:val="center"/>
            </w:pPr>
            <w:r w:rsidRPr="00413D58">
              <w:t>2011</w:t>
            </w:r>
          </w:p>
        </w:tc>
      </w:tr>
      <w:tr w:rsidR="008D4707" w:rsidRPr="00413D58" w:rsidTr="000248A2">
        <w:tc>
          <w:tcPr>
            <w:tcW w:w="2734" w:type="dxa"/>
          </w:tcPr>
          <w:p w:rsidR="008D4707" w:rsidRPr="00413D58" w:rsidRDefault="008D4707" w:rsidP="000248A2">
            <w:r w:rsidRPr="00413D58">
              <w:t>Primary Grades 1-6</w:t>
            </w:r>
          </w:p>
        </w:tc>
        <w:tc>
          <w:tcPr>
            <w:tcW w:w="1367" w:type="dxa"/>
          </w:tcPr>
          <w:p w:rsidR="008D4707" w:rsidRPr="00413D58" w:rsidRDefault="008D4707" w:rsidP="000248A2">
            <w:pPr>
              <w:jc w:val="center"/>
            </w:pPr>
            <w:r w:rsidRPr="00413D58">
              <w:t>1.02</w:t>
            </w:r>
          </w:p>
        </w:tc>
        <w:tc>
          <w:tcPr>
            <w:tcW w:w="1367" w:type="dxa"/>
          </w:tcPr>
          <w:p w:rsidR="008D4707" w:rsidRPr="00413D58" w:rsidRDefault="008D4707" w:rsidP="000248A2">
            <w:pPr>
              <w:jc w:val="center"/>
            </w:pPr>
            <w:r w:rsidRPr="00413D58">
              <w:t>1.04</w:t>
            </w:r>
          </w:p>
        </w:tc>
        <w:tc>
          <w:tcPr>
            <w:tcW w:w="1367" w:type="dxa"/>
          </w:tcPr>
          <w:p w:rsidR="008D4707" w:rsidRPr="00413D58" w:rsidRDefault="008D4707" w:rsidP="000248A2">
            <w:pPr>
              <w:jc w:val="center"/>
            </w:pPr>
            <w:r w:rsidRPr="00413D58">
              <w:t>1.02</w:t>
            </w:r>
          </w:p>
        </w:tc>
        <w:tc>
          <w:tcPr>
            <w:tcW w:w="1367" w:type="dxa"/>
          </w:tcPr>
          <w:p w:rsidR="008D4707" w:rsidRPr="00413D58" w:rsidRDefault="008D4707" w:rsidP="000248A2">
            <w:pPr>
              <w:jc w:val="center"/>
            </w:pPr>
            <w:r w:rsidRPr="00413D58">
              <w:t>1.01</w:t>
            </w:r>
          </w:p>
        </w:tc>
        <w:tc>
          <w:tcPr>
            <w:tcW w:w="1368" w:type="dxa"/>
          </w:tcPr>
          <w:p w:rsidR="008D4707" w:rsidRPr="00413D58" w:rsidRDefault="008D4707" w:rsidP="000248A2">
            <w:pPr>
              <w:jc w:val="center"/>
            </w:pPr>
            <w:r w:rsidRPr="00413D58">
              <w:t>1.02</w:t>
            </w:r>
          </w:p>
        </w:tc>
      </w:tr>
      <w:tr w:rsidR="008D4707" w:rsidRPr="00413D58" w:rsidTr="000248A2">
        <w:tc>
          <w:tcPr>
            <w:tcW w:w="2734" w:type="dxa"/>
          </w:tcPr>
          <w:p w:rsidR="008D4707" w:rsidRPr="00413D58" w:rsidRDefault="008D4707" w:rsidP="000248A2">
            <w:r w:rsidRPr="00413D58">
              <w:t>Secondary Grades 7-13/14</w:t>
            </w:r>
          </w:p>
        </w:tc>
        <w:tc>
          <w:tcPr>
            <w:tcW w:w="1367" w:type="dxa"/>
          </w:tcPr>
          <w:p w:rsidR="008D4707" w:rsidRPr="00413D58" w:rsidRDefault="008D4707" w:rsidP="000248A2">
            <w:pPr>
              <w:jc w:val="center"/>
            </w:pPr>
            <w:r w:rsidRPr="00413D58">
              <w:t>1.00</w:t>
            </w:r>
          </w:p>
        </w:tc>
        <w:tc>
          <w:tcPr>
            <w:tcW w:w="1367" w:type="dxa"/>
          </w:tcPr>
          <w:p w:rsidR="008D4707" w:rsidRPr="00413D58" w:rsidRDefault="008D4707" w:rsidP="000248A2">
            <w:pPr>
              <w:jc w:val="center"/>
            </w:pPr>
            <w:r w:rsidRPr="00413D58">
              <w:t>1.00</w:t>
            </w:r>
          </w:p>
        </w:tc>
        <w:tc>
          <w:tcPr>
            <w:tcW w:w="1367" w:type="dxa"/>
          </w:tcPr>
          <w:p w:rsidR="008D4707" w:rsidRPr="00413D58" w:rsidRDefault="008D4707" w:rsidP="000248A2">
            <w:pPr>
              <w:jc w:val="center"/>
            </w:pPr>
            <w:r w:rsidRPr="00413D58">
              <w:t>1.07</w:t>
            </w:r>
          </w:p>
        </w:tc>
        <w:tc>
          <w:tcPr>
            <w:tcW w:w="1367" w:type="dxa"/>
          </w:tcPr>
          <w:p w:rsidR="008D4707" w:rsidRPr="00413D58" w:rsidRDefault="008D4707" w:rsidP="000248A2">
            <w:pPr>
              <w:jc w:val="center"/>
            </w:pPr>
            <w:r w:rsidRPr="00413D58">
              <w:t>1.12</w:t>
            </w:r>
          </w:p>
        </w:tc>
        <w:tc>
          <w:tcPr>
            <w:tcW w:w="1368" w:type="dxa"/>
          </w:tcPr>
          <w:p w:rsidR="008D4707" w:rsidRPr="00413D58" w:rsidRDefault="008D4707" w:rsidP="000248A2">
            <w:pPr>
              <w:jc w:val="center"/>
            </w:pPr>
            <w:r w:rsidRPr="00413D58">
              <w:t>1.15</w:t>
            </w:r>
          </w:p>
        </w:tc>
      </w:tr>
      <w:tr w:rsidR="008D4707" w:rsidRPr="00413D58" w:rsidTr="000248A2">
        <w:tc>
          <w:tcPr>
            <w:tcW w:w="9570" w:type="dxa"/>
            <w:gridSpan w:val="6"/>
          </w:tcPr>
          <w:p w:rsidR="008D4707" w:rsidRPr="00413D58" w:rsidRDefault="008D4707" w:rsidP="000248A2">
            <w:pPr>
              <w:jc w:val="both"/>
            </w:pPr>
            <w:r w:rsidRPr="00413D58">
              <w:t xml:space="preserve">Notes and sources:  The Gender Parity Index (GPI) divides the </w:t>
            </w:r>
            <w:r w:rsidRPr="00413D58">
              <w:rPr>
                <w:rFonts w:cstheme="minorHAnsi"/>
              </w:rPr>
              <w:t>female value for any indicator by the male value.  A GPI with a value of 100 or very close to it indicates gender parity; a value over 100 indicating a difference in favour of females and a value less than 100 a difference in favour of males.  Source: VEMIS.</w:t>
            </w:r>
          </w:p>
        </w:tc>
      </w:tr>
    </w:tbl>
    <w:p w:rsidR="008D4707" w:rsidRPr="00413D58" w:rsidRDefault="008D4707" w:rsidP="008D4707">
      <w:pPr>
        <w:jc w:val="both"/>
      </w:pPr>
    </w:p>
    <w:p w:rsidR="008D4707" w:rsidRDefault="008D4707" w:rsidP="008D4707">
      <w:pPr>
        <w:jc w:val="both"/>
      </w:pPr>
      <w:r w:rsidRPr="00413D58">
        <w:t xml:space="preserve">Data for the vocational training and tertiary education sub-sectors are less comprehensive but suggest that, with the exception of teacher and nurse training, intakes at these levels continue to be dominated by males (see Table </w:t>
      </w:r>
      <w:r w:rsidR="00694280">
        <w:t>29</w:t>
      </w:r>
      <w:r w:rsidRPr="00413D58">
        <w:t xml:space="preserve"> below).</w:t>
      </w:r>
    </w:p>
    <w:p w:rsidR="008D4707" w:rsidRPr="00413D58" w:rsidRDefault="008D4707" w:rsidP="003F703F">
      <w:pPr>
        <w:jc w:val="both"/>
      </w:pPr>
    </w:p>
    <w:p w:rsidR="00F364DB" w:rsidRDefault="00F364DB" w:rsidP="00BA1D08">
      <w:pPr>
        <w:jc w:val="center"/>
      </w:pPr>
      <w:r>
        <w:br w:type="page"/>
      </w:r>
    </w:p>
    <w:tbl>
      <w:tblPr>
        <w:tblStyle w:val="TableGrid"/>
        <w:tblW w:w="0" w:type="auto"/>
        <w:tblLook w:val="04A0" w:firstRow="1" w:lastRow="0" w:firstColumn="1" w:lastColumn="0" w:noHBand="0" w:noVBand="1"/>
        <w:tblCaption w:val="Figure 10: Percentage attending school in the 5-18 age group, 2009"/>
      </w:tblPr>
      <w:tblGrid>
        <w:gridCol w:w="9570"/>
      </w:tblGrid>
      <w:tr w:rsidR="00F364DB" w:rsidRPr="00F364DB" w:rsidTr="00566A2B">
        <w:trPr>
          <w:tblHeader/>
        </w:trPr>
        <w:tc>
          <w:tcPr>
            <w:tcW w:w="9570" w:type="dxa"/>
            <w:shd w:val="clear" w:color="auto" w:fill="BFBFBF" w:themeFill="background1" w:themeFillShade="BF"/>
          </w:tcPr>
          <w:p w:rsidR="00F364DB" w:rsidRPr="00F364DB" w:rsidRDefault="00F364DB" w:rsidP="00F364DB">
            <w:r w:rsidRPr="00F364DB">
              <w:lastRenderedPageBreak/>
              <w:t>Figure 10: Percentage attending school in the 5</w:t>
            </w:r>
            <w:r>
              <w:t>-</w:t>
            </w:r>
            <w:r w:rsidRPr="00F364DB">
              <w:t>18 age group, 2009</w:t>
            </w:r>
          </w:p>
        </w:tc>
      </w:tr>
      <w:tr w:rsidR="00F364DB" w:rsidRPr="00F364DB" w:rsidTr="00617B8E">
        <w:tc>
          <w:tcPr>
            <w:tcW w:w="9570" w:type="dxa"/>
          </w:tcPr>
          <w:p w:rsidR="00F364DB" w:rsidRPr="00F364DB" w:rsidRDefault="00F364DB" w:rsidP="00F364DB">
            <w:r>
              <w:rPr>
                <w:noProof/>
                <w:lang w:eastAsia="en-AU"/>
              </w:rPr>
              <mc:AlternateContent>
                <mc:Choice Requires="wpc">
                  <w:drawing>
                    <wp:inline distT="0" distB="0" distL="0" distR="0" wp14:anchorId="3BF1CD4C" wp14:editId="465DBE8A">
                      <wp:extent cx="5935345" cy="3798570"/>
                      <wp:effectExtent l="0" t="0" r="27305" b="11430"/>
                      <wp:docPr id="126" name="Canvas 2" title="Figure 10: Percentage attending school in the 5-18 age group, 20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22" name="Rectangle 4" title="Figure 10: Percentage attending school in the 5-18 age group, 2009"/>
                              <wps:cNvSpPr>
                                <a:spLocks noChangeArrowheads="1"/>
                              </wps:cNvSpPr>
                              <wps:spPr bwMode="auto">
                                <a:xfrm>
                                  <a:off x="476250" y="254635"/>
                                  <a:ext cx="4709160" cy="3092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
                              <wps:cNvCnPr/>
                              <wps:spPr bwMode="auto">
                                <a:xfrm>
                                  <a:off x="476250" y="3037840"/>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wps:spPr bwMode="auto">
                                <a:xfrm>
                                  <a:off x="476250" y="272859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wps:spPr bwMode="auto">
                                <a:xfrm>
                                  <a:off x="476250" y="241998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wps:spPr bwMode="auto">
                                <a:xfrm>
                                  <a:off x="476250" y="211010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wps:spPr bwMode="auto">
                                <a:xfrm>
                                  <a:off x="476250" y="1800860"/>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wps:spPr bwMode="auto">
                                <a:xfrm>
                                  <a:off x="476250" y="149161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wps:spPr bwMode="auto">
                                <a:xfrm>
                                  <a:off x="476250" y="118173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wps:spPr bwMode="auto">
                                <a:xfrm>
                                  <a:off x="476250" y="873760"/>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wps:spPr bwMode="auto">
                                <a:xfrm>
                                  <a:off x="476250" y="563880"/>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wps:spPr bwMode="auto">
                                <a:xfrm>
                                  <a:off x="476250" y="25463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5"/>
                              <wps:cNvSpPr>
                                <a:spLocks noChangeArrowheads="1"/>
                              </wps:cNvSpPr>
                              <wps:spPr bwMode="auto">
                                <a:xfrm>
                                  <a:off x="476250" y="254635"/>
                                  <a:ext cx="4709160" cy="3092450"/>
                                </a:xfrm>
                                <a:prstGeom prst="rect">
                                  <a:avLst/>
                                </a:prstGeom>
                                <a:noFill/>
                                <a:ln w="825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16"/>
                              <wps:cNvCnPr/>
                              <wps:spPr bwMode="auto">
                                <a:xfrm>
                                  <a:off x="476250" y="254635"/>
                                  <a:ext cx="635" cy="3092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wps:spPr bwMode="auto">
                                <a:xfrm>
                                  <a:off x="450215" y="334708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wps:spPr bwMode="auto">
                                <a:xfrm>
                                  <a:off x="450215" y="303784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450215" y="272859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wps:spPr bwMode="auto">
                                <a:xfrm>
                                  <a:off x="450215" y="241998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wps:spPr bwMode="auto">
                                <a:xfrm>
                                  <a:off x="450215" y="211010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wps:spPr bwMode="auto">
                                <a:xfrm>
                                  <a:off x="450215" y="180086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wps:spPr bwMode="auto">
                                <a:xfrm>
                                  <a:off x="450215" y="149161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wps:spPr bwMode="auto">
                                <a:xfrm>
                                  <a:off x="450215" y="118173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wps:spPr bwMode="auto">
                                <a:xfrm>
                                  <a:off x="450215" y="87376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450215" y="56388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27" title="Figure 10: Percentage attending school in the 5-18 age group, 2009"/>
                              <wps:cNvCnPr/>
                              <wps:spPr bwMode="auto">
                                <a:xfrm>
                                  <a:off x="450215" y="25463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Line 28"/>
                              <wps:cNvCnPr/>
                              <wps:spPr bwMode="auto">
                                <a:xfrm>
                                  <a:off x="476250" y="3347085"/>
                                  <a:ext cx="4709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29"/>
                              <wps:cNvCnPr/>
                              <wps:spPr bwMode="auto">
                                <a:xfrm flipV="1">
                                  <a:off x="47625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30"/>
                              <wps:cNvCnPr/>
                              <wps:spPr bwMode="auto">
                                <a:xfrm flipV="1">
                                  <a:off x="81343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31"/>
                              <wps:cNvCnPr/>
                              <wps:spPr bwMode="auto">
                                <a:xfrm flipV="1">
                                  <a:off x="114935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32"/>
                              <wps:cNvCnPr/>
                              <wps:spPr bwMode="auto">
                                <a:xfrm flipV="1">
                                  <a:off x="148590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33"/>
                              <wps:cNvCnPr/>
                              <wps:spPr bwMode="auto">
                                <a:xfrm flipV="1">
                                  <a:off x="182181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34"/>
                              <wps:cNvCnPr/>
                              <wps:spPr bwMode="auto">
                                <a:xfrm flipV="1">
                                  <a:off x="215836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wps:spPr bwMode="auto">
                                <a:xfrm flipV="1">
                                  <a:off x="249428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36"/>
                              <wps:cNvCnPr/>
                              <wps:spPr bwMode="auto">
                                <a:xfrm flipV="1">
                                  <a:off x="283083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Line 37"/>
                              <wps:cNvCnPr/>
                              <wps:spPr bwMode="auto">
                                <a:xfrm flipV="1">
                                  <a:off x="316801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Line 38"/>
                              <wps:cNvCnPr/>
                              <wps:spPr bwMode="auto">
                                <a:xfrm flipV="1">
                                  <a:off x="350393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Line 39"/>
                              <wps:cNvCnPr/>
                              <wps:spPr bwMode="auto">
                                <a:xfrm flipV="1">
                                  <a:off x="384048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Line 40"/>
                              <wps:cNvCnPr/>
                              <wps:spPr bwMode="auto">
                                <a:xfrm flipV="1">
                                  <a:off x="417639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41"/>
                              <wps:cNvCnPr/>
                              <wps:spPr bwMode="auto">
                                <a:xfrm flipV="1">
                                  <a:off x="4512945"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42"/>
                              <wps:cNvCnPr/>
                              <wps:spPr bwMode="auto">
                                <a:xfrm flipV="1">
                                  <a:off x="484886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43"/>
                              <wps:cNvCnPr/>
                              <wps:spPr bwMode="auto">
                                <a:xfrm flipV="1">
                                  <a:off x="5185410" y="3347085"/>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44"/>
                              <wps:cNvSpPr>
                                <a:spLocks/>
                              </wps:cNvSpPr>
                              <wps:spPr bwMode="auto">
                                <a:xfrm>
                                  <a:off x="644525" y="586740"/>
                                  <a:ext cx="4373245" cy="1709420"/>
                                </a:xfrm>
                                <a:custGeom>
                                  <a:avLst/>
                                  <a:gdLst>
                                    <a:gd name="T0" fmla="*/ 0 w 4194"/>
                                    <a:gd name="T1" fmla="*/ 586 h 1640"/>
                                    <a:gd name="T2" fmla="*/ 323 w 4194"/>
                                    <a:gd name="T3" fmla="*/ 257 h 1640"/>
                                    <a:gd name="T4" fmla="*/ 645 w 4194"/>
                                    <a:gd name="T5" fmla="*/ 109 h 1640"/>
                                    <a:gd name="T6" fmla="*/ 968 w 4194"/>
                                    <a:gd name="T7" fmla="*/ 0 h 1640"/>
                                    <a:gd name="T8" fmla="*/ 1291 w 4194"/>
                                    <a:gd name="T9" fmla="*/ 17 h 1640"/>
                                    <a:gd name="T10" fmla="*/ 1613 w 4194"/>
                                    <a:gd name="T11" fmla="*/ 53 h 1640"/>
                                    <a:gd name="T12" fmla="*/ 1936 w 4194"/>
                                    <a:gd name="T13" fmla="*/ 36 h 1640"/>
                                    <a:gd name="T14" fmla="*/ 2258 w 4194"/>
                                    <a:gd name="T15" fmla="*/ 132 h 1640"/>
                                    <a:gd name="T16" fmla="*/ 2581 w 4194"/>
                                    <a:gd name="T17" fmla="*/ 267 h 1640"/>
                                    <a:gd name="T18" fmla="*/ 2903 w 4194"/>
                                    <a:gd name="T19" fmla="*/ 374 h 1640"/>
                                    <a:gd name="T20" fmla="*/ 3226 w 4194"/>
                                    <a:gd name="T21" fmla="*/ 676 h 1640"/>
                                    <a:gd name="T22" fmla="*/ 3549 w 4194"/>
                                    <a:gd name="T23" fmla="*/ 1110 h 1640"/>
                                    <a:gd name="T24" fmla="*/ 3871 w 4194"/>
                                    <a:gd name="T25" fmla="*/ 1327 h 1640"/>
                                    <a:gd name="T26" fmla="*/ 4194 w 4194"/>
                                    <a:gd name="T27" fmla="*/ 164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94" h="1640">
                                      <a:moveTo>
                                        <a:pt x="0" y="586"/>
                                      </a:moveTo>
                                      <a:lnTo>
                                        <a:pt x="323" y="257"/>
                                      </a:lnTo>
                                      <a:lnTo>
                                        <a:pt x="645" y="109"/>
                                      </a:lnTo>
                                      <a:lnTo>
                                        <a:pt x="968" y="0"/>
                                      </a:lnTo>
                                      <a:lnTo>
                                        <a:pt x="1291" y="17"/>
                                      </a:lnTo>
                                      <a:lnTo>
                                        <a:pt x="1613" y="53"/>
                                      </a:lnTo>
                                      <a:lnTo>
                                        <a:pt x="1936" y="36"/>
                                      </a:lnTo>
                                      <a:lnTo>
                                        <a:pt x="2258" y="132"/>
                                      </a:lnTo>
                                      <a:lnTo>
                                        <a:pt x="2581" y="267"/>
                                      </a:lnTo>
                                      <a:lnTo>
                                        <a:pt x="2903" y="374"/>
                                      </a:lnTo>
                                      <a:lnTo>
                                        <a:pt x="3226" y="676"/>
                                      </a:lnTo>
                                      <a:lnTo>
                                        <a:pt x="3549" y="1110"/>
                                      </a:lnTo>
                                      <a:lnTo>
                                        <a:pt x="3871" y="1327"/>
                                      </a:lnTo>
                                      <a:lnTo>
                                        <a:pt x="4194" y="1640"/>
                                      </a:lnTo>
                                    </a:path>
                                  </a:pathLst>
                                </a:custGeom>
                                <a:noFill/>
                                <a:ln w="825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5"/>
                              <wps:cNvSpPr>
                                <a:spLocks/>
                              </wps:cNvSpPr>
                              <wps:spPr bwMode="auto">
                                <a:xfrm>
                                  <a:off x="644525" y="575310"/>
                                  <a:ext cx="4373245" cy="1807210"/>
                                </a:xfrm>
                                <a:custGeom>
                                  <a:avLst/>
                                  <a:gdLst>
                                    <a:gd name="T0" fmla="*/ 0 w 4194"/>
                                    <a:gd name="T1" fmla="*/ 526 h 1734"/>
                                    <a:gd name="T2" fmla="*/ 323 w 4194"/>
                                    <a:gd name="T3" fmla="*/ 231 h 1734"/>
                                    <a:gd name="T4" fmla="*/ 645 w 4194"/>
                                    <a:gd name="T5" fmla="*/ 108 h 1734"/>
                                    <a:gd name="T6" fmla="*/ 968 w 4194"/>
                                    <a:gd name="T7" fmla="*/ 19 h 1734"/>
                                    <a:gd name="T8" fmla="*/ 1291 w 4194"/>
                                    <a:gd name="T9" fmla="*/ 0 h 1734"/>
                                    <a:gd name="T10" fmla="*/ 1613 w 4194"/>
                                    <a:gd name="T11" fmla="*/ 58 h 1734"/>
                                    <a:gd name="T12" fmla="*/ 1936 w 4194"/>
                                    <a:gd name="T13" fmla="*/ 27 h 1734"/>
                                    <a:gd name="T14" fmla="*/ 2258 w 4194"/>
                                    <a:gd name="T15" fmla="*/ 132 h 1734"/>
                                    <a:gd name="T16" fmla="*/ 2581 w 4194"/>
                                    <a:gd name="T17" fmla="*/ 244 h 1734"/>
                                    <a:gd name="T18" fmla="*/ 2903 w 4194"/>
                                    <a:gd name="T19" fmla="*/ 452 h 1734"/>
                                    <a:gd name="T20" fmla="*/ 3226 w 4194"/>
                                    <a:gd name="T21" fmla="*/ 726 h 1734"/>
                                    <a:gd name="T22" fmla="*/ 3549 w 4194"/>
                                    <a:gd name="T23" fmla="*/ 1046 h 1734"/>
                                    <a:gd name="T24" fmla="*/ 3871 w 4194"/>
                                    <a:gd name="T25" fmla="*/ 1387 h 1734"/>
                                    <a:gd name="T26" fmla="*/ 4194 w 4194"/>
                                    <a:gd name="T27" fmla="*/ 1734 h 1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94" h="1734">
                                      <a:moveTo>
                                        <a:pt x="0" y="526"/>
                                      </a:moveTo>
                                      <a:lnTo>
                                        <a:pt x="323" y="231"/>
                                      </a:lnTo>
                                      <a:lnTo>
                                        <a:pt x="645" y="108"/>
                                      </a:lnTo>
                                      <a:lnTo>
                                        <a:pt x="968" y="19"/>
                                      </a:lnTo>
                                      <a:lnTo>
                                        <a:pt x="1291" y="0"/>
                                      </a:lnTo>
                                      <a:lnTo>
                                        <a:pt x="1613" y="58"/>
                                      </a:lnTo>
                                      <a:lnTo>
                                        <a:pt x="1936" y="27"/>
                                      </a:lnTo>
                                      <a:lnTo>
                                        <a:pt x="2258" y="132"/>
                                      </a:lnTo>
                                      <a:lnTo>
                                        <a:pt x="2581" y="244"/>
                                      </a:lnTo>
                                      <a:lnTo>
                                        <a:pt x="2903" y="452"/>
                                      </a:lnTo>
                                      <a:lnTo>
                                        <a:pt x="3226" y="726"/>
                                      </a:lnTo>
                                      <a:lnTo>
                                        <a:pt x="3549" y="1046"/>
                                      </a:lnTo>
                                      <a:lnTo>
                                        <a:pt x="3871" y="1387"/>
                                      </a:lnTo>
                                      <a:lnTo>
                                        <a:pt x="4194" y="1734"/>
                                      </a:lnTo>
                                    </a:path>
                                  </a:pathLst>
                                </a:custGeom>
                                <a:noFill/>
                                <a:ln w="825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6"/>
                              <wps:cNvSpPr>
                                <a:spLocks/>
                              </wps:cNvSpPr>
                              <wps:spPr bwMode="auto">
                                <a:xfrm>
                                  <a:off x="622300" y="1175385"/>
                                  <a:ext cx="43815" cy="43815"/>
                                </a:xfrm>
                                <a:custGeom>
                                  <a:avLst/>
                                  <a:gdLst>
                                    <a:gd name="T0" fmla="*/ 35 w 69"/>
                                    <a:gd name="T1" fmla="*/ 0 h 69"/>
                                    <a:gd name="T2" fmla="*/ 69 w 69"/>
                                    <a:gd name="T3" fmla="*/ 35 h 69"/>
                                    <a:gd name="T4" fmla="*/ 35 w 69"/>
                                    <a:gd name="T5" fmla="*/ 69 h 69"/>
                                    <a:gd name="T6" fmla="*/ 0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5"/>
                                      </a:lnTo>
                                      <a:lnTo>
                                        <a:pt x="35" y="69"/>
                                      </a:lnTo>
                                      <a:lnTo>
                                        <a:pt x="0" y="35"/>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65" name="Freeform 47"/>
                              <wps:cNvSpPr>
                                <a:spLocks/>
                              </wps:cNvSpPr>
                              <wps:spPr bwMode="auto">
                                <a:xfrm>
                                  <a:off x="959485" y="833120"/>
                                  <a:ext cx="43815" cy="43180"/>
                                </a:xfrm>
                                <a:custGeom>
                                  <a:avLst/>
                                  <a:gdLst>
                                    <a:gd name="T0" fmla="*/ 34 w 69"/>
                                    <a:gd name="T1" fmla="*/ 0 h 68"/>
                                    <a:gd name="T2" fmla="*/ 69 w 69"/>
                                    <a:gd name="T3" fmla="*/ 34 h 68"/>
                                    <a:gd name="T4" fmla="*/ 34 w 69"/>
                                    <a:gd name="T5" fmla="*/ 68 h 68"/>
                                    <a:gd name="T6" fmla="*/ 0 w 69"/>
                                    <a:gd name="T7" fmla="*/ 34 h 68"/>
                                    <a:gd name="T8" fmla="*/ 34 w 69"/>
                                    <a:gd name="T9" fmla="*/ 0 h 68"/>
                                  </a:gdLst>
                                  <a:ahLst/>
                                  <a:cxnLst>
                                    <a:cxn ang="0">
                                      <a:pos x="T0" y="T1"/>
                                    </a:cxn>
                                    <a:cxn ang="0">
                                      <a:pos x="T2" y="T3"/>
                                    </a:cxn>
                                    <a:cxn ang="0">
                                      <a:pos x="T4" y="T5"/>
                                    </a:cxn>
                                    <a:cxn ang="0">
                                      <a:pos x="T6" y="T7"/>
                                    </a:cxn>
                                    <a:cxn ang="0">
                                      <a:pos x="T8" y="T9"/>
                                    </a:cxn>
                                  </a:cxnLst>
                                  <a:rect l="0" t="0" r="r" b="b"/>
                                  <a:pathLst>
                                    <a:path w="69" h="68">
                                      <a:moveTo>
                                        <a:pt x="34" y="0"/>
                                      </a:moveTo>
                                      <a:lnTo>
                                        <a:pt x="69" y="34"/>
                                      </a:lnTo>
                                      <a:lnTo>
                                        <a:pt x="34" y="68"/>
                                      </a:lnTo>
                                      <a:lnTo>
                                        <a:pt x="0" y="34"/>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66" name="Freeform 48"/>
                              <wps:cNvSpPr>
                                <a:spLocks/>
                              </wps:cNvSpPr>
                              <wps:spPr bwMode="auto">
                                <a:xfrm>
                                  <a:off x="1295400" y="678815"/>
                                  <a:ext cx="43180" cy="43815"/>
                                </a:xfrm>
                                <a:custGeom>
                                  <a:avLst/>
                                  <a:gdLst>
                                    <a:gd name="T0" fmla="*/ 34 w 68"/>
                                    <a:gd name="T1" fmla="*/ 0 h 69"/>
                                    <a:gd name="T2" fmla="*/ 68 w 68"/>
                                    <a:gd name="T3" fmla="*/ 34 h 69"/>
                                    <a:gd name="T4" fmla="*/ 34 w 68"/>
                                    <a:gd name="T5" fmla="*/ 69 h 69"/>
                                    <a:gd name="T6" fmla="*/ 0 w 68"/>
                                    <a:gd name="T7" fmla="*/ 34 h 69"/>
                                    <a:gd name="T8" fmla="*/ 34 w 68"/>
                                    <a:gd name="T9" fmla="*/ 0 h 69"/>
                                  </a:gdLst>
                                  <a:ahLst/>
                                  <a:cxnLst>
                                    <a:cxn ang="0">
                                      <a:pos x="T0" y="T1"/>
                                    </a:cxn>
                                    <a:cxn ang="0">
                                      <a:pos x="T2" y="T3"/>
                                    </a:cxn>
                                    <a:cxn ang="0">
                                      <a:pos x="T4" y="T5"/>
                                    </a:cxn>
                                    <a:cxn ang="0">
                                      <a:pos x="T6" y="T7"/>
                                    </a:cxn>
                                    <a:cxn ang="0">
                                      <a:pos x="T8" y="T9"/>
                                    </a:cxn>
                                  </a:cxnLst>
                                  <a:rect l="0" t="0" r="r" b="b"/>
                                  <a:pathLst>
                                    <a:path w="68" h="69">
                                      <a:moveTo>
                                        <a:pt x="34" y="0"/>
                                      </a:moveTo>
                                      <a:lnTo>
                                        <a:pt x="68" y="34"/>
                                      </a:lnTo>
                                      <a:lnTo>
                                        <a:pt x="34" y="69"/>
                                      </a:lnTo>
                                      <a:lnTo>
                                        <a:pt x="0" y="34"/>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67" name="Freeform 49"/>
                              <wps:cNvSpPr>
                                <a:spLocks/>
                              </wps:cNvSpPr>
                              <wps:spPr bwMode="auto">
                                <a:xfrm>
                                  <a:off x="1631950" y="565150"/>
                                  <a:ext cx="43815" cy="43815"/>
                                </a:xfrm>
                                <a:custGeom>
                                  <a:avLst/>
                                  <a:gdLst>
                                    <a:gd name="T0" fmla="*/ 34 w 69"/>
                                    <a:gd name="T1" fmla="*/ 0 h 69"/>
                                    <a:gd name="T2" fmla="*/ 69 w 69"/>
                                    <a:gd name="T3" fmla="*/ 34 h 69"/>
                                    <a:gd name="T4" fmla="*/ 34 w 69"/>
                                    <a:gd name="T5" fmla="*/ 69 h 69"/>
                                    <a:gd name="T6" fmla="*/ 0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69" y="34"/>
                                      </a:lnTo>
                                      <a:lnTo>
                                        <a:pt x="34" y="69"/>
                                      </a:lnTo>
                                      <a:lnTo>
                                        <a:pt x="0" y="34"/>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68" name="Freeform 50"/>
                              <wps:cNvSpPr>
                                <a:spLocks/>
                              </wps:cNvSpPr>
                              <wps:spPr bwMode="auto">
                                <a:xfrm>
                                  <a:off x="1968500" y="582930"/>
                                  <a:ext cx="43815" cy="43815"/>
                                </a:xfrm>
                                <a:custGeom>
                                  <a:avLst/>
                                  <a:gdLst>
                                    <a:gd name="T0" fmla="*/ 35 w 69"/>
                                    <a:gd name="T1" fmla="*/ 0 h 69"/>
                                    <a:gd name="T2" fmla="*/ 69 w 69"/>
                                    <a:gd name="T3" fmla="*/ 34 h 69"/>
                                    <a:gd name="T4" fmla="*/ 35 w 69"/>
                                    <a:gd name="T5" fmla="*/ 69 h 69"/>
                                    <a:gd name="T6" fmla="*/ 0 w 69"/>
                                    <a:gd name="T7" fmla="*/ 34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4"/>
                                      </a:lnTo>
                                      <a:lnTo>
                                        <a:pt x="35" y="69"/>
                                      </a:lnTo>
                                      <a:lnTo>
                                        <a:pt x="0" y="34"/>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69" name="Freeform 51"/>
                              <wps:cNvSpPr>
                                <a:spLocks/>
                              </wps:cNvSpPr>
                              <wps:spPr bwMode="auto">
                                <a:xfrm>
                                  <a:off x="2304415" y="620395"/>
                                  <a:ext cx="43815" cy="43815"/>
                                </a:xfrm>
                                <a:custGeom>
                                  <a:avLst/>
                                  <a:gdLst>
                                    <a:gd name="T0" fmla="*/ 35 w 69"/>
                                    <a:gd name="T1" fmla="*/ 0 h 69"/>
                                    <a:gd name="T2" fmla="*/ 69 w 69"/>
                                    <a:gd name="T3" fmla="*/ 34 h 69"/>
                                    <a:gd name="T4" fmla="*/ 35 w 69"/>
                                    <a:gd name="T5" fmla="*/ 69 h 69"/>
                                    <a:gd name="T6" fmla="*/ 0 w 69"/>
                                    <a:gd name="T7" fmla="*/ 34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4"/>
                                      </a:lnTo>
                                      <a:lnTo>
                                        <a:pt x="35" y="69"/>
                                      </a:lnTo>
                                      <a:lnTo>
                                        <a:pt x="0" y="34"/>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0" name="Freeform 52"/>
                              <wps:cNvSpPr>
                                <a:spLocks/>
                              </wps:cNvSpPr>
                              <wps:spPr bwMode="auto">
                                <a:xfrm>
                                  <a:off x="2641600" y="602615"/>
                                  <a:ext cx="43180" cy="43815"/>
                                </a:xfrm>
                                <a:custGeom>
                                  <a:avLst/>
                                  <a:gdLst>
                                    <a:gd name="T0" fmla="*/ 34 w 68"/>
                                    <a:gd name="T1" fmla="*/ 0 h 69"/>
                                    <a:gd name="T2" fmla="*/ 68 w 68"/>
                                    <a:gd name="T3" fmla="*/ 34 h 69"/>
                                    <a:gd name="T4" fmla="*/ 34 w 68"/>
                                    <a:gd name="T5" fmla="*/ 69 h 69"/>
                                    <a:gd name="T6" fmla="*/ 0 w 68"/>
                                    <a:gd name="T7" fmla="*/ 34 h 69"/>
                                    <a:gd name="T8" fmla="*/ 34 w 68"/>
                                    <a:gd name="T9" fmla="*/ 0 h 69"/>
                                  </a:gdLst>
                                  <a:ahLst/>
                                  <a:cxnLst>
                                    <a:cxn ang="0">
                                      <a:pos x="T0" y="T1"/>
                                    </a:cxn>
                                    <a:cxn ang="0">
                                      <a:pos x="T2" y="T3"/>
                                    </a:cxn>
                                    <a:cxn ang="0">
                                      <a:pos x="T4" y="T5"/>
                                    </a:cxn>
                                    <a:cxn ang="0">
                                      <a:pos x="T6" y="T7"/>
                                    </a:cxn>
                                    <a:cxn ang="0">
                                      <a:pos x="T8" y="T9"/>
                                    </a:cxn>
                                  </a:cxnLst>
                                  <a:rect l="0" t="0" r="r" b="b"/>
                                  <a:pathLst>
                                    <a:path w="68" h="69">
                                      <a:moveTo>
                                        <a:pt x="34" y="0"/>
                                      </a:moveTo>
                                      <a:lnTo>
                                        <a:pt x="68" y="34"/>
                                      </a:lnTo>
                                      <a:lnTo>
                                        <a:pt x="34" y="69"/>
                                      </a:lnTo>
                                      <a:lnTo>
                                        <a:pt x="0" y="34"/>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1" name="Freeform 53"/>
                              <wps:cNvSpPr>
                                <a:spLocks/>
                              </wps:cNvSpPr>
                              <wps:spPr bwMode="auto">
                                <a:xfrm>
                                  <a:off x="2976880" y="702310"/>
                                  <a:ext cx="43815" cy="43815"/>
                                </a:xfrm>
                                <a:custGeom>
                                  <a:avLst/>
                                  <a:gdLst>
                                    <a:gd name="T0" fmla="*/ 35 w 69"/>
                                    <a:gd name="T1" fmla="*/ 0 h 69"/>
                                    <a:gd name="T2" fmla="*/ 69 w 69"/>
                                    <a:gd name="T3" fmla="*/ 35 h 69"/>
                                    <a:gd name="T4" fmla="*/ 35 w 69"/>
                                    <a:gd name="T5" fmla="*/ 69 h 69"/>
                                    <a:gd name="T6" fmla="*/ 0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5"/>
                                      </a:lnTo>
                                      <a:lnTo>
                                        <a:pt x="35" y="69"/>
                                      </a:lnTo>
                                      <a:lnTo>
                                        <a:pt x="0" y="35"/>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2" name="Freeform 54"/>
                              <wps:cNvSpPr>
                                <a:spLocks/>
                              </wps:cNvSpPr>
                              <wps:spPr bwMode="auto">
                                <a:xfrm>
                                  <a:off x="3314065" y="843280"/>
                                  <a:ext cx="43815" cy="43815"/>
                                </a:xfrm>
                                <a:custGeom>
                                  <a:avLst/>
                                  <a:gdLst>
                                    <a:gd name="T0" fmla="*/ 34 w 69"/>
                                    <a:gd name="T1" fmla="*/ 0 h 69"/>
                                    <a:gd name="T2" fmla="*/ 69 w 69"/>
                                    <a:gd name="T3" fmla="*/ 34 h 69"/>
                                    <a:gd name="T4" fmla="*/ 34 w 69"/>
                                    <a:gd name="T5" fmla="*/ 69 h 69"/>
                                    <a:gd name="T6" fmla="*/ 0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69" y="34"/>
                                      </a:lnTo>
                                      <a:lnTo>
                                        <a:pt x="34" y="69"/>
                                      </a:lnTo>
                                      <a:lnTo>
                                        <a:pt x="0" y="34"/>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3" name="Freeform 55"/>
                              <wps:cNvSpPr>
                                <a:spLocks/>
                              </wps:cNvSpPr>
                              <wps:spPr bwMode="auto">
                                <a:xfrm>
                                  <a:off x="3649345" y="955040"/>
                                  <a:ext cx="43815" cy="43180"/>
                                </a:xfrm>
                                <a:custGeom>
                                  <a:avLst/>
                                  <a:gdLst>
                                    <a:gd name="T0" fmla="*/ 35 w 69"/>
                                    <a:gd name="T1" fmla="*/ 0 h 68"/>
                                    <a:gd name="T2" fmla="*/ 69 w 69"/>
                                    <a:gd name="T3" fmla="*/ 34 h 68"/>
                                    <a:gd name="T4" fmla="*/ 35 w 69"/>
                                    <a:gd name="T5" fmla="*/ 68 h 68"/>
                                    <a:gd name="T6" fmla="*/ 0 w 69"/>
                                    <a:gd name="T7" fmla="*/ 34 h 68"/>
                                    <a:gd name="T8" fmla="*/ 35 w 69"/>
                                    <a:gd name="T9" fmla="*/ 0 h 68"/>
                                  </a:gdLst>
                                  <a:ahLst/>
                                  <a:cxnLst>
                                    <a:cxn ang="0">
                                      <a:pos x="T0" y="T1"/>
                                    </a:cxn>
                                    <a:cxn ang="0">
                                      <a:pos x="T2" y="T3"/>
                                    </a:cxn>
                                    <a:cxn ang="0">
                                      <a:pos x="T4" y="T5"/>
                                    </a:cxn>
                                    <a:cxn ang="0">
                                      <a:pos x="T6" y="T7"/>
                                    </a:cxn>
                                    <a:cxn ang="0">
                                      <a:pos x="T8" y="T9"/>
                                    </a:cxn>
                                  </a:cxnLst>
                                  <a:rect l="0" t="0" r="r" b="b"/>
                                  <a:pathLst>
                                    <a:path w="69" h="68">
                                      <a:moveTo>
                                        <a:pt x="35" y="0"/>
                                      </a:moveTo>
                                      <a:lnTo>
                                        <a:pt x="69" y="34"/>
                                      </a:lnTo>
                                      <a:lnTo>
                                        <a:pt x="35" y="68"/>
                                      </a:lnTo>
                                      <a:lnTo>
                                        <a:pt x="0" y="34"/>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4" name="Freeform 56"/>
                              <wps:cNvSpPr>
                                <a:spLocks/>
                              </wps:cNvSpPr>
                              <wps:spPr bwMode="auto">
                                <a:xfrm>
                                  <a:off x="3986530" y="1269365"/>
                                  <a:ext cx="43815" cy="43815"/>
                                </a:xfrm>
                                <a:custGeom>
                                  <a:avLst/>
                                  <a:gdLst>
                                    <a:gd name="T0" fmla="*/ 34 w 69"/>
                                    <a:gd name="T1" fmla="*/ 0 h 69"/>
                                    <a:gd name="T2" fmla="*/ 69 w 69"/>
                                    <a:gd name="T3" fmla="*/ 35 h 69"/>
                                    <a:gd name="T4" fmla="*/ 34 w 69"/>
                                    <a:gd name="T5" fmla="*/ 69 h 69"/>
                                    <a:gd name="T6" fmla="*/ 0 w 69"/>
                                    <a:gd name="T7" fmla="*/ 35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69" y="35"/>
                                      </a:lnTo>
                                      <a:lnTo>
                                        <a:pt x="34" y="69"/>
                                      </a:lnTo>
                                      <a:lnTo>
                                        <a:pt x="0" y="35"/>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5" name="Freeform 57"/>
                              <wps:cNvSpPr>
                                <a:spLocks/>
                              </wps:cNvSpPr>
                              <wps:spPr bwMode="auto">
                                <a:xfrm>
                                  <a:off x="4323080" y="1721485"/>
                                  <a:ext cx="43815" cy="43815"/>
                                </a:xfrm>
                                <a:custGeom>
                                  <a:avLst/>
                                  <a:gdLst>
                                    <a:gd name="T0" fmla="*/ 35 w 69"/>
                                    <a:gd name="T1" fmla="*/ 0 h 69"/>
                                    <a:gd name="T2" fmla="*/ 69 w 69"/>
                                    <a:gd name="T3" fmla="*/ 35 h 69"/>
                                    <a:gd name="T4" fmla="*/ 35 w 69"/>
                                    <a:gd name="T5" fmla="*/ 69 h 69"/>
                                    <a:gd name="T6" fmla="*/ 0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5"/>
                                      </a:lnTo>
                                      <a:lnTo>
                                        <a:pt x="35" y="69"/>
                                      </a:lnTo>
                                      <a:lnTo>
                                        <a:pt x="0" y="35"/>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6" name="Freeform 58"/>
                              <wps:cNvSpPr>
                                <a:spLocks/>
                              </wps:cNvSpPr>
                              <wps:spPr bwMode="auto">
                                <a:xfrm>
                                  <a:off x="4658995" y="1947545"/>
                                  <a:ext cx="43815" cy="43815"/>
                                </a:xfrm>
                                <a:custGeom>
                                  <a:avLst/>
                                  <a:gdLst>
                                    <a:gd name="T0" fmla="*/ 34 w 69"/>
                                    <a:gd name="T1" fmla="*/ 0 h 69"/>
                                    <a:gd name="T2" fmla="*/ 69 w 69"/>
                                    <a:gd name="T3" fmla="*/ 35 h 69"/>
                                    <a:gd name="T4" fmla="*/ 34 w 69"/>
                                    <a:gd name="T5" fmla="*/ 69 h 69"/>
                                    <a:gd name="T6" fmla="*/ 0 w 69"/>
                                    <a:gd name="T7" fmla="*/ 35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69" y="35"/>
                                      </a:lnTo>
                                      <a:lnTo>
                                        <a:pt x="34" y="69"/>
                                      </a:lnTo>
                                      <a:lnTo>
                                        <a:pt x="0" y="35"/>
                                      </a:lnTo>
                                      <a:lnTo>
                                        <a:pt x="34"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7" name="Freeform 59"/>
                              <wps:cNvSpPr>
                                <a:spLocks/>
                              </wps:cNvSpPr>
                              <wps:spPr bwMode="auto">
                                <a:xfrm>
                                  <a:off x="4995545" y="2273935"/>
                                  <a:ext cx="43815" cy="43815"/>
                                </a:xfrm>
                                <a:custGeom>
                                  <a:avLst/>
                                  <a:gdLst>
                                    <a:gd name="T0" fmla="*/ 35 w 69"/>
                                    <a:gd name="T1" fmla="*/ 0 h 69"/>
                                    <a:gd name="T2" fmla="*/ 69 w 69"/>
                                    <a:gd name="T3" fmla="*/ 35 h 69"/>
                                    <a:gd name="T4" fmla="*/ 35 w 69"/>
                                    <a:gd name="T5" fmla="*/ 69 h 69"/>
                                    <a:gd name="T6" fmla="*/ 0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69" y="35"/>
                                      </a:lnTo>
                                      <a:lnTo>
                                        <a:pt x="35" y="69"/>
                                      </a:lnTo>
                                      <a:lnTo>
                                        <a:pt x="0" y="35"/>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78" name="Rectangle 60"/>
                              <wps:cNvSpPr>
                                <a:spLocks noChangeArrowheads="1"/>
                              </wps:cNvSpPr>
                              <wps:spPr bwMode="auto">
                                <a:xfrm>
                                  <a:off x="622300" y="1101725"/>
                                  <a:ext cx="43180"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79" name="Rectangle 61"/>
                              <wps:cNvSpPr>
                                <a:spLocks noChangeArrowheads="1"/>
                              </wps:cNvSpPr>
                              <wps:spPr bwMode="auto">
                                <a:xfrm>
                                  <a:off x="959485" y="794385"/>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0" name="Rectangle 62"/>
                              <wps:cNvSpPr>
                                <a:spLocks noChangeArrowheads="1"/>
                              </wps:cNvSpPr>
                              <wps:spPr bwMode="auto">
                                <a:xfrm>
                                  <a:off x="1295400" y="666115"/>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1" name="Rectangle 63"/>
                              <wps:cNvSpPr>
                                <a:spLocks noChangeArrowheads="1"/>
                              </wps:cNvSpPr>
                              <wps:spPr bwMode="auto">
                                <a:xfrm>
                                  <a:off x="1631950" y="573405"/>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2" name="Rectangle 64"/>
                              <wps:cNvSpPr>
                                <a:spLocks noChangeArrowheads="1"/>
                              </wps:cNvSpPr>
                              <wps:spPr bwMode="auto">
                                <a:xfrm>
                                  <a:off x="1968500" y="553720"/>
                                  <a:ext cx="43180"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3" name="Rectangle 65"/>
                              <wps:cNvSpPr>
                                <a:spLocks noChangeArrowheads="1"/>
                              </wps:cNvSpPr>
                              <wps:spPr bwMode="auto">
                                <a:xfrm>
                                  <a:off x="2304415" y="614045"/>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4" name="Rectangle 66"/>
                              <wps:cNvSpPr>
                                <a:spLocks noChangeArrowheads="1"/>
                              </wps:cNvSpPr>
                              <wps:spPr bwMode="auto">
                                <a:xfrm>
                                  <a:off x="2641600" y="581660"/>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5" name="Rectangle 67"/>
                              <wps:cNvSpPr>
                                <a:spLocks noChangeArrowheads="1"/>
                              </wps:cNvSpPr>
                              <wps:spPr bwMode="auto">
                                <a:xfrm>
                                  <a:off x="2976880" y="690880"/>
                                  <a:ext cx="43180" cy="43180"/>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6" name="Rectangle 68"/>
                              <wps:cNvSpPr>
                                <a:spLocks noChangeArrowheads="1"/>
                              </wps:cNvSpPr>
                              <wps:spPr bwMode="auto">
                                <a:xfrm>
                                  <a:off x="3314065" y="807720"/>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7" name="Rectangle 69"/>
                              <wps:cNvSpPr>
                                <a:spLocks noChangeArrowheads="1"/>
                              </wps:cNvSpPr>
                              <wps:spPr bwMode="auto">
                                <a:xfrm>
                                  <a:off x="3649345" y="1024255"/>
                                  <a:ext cx="43180" cy="43180"/>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8" name="Rectangle 70"/>
                              <wps:cNvSpPr>
                                <a:spLocks noChangeArrowheads="1"/>
                              </wps:cNvSpPr>
                              <wps:spPr bwMode="auto">
                                <a:xfrm>
                                  <a:off x="3986530" y="1310005"/>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89" name="Rectangle 71"/>
                              <wps:cNvSpPr>
                                <a:spLocks noChangeArrowheads="1"/>
                              </wps:cNvSpPr>
                              <wps:spPr bwMode="auto">
                                <a:xfrm>
                                  <a:off x="4323080" y="1643380"/>
                                  <a:ext cx="43180" cy="43180"/>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90" name="Rectangle 72"/>
                              <wps:cNvSpPr>
                                <a:spLocks noChangeArrowheads="1"/>
                              </wps:cNvSpPr>
                              <wps:spPr bwMode="auto">
                                <a:xfrm>
                                  <a:off x="4658995" y="1998980"/>
                                  <a:ext cx="42545" cy="42545"/>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91" name="Rectangle 73"/>
                              <wps:cNvSpPr>
                                <a:spLocks noChangeArrowheads="1"/>
                              </wps:cNvSpPr>
                              <wps:spPr bwMode="auto">
                                <a:xfrm>
                                  <a:off x="4995545" y="2360295"/>
                                  <a:ext cx="43180" cy="43180"/>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92" name="Rectangle 74"/>
                              <wps:cNvSpPr>
                                <a:spLocks noChangeArrowheads="1"/>
                              </wps:cNvSpPr>
                              <wps:spPr bwMode="auto">
                                <a:xfrm>
                                  <a:off x="363855" y="329755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0</w:t>
                                    </w:r>
                                  </w:p>
                                </w:txbxContent>
                              </wps:txbx>
                              <wps:bodyPr rot="0" vert="horz" wrap="none" lIns="0" tIns="0" rIns="0" bIns="0" anchor="t" anchorCtr="0" upright="1">
                                <a:spAutoFit/>
                              </wps:bodyPr>
                            </wps:wsp>
                            <wps:wsp>
                              <wps:cNvPr id="93" name="Rectangle 75"/>
                              <wps:cNvSpPr>
                                <a:spLocks noChangeArrowheads="1"/>
                              </wps:cNvSpPr>
                              <wps:spPr bwMode="auto">
                                <a:xfrm>
                                  <a:off x="316230" y="298767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10</w:t>
                                    </w:r>
                                  </w:p>
                                </w:txbxContent>
                              </wps:txbx>
                              <wps:bodyPr rot="0" vert="horz" wrap="none" lIns="0" tIns="0" rIns="0" bIns="0" anchor="t" anchorCtr="0" upright="1">
                                <a:spAutoFit/>
                              </wps:bodyPr>
                            </wps:wsp>
                            <wps:wsp>
                              <wps:cNvPr id="94" name="Rectangle 76"/>
                              <wps:cNvSpPr>
                                <a:spLocks noChangeArrowheads="1"/>
                              </wps:cNvSpPr>
                              <wps:spPr bwMode="auto">
                                <a:xfrm>
                                  <a:off x="316230" y="267843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20</w:t>
                                    </w:r>
                                  </w:p>
                                </w:txbxContent>
                              </wps:txbx>
                              <wps:bodyPr rot="0" vert="horz" wrap="none" lIns="0" tIns="0" rIns="0" bIns="0" anchor="t" anchorCtr="0" upright="1">
                                <a:spAutoFit/>
                              </wps:bodyPr>
                            </wps:wsp>
                            <wps:wsp>
                              <wps:cNvPr id="95" name="Rectangle 77"/>
                              <wps:cNvSpPr>
                                <a:spLocks noChangeArrowheads="1"/>
                              </wps:cNvSpPr>
                              <wps:spPr bwMode="auto">
                                <a:xfrm>
                                  <a:off x="316230" y="236982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30</w:t>
                                    </w:r>
                                  </w:p>
                                </w:txbxContent>
                              </wps:txbx>
                              <wps:bodyPr rot="0" vert="horz" wrap="none" lIns="0" tIns="0" rIns="0" bIns="0" anchor="t" anchorCtr="0" upright="1">
                                <a:spAutoFit/>
                              </wps:bodyPr>
                            </wps:wsp>
                            <wps:wsp>
                              <wps:cNvPr id="96" name="Rectangle 78"/>
                              <wps:cNvSpPr>
                                <a:spLocks noChangeArrowheads="1"/>
                              </wps:cNvSpPr>
                              <wps:spPr bwMode="auto">
                                <a:xfrm>
                                  <a:off x="316230" y="206057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40</w:t>
                                    </w:r>
                                  </w:p>
                                </w:txbxContent>
                              </wps:txbx>
                              <wps:bodyPr rot="0" vert="horz" wrap="none" lIns="0" tIns="0" rIns="0" bIns="0" anchor="t" anchorCtr="0" upright="1">
                                <a:spAutoFit/>
                              </wps:bodyPr>
                            </wps:wsp>
                            <wps:wsp>
                              <wps:cNvPr id="97" name="Rectangle 79"/>
                              <wps:cNvSpPr>
                                <a:spLocks noChangeArrowheads="1"/>
                              </wps:cNvSpPr>
                              <wps:spPr bwMode="auto">
                                <a:xfrm>
                                  <a:off x="316230" y="175069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50</w:t>
                                    </w:r>
                                  </w:p>
                                </w:txbxContent>
                              </wps:txbx>
                              <wps:bodyPr rot="0" vert="horz" wrap="none" lIns="0" tIns="0" rIns="0" bIns="0" anchor="t" anchorCtr="0" upright="1">
                                <a:spAutoFit/>
                              </wps:bodyPr>
                            </wps:wsp>
                            <wps:wsp>
                              <wps:cNvPr id="98" name="Rectangle 80"/>
                              <wps:cNvSpPr>
                                <a:spLocks noChangeArrowheads="1"/>
                              </wps:cNvSpPr>
                              <wps:spPr bwMode="auto">
                                <a:xfrm>
                                  <a:off x="316230" y="144145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60</w:t>
                                    </w:r>
                                  </w:p>
                                </w:txbxContent>
                              </wps:txbx>
                              <wps:bodyPr rot="0" vert="horz" wrap="none" lIns="0" tIns="0" rIns="0" bIns="0" anchor="t" anchorCtr="0" upright="1">
                                <a:spAutoFit/>
                              </wps:bodyPr>
                            </wps:wsp>
                            <wps:wsp>
                              <wps:cNvPr id="99" name="Rectangle 81"/>
                              <wps:cNvSpPr>
                                <a:spLocks noChangeArrowheads="1"/>
                              </wps:cNvSpPr>
                              <wps:spPr bwMode="auto">
                                <a:xfrm>
                                  <a:off x="316230" y="113220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70</w:t>
                                    </w:r>
                                  </w:p>
                                </w:txbxContent>
                              </wps:txbx>
                              <wps:bodyPr rot="0" vert="horz" wrap="none" lIns="0" tIns="0" rIns="0" bIns="0" anchor="t" anchorCtr="0" upright="1">
                                <a:spAutoFit/>
                              </wps:bodyPr>
                            </wps:wsp>
                            <wps:wsp>
                              <wps:cNvPr id="100" name="Rectangle 82"/>
                              <wps:cNvSpPr>
                                <a:spLocks noChangeArrowheads="1"/>
                              </wps:cNvSpPr>
                              <wps:spPr bwMode="auto">
                                <a:xfrm>
                                  <a:off x="316230" y="82359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80</w:t>
                                    </w:r>
                                  </w:p>
                                </w:txbxContent>
                              </wps:txbx>
                              <wps:bodyPr rot="0" vert="horz" wrap="none" lIns="0" tIns="0" rIns="0" bIns="0" anchor="t" anchorCtr="0" upright="1">
                                <a:spAutoFit/>
                              </wps:bodyPr>
                            </wps:wsp>
                            <wps:wsp>
                              <wps:cNvPr id="101" name="Rectangle 83"/>
                              <wps:cNvSpPr>
                                <a:spLocks noChangeArrowheads="1"/>
                              </wps:cNvSpPr>
                              <wps:spPr bwMode="auto">
                                <a:xfrm>
                                  <a:off x="316230" y="51371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90</w:t>
                                    </w:r>
                                  </w:p>
                                </w:txbxContent>
                              </wps:txbx>
                              <wps:bodyPr rot="0" vert="horz" wrap="none" lIns="0" tIns="0" rIns="0" bIns="0" anchor="t" anchorCtr="0" upright="1">
                                <a:spAutoFit/>
                              </wps:bodyPr>
                            </wps:wsp>
                            <wps:wsp>
                              <wps:cNvPr id="102" name="Rectangle 84"/>
                              <wps:cNvSpPr>
                                <a:spLocks noChangeArrowheads="1"/>
                              </wps:cNvSpPr>
                              <wps:spPr bwMode="auto">
                                <a:xfrm>
                                  <a:off x="267970" y="204470"/>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100</w:t>
                                    </w:r>
                                  </w:p>
                                </w:txbxContent>
                              </wps:txbx>
                              <wps:bodyPr rot="0" vert="horz" wrap="none" lIns="0" tIns="0" rIns="0" bIns="0" anchor="t" anchorCtr="0" upright="1">
                                <a:spAutoFit/>
                              </wps:bodyPr>
                            </wps:wsp>
                            <wps:wsp>
                              <wps:cNvPr id="103" name="Rectangle 85"/>
                              <wps:cNvSpPr>
                                <a:spLocks noChangeArrowheads="1"/>
                              </wps:cNvSpPr>
                              <wps:spPr bwMode="auto">
                                <a:xfrm>
                                  <a:off x="620395" y="342138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5</w:t>
                                    </w:r>
                                  </w:p>
                                </w:txbxContent>
                              </wps:txbx>
                              <wps:bodyPr rot="0" vert="horz" wrap="none" lIns="0" tIns="0" rIns="0" bIns="0" anchor="t" anchorCtr="0" upright="1">
                                <a:spAutoFit/>
                              </wps:bodyPr>
                            </wps:wsp>
                            <wps:wsp>
                              <wps:cNvPr id="104" name="Rectangle 86"/>
                              <wps:cNvSpPr>
                                <a:spLocks noChangeArrowheads="1"/>
                              </wps:cNvSpPr>
                              <wps:spPr bwMode="auto">
                                <a:xfrm>
                                  <a:off x="956945" y="342138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6</w:t>
                                    </w:r>
                                  </w:p>
                                </w:txbxContent>
                              </wps:txbx>
                              <wps:bodyPr rot="0" vert="horz" wrap="none" lIns="0" tIns="0" rIns="0" bIns="0" anchor="t" anchorCtr="0" upright="1">
                                <a:spAutoFit/>
                              </wps:bodyPr>
                            </wps:wsp>
                            <wps:wsp>
                              <wps:cNvPr id="105" name="Rectangle 87"/>
                              <wps:cNvSpPr>
                                <a:spLocks noChangeArrowheads="1"/>
                              </wps:cNvSpPr>
                              <wps:spPr bwMode="auto">
                                <a:xfrm>
                                  <a:off x="1292860" y="342138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7</w:t>
                                    </w:r>
                                  </w:p>
                                </w:txbxContent>
                              </wps:txbx>
                              <wps:bodyPr rot="0" vert="horz" wrap="none" lIns="0" tIns="0" rIns="0" bIns="0" anchor="t" anchorCtr="0" upright="1">
                                <a:spAutoFit/>
                              </wps:bodyPr>
                            </wps:wsp>
                            <wps:wsp>
                              <wps:cNvPr id="106" name="Rectangle 88"/>
                              <wps:cNvSpPr>
                                <a:spLocks noChangeArrowheads="1"/>
                              </wps:cNvSpPr>
                              <wps:spPr bwMode="auto">
                                <a:xfrm>
                                  <a:off x="1630045" y="342138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8</w:t>
                                    </w:r>
                                  </w:p>
                                </w:txbxContent>
                              </wps:txbx>
                              <wps:bodyPr rot="0" vert="horz" wrap="none" lIns="0" tIns="0" rIns="0" bIns="0" anchor="t" anchorCtr="0" upright="1">
                                <a:spAutoFit/>
                              </wps:bodyPr>
                            </wps:wsp>
                            <wps:wsp>
                              <wps:cNvPr id="107" name="Rectangle 89"/>
                              <wps:cNvSpPr>
                                <a:spLocks noChangeArrowheads="1"/>
                              </wps:cNvSpPr>
                              <wps:spPr bwMode="auto">
                                <a:xfrm>
                                  <a:off x="1966595" y="342138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9</w:t>
                                    </w:r>
                                  </w:p>
                                </w:txbxContent>
                              </wps:txbx>
                              <wps:bodyPr rot="0" vert="horz" wrap="none" lIns="0" tIns="0" rIns="0" bIns="0" anchor="t" anchorCtr="0" upright="1">
                                <a:spAutoFit/>
                              </wps:bodyPr>
                            </wps:wsp>
                            <wps:wsp>
                              <wps:cNvPr id="108" name="Rectangle 90"/>
                              <wps:cNvSpPr>
                                <a:spLocks noChangeArrowheads="1"/>
                              </wps:cNvSpPr>
                              <wps:spPr bwMode="auto">
                                <a:xfrm>
                                  <a:off x="227838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10</w:t>
                                    </w:r>
                                  </w:p>
                                </w:txbxContent>
                              </wps:txbx>
                              <wps:bodyPr rot="0" vert="horz" wrap="none" lIns="0" tIns="0" rIns="0" bIns="0" anchor="t" anchorCtr="0" upright="1">
                                <a:spAutoFit/>
                              </wps:bodyPr>
                            </wps:wsp>
                            <wps:wsp>
                              <wps:cNvPr id="109" name="Rectangle 91"/>
                              <wps:cNvSpPr>
                                <a:spLocks noChangeArrowheads="1"/>
                              </wps:cNvSpPr>
                              <wps:spPr bwMode="auto">
                                <a:xfrm>
                                  <a:off x="261493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11</w:t>
                                    </w:r>
                                  </w:p>
                                </w:txbxContent>
                              </wps:txbx>
                              <wps:bodyPr rot="0" vert="horz" wrap="none" lIns="0" tIns="0" rIns="0" bIns="0" anchor="t" anchorCtr="0" upright="1">
                                <a:spAutoFit/>
                              </wps:bodyPr>
                            </wps:wsp>
                            <wps:wsp>
                              <wps:cNvPr id="110" name="Rectangle 92"/>
                              <wps:cNvSpPr>
                                <a:spLocks noChangeArrowheads="1"/>
                              </wps:cNvSpPr>
                              <wps:spPr bwMode="auto">
                                <a:xfrm>
                                  <a:off x="2950845"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12</w:t>
                                    </w:r>
                                  </w:p>
                                </w:txbxContent>
                              </wps:txbx>
                              <wps:bodyPr rot="0" vert="horz" wrap="none" lIns="0" tIns="0" rIns="0" bIns="0" anchor="t" anchorCtr="0" upright="1">
                                <a:spAutoFit/>
                              </wps:bodyPr>
                            </wps:wsp>
                            <wps:wsp>
                              <wps:cNvPr id="111" name="Rectangle 93"/>
                              <wps:cNvSpPr>
                                <a:spLocks noChangeArrowheads="1"/>
                              </wps:cNvSpPr>
                              <wps:spPr bwMode="auto">
                                <a:xfrm>
                                  <a:off x="328803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13</w:t>
                                    </w:r>
                                  </w:p>
                                </w:txbxContent>
                              </wps:txbx>
                              <wps:bodyPr rot="0" vert="horz" wrap="none" lIns="0" tIns="0" rIns="0" bIns="0" anchor="t" anchorCtr="0" upright="1">
                                <a:spAutoFit/>
                              </wps:bodyPr>
                            </wps:wsp>
                            <wps:wsp>
                              <wps:cNvPr id="112" name="Rectangle 94"/>
                              <wps:cNvSpPr>
                                <a:spLocks noChangeArrowheads="1"/>
                              </wps:cNvSpPr>
                              <wps:spPr bwMode="auto">
                                <a:xfrm>
                                  <a:off x="362331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14</w:t>
                                    </w:r>
                                  </w:p>
                                </w:txbxContent>
                              </wps:txbx>
                              <wps:bodyPr rot="0" vert="horz" wrap="none" lIns="0" tIns="0" rIns="0" bIns="0" anchor="t" anchorCtr="0" upright="1">
                                <a:spAutoFit/>
                              </wps:bodyPr>
                            </wps:wsp>
                            <wps:wsp>
                              <wps:cNvPr id="113" name="Rectangle 95"/>
                              <wps:cNvSpPr>
                                <a:spLocks noChangeArrowheads="1"/>
                              </wps:cNvSpPr>
                              <wps:spPr bwMode="auto">
                                <a:xfrm>
                                  <a:off x="3960495"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15</w:t>
                                    </w:r>
                                  </w:p>
                                </w:txbxContent>
                              </wps:txbx>
                              <wps:bodyPr rot="0" vert="horz" wrap="none" lIns="0" tIns="0" rIns="0" bIns="0" anchor="t" anchorCtr="0" upright="1">
                                <a:spAutoFit/>
                              </wps:bodyPr>
                            </wps:wsp>
                            <wps:wsp>
                              <wps:cNvPr id="114" name="Rectangle 96"/>
                              <wps:cNvSpPr>
                                <a:spLocks noChangeArrowheads="1"/>
                              </wps:cNvSpPr>
                              <wps:spPr bwMode="auto">
                                <a:xfrm>
                                  <a:off x="4297045"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16</w:t>
                                    </w:r>
                                  </w:p>
                                </w:txbxContent>
                              </wps:txbx>
                              <wps:bodyPr rot="0" vert="horz" wrap="none" lIns="0" tIns="0" rIns="0" bIns="0" anchor="t" anchorCtr="0" upright="1">
                                <a:spAutoFit/>
                              </wps:bodyPr>
                            </wps:wsp>
                            <wps:wsp>
                              <wps:cNvPr id="115" name="Rectangle 97"/>
                              <wps:cNvSpPr>
                                <a:spLocks noChangeArrowheads="1"/>
                              </wps:cNvSpPr>
                              <wps:spPr bwMode="auto">
                                <a:xfrm>
                                  <a:off x="463296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17</w:t>
                                    </w:r>
                                  </w:p>
                                </w:txbxContent>
                              </wps:txbx>
                              <wps:bodyPr rot="0" vert="horz" wrap="none" lIns="0" tIns="0" rIns="0" bIns="0" anchor="t" anchorCtr="0" upright="1">
                                <a:spAutoFit/>
                              </wps:bodyPr>
                            </wps:wsp>
                            <wps:wsp>
                              <wps:cNvPr id="116" name="Rectangle 98"/>
                              <wps:cNvSpPr>
                                <a:spLocks noChangeArrowheads="1"/>
                              </wps:cNvSpPr>
                              <wps:spPr bwMode="auto">
                                <a:xfrm>
                                  <a:off x="4969510" y="342138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18</w:t>
                                    </w:r>
                                  </w:p>
                                </w:txbxContent>
                              </wps:txbx>
                              <wps:bodyPr rot="0" vert="horz" wrap="none" lIns="0" tIns="0" rIns="0" bIns="0" anchor="t" anchorCtr="0" upright="1">
                                <a:spAutoFit/>
                              </wps:bodyPr>
                            </wps:wsp>
                            <wps:wsp>
                              <wps:cNvPr id="117" name="Rectangle 99"/>
                              <wps:cNvSpPr>
                                <a:spLocks noChangeArrowheads="1"/>
                              </wps:cNvSpPr>
                              <wps:spPr bwMode="auto">
                                <a:xfrm>
                                  <a:off x="2750820" y="3567430"/>
                                  <a:ext cx="168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b/>
                                        <w:bCs/>
                                        <w:color w:val="000000"/>
                                        <w:sz w:val="14"/>
                                        <w:szCs w:val="14"/>
                                      </w:rPr>
                                      <w:t>Age</w:t>
                                    </w:r>
                                  </w:p>
                                </w:txbxContent>
                              </wps:txbx>
                              <wps:bodyPr rot="0" vert="horz" wrap="none" lIns="0" tIns="0" rIns="0" bIns="0" anchor="t" anchorCtr="0" upright="1">
                                <a:spAutoFit/>
                              </wps:bodyPr>
                            </wps:wsp>
                            <wps:wsp>
                              <wps:cNvPr id="118" name="Rectangle 100"/>
                              <wps:cNvSpPr>
                                <a:spLocks noChangeArrowheads="1"/>
                              </wps:cNvSpPr>
                              <wps:spPr bwMode="auto">
                                <a:xfrm rot="16200000">
                                  <a:off x="503555" y="931545"/>
                                  <a:ext cx="102235"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b/>
                                        <w:bCs/>
                                        <w:color w:val="000000"/>
                                        <w:sz w:val="14"/>
                                        <w:szCs w:val="14"/>
                                      </w:rPr>
                                      <w:t>% enrolled in school</w:t>
                                    </w:r>
                                  </w:p>
                                </w:txbxContent>
                              </wps:txbx>
                              <wps:bodyPr rot="0" vert="horz" wrap="none" lIns="0" tIns="0" rIns="0" bIns="0" anchor="t" anchorCtr="0" upright="1">
                                <a:spAutoFit/>
                              </wps:bodyPr>
                            </wps:wsp>
                            <wps:wsp>
                              <wps:cNvPr id="119" name="Rectangle 101"/>
                              <wps:cNvSpPr>
                                <a:spLocks noChangeArrowheads="1"/>
                              </wps:cNvSpPr>
                              <wps:spPr bwMode="auto">
                                <a:xfrm>
                                  <a:off x="5254625" y="1671955"/>
                                  <a:ext cx="619125" cy="25590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20" name="Line 102"/>
                              <wps:cNvCnPr/>
                              <wps:spPr bwMode="auto">
                                <a:xfrm>
                                  <a:off x="5283835" y="1737360"/>
                                  <a:ext cx="173990" cy="635"/>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121" name="Freeform 103"/>
                              <wps:cNvSpPr>
                                <a:spLocks/>
                              </wps:cNvSpPr>
                              <wps:spPr bwMode="auto">
                                <a:xfrm>
                                  <a:off x="5347970" y="1715770"/>
                                  <a:ext cx="43815" cy="43180"/>
                                </a:xfrm>
                                <a:custGeom>
                                  <a:avLst/>
                                  <a:gdLst>
                                    <a:gd name="T0" fmla="*/ 35 w 69"/>
                                    <a:gd name="T1" fmla="*/ 0 h 68"/>
                                    <a:gd name="T2" fmla="*/ 69 w 69"/>
                                    <a:gd name="T3" fmla="*/ 34 h 68"/>
                                    <a:gd name="T4" fmla="*/ 35 w 69"/>
                                    <a:gd name="T5" fmla="*/ 68 h 68"/>
                                    <a:gd name="T6" fmla="*/ 0 w 69"/>
                                    <a:gd name="T7" fmla="*/ 34 h 68"/>
                                    <a:gd name="T8" fmla="*/ 35 w 69"/>
                                    <a:gd name="T9" fmla="*/ 0 h 68"/>
                                  </a:gdLst>
                                  <a:ahLst/>
                                  <a:cxnLst>
                                    <a:cxn ang="0">
                                      <a:pos x="T0" y="T1"/>
                                    </a:cxn>
                                    <a:cxn ang="0">
                                      <a:pos x="T2" y="T3"/>
                                    </a:cxn>
                                    <a:cxn ang="0">
                                      <a:pos x="T4" y="T5"/>
                                    </a:cxn>
                                    <a:cxn ang="0">
                                      <a:pos x="T6" y="T7"/>
                                    </a:cxn>
                                    <a:cxn ang="0">
                                      <a:pos x="T8" y="T9"/>
                                    </a:cxn>
                                  </a:cxnLst>
                                  <a:rect l="0" t="0" r="r" b="b"/>
                                  <a:pathLst>
                                    <a:path w="69" h="68">
                                      <a:moveTo>
                                        <a:pt x="35" y="0"/>
                                      </a:moveTo>
                                      <a:lnTo>
                                        <a:pt x="69" y="34"/>
                                      </a:lnTo>
                                      <a:lnTo>
                                        <a:pt x="35" y="68"/>
                                      </a:lnTo>
                                      <a:lnTo>
                                        <a:pt x="0" y="34"/>
                                      </a:lnTo>
                                      <a:lnTo>
                                        <a:pt x="35" y="0"/>
                                      </a:lnTo>
                                      <a:close/>
                                    </a:path>
                                  </a:pathLst>
                                </a:custGeom>
                                <a:solidFill>
                                  <a:srgbClr val="000080"/>
                                </a:solidFill>
                                <a:ln w="8255">
                                  <a:solidFill>
                                    <a:srgbClr val="000080"/>
                                  </a:solidFill>
                                  <a:round/>
                                  <a:headEnd/>
                                  <a:tailEnd/>
                                </a:ln>
                              </wps:spPr>
                              <wps:bodyPr rot="0" vert="horz" wrap="square" lIns="91440" tIns="45720" rIns="91440" bIns="45720" anchor="t" anchorCtr="0" upright="1">
                                <a:noAutofit/>
                              </wps:bodyPr>
                            </wps:wsp>
                            <wps:wsp>
                              <wps:cNvPr id="122" name="Rectangle 104"/>
                              <wps:cNvSpPr>
                                <a:spLocks noChangeArrowheads="1"/>
                              </wps:cNvSpPr>
                              <wps:spPr bwMode="auto">
                                <a:xfrm>
                                  <a:off x="5477510" y="1690370"/>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 male</w:t>
                                    </w:r>
                                  </w:p>
                                </w:txbxContent>
                              </wps:txbx>
                              <wps:bodyPr rot="0" vert="horz" wrap="none" lIns="0" tIns="0" rIns="0" bIns="0" anchor="t" anchorCtr="0" upright="1">
                                <a:spAutoFit/>
                              </wps:bodyPr>
                            </wps:wsp>
                            <wps:wsp>
                              <wps:cNvPr id="123" name="Line 105"/>
                              <wps:cNvCnPr/>
                              <wps:spPr bwMode="auto">
                                <a:xfrm>
                                  <a:off x="5283835" y="1865630"/>
                                  <a:ext cx="173990" cy="635"/>
                                </a:xfrm>
                                <a:prstGeom prst="line">
                                  <a:avLst/>
                                </a:prstGeom>
                                <a:noFill/>
                                <a:ln w="8255">
                                  <a:solidFill>
                                    <a:srgbClr val="FF00FF"/>
                                  </a:solidFill>
                                  <a:round/>
                                  <a:headEnd/>
                                  <a:tailEnd/>
                                </a:ln>
                                <a:extLst>
                                  <a:ext uri="{909E8E84-426E-40DD-AFC4-6F175D3DCCD1}">
                                    <a14:hiddenFill xmlns:a14="http://schemas.microsoft.com/office/drawing/2010/main">
                                      <a:noFill/>
                                    </a14:hiddenFill>
                                  </a:ext>
                                </a:extLst>
                              </wps:spPr>
                              <wps:bodyPr/>
                            </wps:wsp>
                            <wps:wsp>
                              <wps:cNvPr id="124" name="Rectangle 106"/>
                              <wps:cNvSpPr>
                                <a:spLocks noChangeArrowheads="1"/>
                              </wps:cNvSpPr>
                              <wps:spPr bwMode="auto">
                                <a:xfrm>
                                  <a:off x="5347970" y="1843405"/>
                                  <a:ext cx="43180" cy="43180"/>
                                </a:xfrm>
                                <a:prstGeom prst="rect">
                                  <a:avLst/>
                                </a:prstGeom>
                                <a:solidFill>
                                  <a:srgbClr val="FF00FF"/>
                                </a:solidFill>
                                <a:ln w="8255">
                                  <a:solidFill>
                                    <a:srgbClr val="FF00FF"/>
                                  </a:solidFill>
                                  <a:miter lim="800000"/>
                                  <a:headEnd/>
                                  <a:tailEnd/>
                                </a:ln>
                              </wps:spPr>
                              <wps:bodyPr rot="0" vert="horz" wrap="square" lIns="91440" tIns="45720" rIns="91440" bIns="45720" anchor="t" anchorCtr="0" upright="1">
                                <a:noAutofit/>
                              </wps:bodyPr>
                            </wps:wsp>
                            <wps:wsp>
                              <wps:cNvPr id="125" name="Rectangle 107"/>
                              <wps:cNvSpPr>
                                <a:spLocks noChangeArrowheads="1"/>
                              </wps:cNvSpPr>
                              <wps:spPr bwMode="auto">
                                <a:xfrm>
                                  <a:off x="5477510" y="181864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8E" w:rsidRDefault="00617B8E" w:rsidP="00F364DB">
                                    <w:r>
                                      <w:rPr>
                                        <w:rFonts w:ascii="Arial" w:hAnsi="Arial" w:cs="Arial"/>
                                        <w:color w:val="000000"/>
                                        <w:sz w:val="14"/>
                                        <w:szCs w:val="14"/>
                                      </w:rPr>
                                      <w:t>% female</w:t>
                                    </w:r>
                                  </w:p>
                                </w:txbxContent>
                              </wps:txbx>
                              <wps:bodyPr rot="0" vert="horz" wrap="none" lIns="0" tIns="0" rIns="0" bIns="0" anchor="t" anchorCtr="0" upright="1">
                                <a:spAutoFit/>
                              </wps:bodyPr>
                            </wps:wsp>
                          </wpc:wpc>
                        </a:graphicData>
                      </a:graphic>
                    </wp:inline>
                  </w:drawing>
                </mc:Choice>
                <mc:Fallback>
                  <w:pict>
                    <v:group id="Canvas 2" o:spid="_x0000_s1026" editas="canvas" alt="Title: Figure 10: Percentage attending school in the 5-18 age group, 2009" style="width:467.35pt;height:299.1pt;mso-position-horizontal-relative:char;mso-position-vertical-relative:line" coordsize="59353,3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">
                      <v:shape id="_x0000_s1027" type="#_x0000_t75" style="position:absolute;width:59353;height:37985;visibility:visible;mso-wrap-style:square" stroked="t" strokeweight=".5pt">
                        <v:fill o:detectmouseclick="t"/>
                        <v:path o:connecttype="none"/>
                      </v:shape>
                      <v:rect id="Rectangle 4" o:spid="_x0000_s1028" style="position:absolute;left:4762;top:2546;width:47092;height:30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DF8IA&#10;AADbAAAADwAAAGRycy9kb3ducmV2LnhtbESPQWvCQBSE7wX/w/IK3uqmUaREVxGh1VtRi+dH9jVJ&#10;zb4Nu0+N/74rCB6HmfmGmS9716oLhdh4NvA+ykARl942XBn4OXy+fYCKgmyx9UwGbhRhuRi8zLGw&#10;/so7uuylUgnCsUADtUhXaB3LmhzGke+Ik/frg0NJMlTaBrwmuGt1nmVT7bDhtFBjR+uaytP+7Azo&#10;wzTIaTwZ/+0k5it3/tp8l0djhq/9agZKqJdn+NHeWgN5Dvcv6Q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sMXwgAAANsAAAAPAAAAAAAAAAAAAAAAAJgCAABkcnMvZG93&#10;bnJldi54bWxQSwUGAAAAAAQABAD1AAAAhwMAAAAA&#10;" fillcolor="silver" stroked="f"/>
                      <v:line id="Line 5" o:spid="_x0000_s1029" style="position:absolute;visibility:visible;mso-wrap-style:square" from="4762,30378" to="51854,3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6" o:spid="_x0000_s1030" style="position:absolute;visibility:visible;mso-wrap-style:square" from="4762,27285" to="51854,2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7" o:spid="_x0000_s1031" style="position:absolute;visibility:visible;mso-wrap-style:square" from="4762,24199" to="51854,24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8" o:spid="_x0000_s1032" style="position:absolute;visibility:visible;mso-wrap-style:square" from="4762,21101" to="51854,2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9" o:spid="_x0000_s1033" style="position:absolute;visibility:visible;mso-wrap-style:square" from="4762,18008" to="51854,1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10" o:spid="_x0000_s1034" style="position:absolute;visibility:visible;mso-wrap-style:square" from="4762,14916" to="51854,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11" o:spid="_x0000_s1035" style="position:absolute;visibility:visible;mso-wrap-style:square" from="4762,11817" to="51854,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12" o:spid="_x0000_s1036" style="position:absolute;visibility:visible;mso-wrap-style:square" from="4762,8737" to="51854,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13" o:spid="_x0000_s1037" style="position:absolute;visibility:visible;mso-wrap-style:square" from="4762,5638" to="51854,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14" o:spid="_x0000_s1038" style="position:absolute;visibility:visible;mso-wrap-style:square" from="4762,2546" to="51854,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rect id="Rectangle 15" o:spid="_x0000_s1039" style="position:absolute;left:4762;top:2546;width:47092;height:30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EOsEA&#10;AADbAAAADwAAAGRycy9kb3ducmV2LnhtbESPQYvCMBSE74L/ITzBm6Zdl0WqUUQQ1r1pPXh8NM+m&#10;2LyUJtb4783Cwh6HmfmGWW+jbcVAvW8cK8jnGQjiyumGawWX8jBbgvABWWPrmBS8yMN2Mx6tsdDu&#10;yScazqEWCcK+QAUmhK6Q0leGLPq564iTd3O9xZBkX0vd4zPBbSs/suxLWmw4LRjsaG+oup8fVgHd&#10;K5OHz3L4OZXLeH0cZexyqdR0EncrEIFi+A//tb+1gsUCfr+kH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oBDrBAAAA2wAAAA8AAAAAAAAAAAAAAAAAmAIAAGRycy9kb3du&#10;cmV2LnhtbFBLBQYAAAAABAAEAPUAAACGAwAAAAA=&#10;" filled="f" strokecolor="gray" strokeweight=".65pt"/>
                      <v:line id="Line 16" o:spid="_x0000_s1040" style="position:absolute;visibility:visible;mso-wrap-style:square" from="4762,2546" to="4768,3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17" o:spid="_x0000_s1041" style="position:absolute;visibility:visible;mso-wrap-style:square" from="4502,33470" to="4762,3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18" o:spid="_x0000_s1042" style="position:absolute;visibility:visible;mso-wrap-style:square" from="4502,30378" to="4762,3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19" o:spid="_x0000_s1043" style="position:absolute;visibility:visible;mso-wrap-style:square" from="4502,27285" to="4762,2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20" o:spid="_x0000_s1044" style="position:absolute;visibility:visible;mso-wrap-style:square" from="4502,24199" to="4762,24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line id="Line 21" o:spid="_x0000_s1045" style="position:absolute;visibility:visible;mso-wrap-style:square" from="4502,21101" to="4762,2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line id="Line 22" o:spid="_x0000_s1046" style="position:absolute;visibility:visible;mso-wrap-style:square" from="4502,18008" to="4762,1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line id="Line 23" o:spid="_x0000_s1047" style="position:absolute;visibility:visible;mso-wrap-style:square" from="4502,14916" to="4762,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4B67DAAAA2wAAAA8AAAAAAAAAAAAA&#10;AAAAoQIAAGRycy9kb3ducmV2LnhtbFBLBQYAAAAABAAEAPkAAACRAwAAAAA=&#10;" strokeweight="0"/>
                      <v:line id="Line 24" o:spid="_x0000_s1048" style="position:absolute;visibility:visible;mso-wrap-style:square" from="4502,11817" to="476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line id="Line 25" o:spid="_x0000_s1049" style="position:absolute;visibility:visible;mso-wrap-style:square" from="4502,8737" to="4762,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jxCxAAAANsAAAAPAAAAAAAAAAAA&#10;AAAAAKECAABkcnMvZG93bnJldi54bWxQSwUGAAAAAAQABAD5AAAAkgMAAAAA&#10;" strokeweight="0"/>
                      <v:line id="Line 26" o:spid="_x0000_s1050" style="position:absolute;visibility:visible;mso-wrap-style:square" from="4502,5638" to="4762,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line id="Line 27" o:spid="_x0000_s1051" style="position:absolute;visibility:visible;mso-wrap-style:square" from="4502,2546" to="4762,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BrcQAAADbAAAADwAAAGRycy9kb3ducmV2LnhtbESPQWvCQBSE70L/w/IK3upGqT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wGtxAAAANsAAAAPAAAAAAAAAAAA&#10;AAAAAKECAABkcnMvZG93bnJldi54bWxQSwUGAAAAAAQABAD5AAAAkgMAAAAA&#10;" strokeweight="0"/>
                      <v:line id="Line 28" o:spid="_x0000_s1052" style="position:absolute;visibility:visible;mso-wrap-style:square" from="4762,33470" to="51854,3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line id="Line 29" o:spid="_x0000_s1053" style="position:absolute;flip:y;visibility:visible;mso-wrap-style:square" from="4762,33470" to="4768,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lyMUAAADbAAAADwAAAGRycy9kb3ducmV2LnhtbESPQWsCMRSE74L/ITzBm2Zbi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3lyMUAAADbAAAADwAAAAAAAAAA&#10;AAAAAAChAgAAZHJzL2Rvd25yZXYueG1sUEsFBgAAAAAEAAQA+QAAAJMDAAAAAA==&#10;" strokeweight="0"/>
                      <v:line id="Line 30" o:spid="_x0000_s1054" style="position:absolute;flip:y;visibility:visible;mso-wrap-style:square" from="8134,33470" to="8140,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xusIAAADbAAAADwAAAGRycy9kb3ducmV2LnhtbERPy2oCMRTdF/yHcAV3NWOR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JxusIAAADbAAAADwAAAAAAAAAAAAAA&#10;AAChAgAAZHJzL2Rvd25yZXYueG1sUEsFBgAAAAAEAAQA+QAAAJADAAAAAA==&#10;" strokeweight="0"/>
                      <v:line id="Line 31" o:spid="_x0000_s1055" style="position:absolute;flip:y;visibility:visible;mso-wrap-style:square" from="11493,33470" to="11499,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IcYAAADbAAAADwAAAGRycy9kb3ducmV2LnhtbESPQWsCMRSE7wX/Q3gFbzVbK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e1CHGAAAA2wAAAA8AAAAAAAAA&#10;AAAAAAAAoQIAAGRycy9kb3ducmV2LnhtbFBLBQYAAAAABAAEAPkAAACUAwAAAAA=&#10;" strokeweight="0"/>
                      <v:line id="Line 32" o:spid="_x0000_s1056" style="position:absolute;flip:y;visibility:visible;mso-wrap-style:square" from="14859,33470" to="14865,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3rYcIAAADbAAAADwAAAGRycy9kb3ducmV2LnhtbERPy2oCMRTdF/yHcAV3NWPB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3rYcIAAADbAAAADwAAAAAAAAAAAAAA&#10;AAChAgAAZHJzL2Rvd25yZXYueG1sUEsFBgAAAAAEAAQA+QAAAJADAAAAAA==&#10;" strokeweight="0"/>
                      <v:line id="Line 33" o:spid="_x0000_s1057" style="position:absolute;flip:y;visibility:visible;mso-wrap-style:square" from="18218,33470" to="18224,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34" o:spid="_x0000_s1058" style="position:absolute;flip:y;visibility:visible;mso-wrap-style:square" from="21583,33470" to="21590,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line id="Line 35" o:spid="_x0000_s1059" style="position:absolute;flip:y;visibility:visible;mso-wrap-style:square" from="24942,33470" to="24949,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line id="Line 36" o:spid="_x0000_s1060" style="position:absolute;flip:y;visibility:visible;mso-wrap-style:square" from="28308,33470" to="28314,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tYsYAAADbAAAADwAAAGRycy9kb3ducmV2LnhtbESPQWsCMRSE7wX/Q3gFbzVbqW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7WLGAAAA2wAAAA8AAAAAAAAA&#10;AAAAAAAAoQIAAGRycy9kb3ducmV2LnhtbFBLBQYAAAAABAAEAPkAAACUAwAAAAA=&#10;" strokeweight="0"/>
                      <v:line id="Line 37" o:spid="_x0000_s1061" style="position:absolute;flip:y;visibility:visible;mso-wrap-style:square" from="31680,33470" to="31686,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UAAADbAAAADwAAAGRycy9kb3ducmV2LnhtbESPT2sCMRTE7wW/Q3hCbzVbw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cUAAADbAAAADwAAAAAAAAAA&#10;AAAAAAChAgAAZHJzL2Rvd25yZXYueG1sUEsFBgAAAAAEAAQA+QAAAJMDAAAAAA==&#10;" strokeweight="0"/>
                      <v:line id="Line 38" o:spid="_x0000_s1062" style="position:absolute;flip:y;visibility:visible;mso-wrap-style:square" from="35039,33470" to="35045,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WjsUAAADbAAAADwAAAGRycy9kb3ducmV2LnhtbESPQWsCMRSE7wX/Q3iCt5qto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jWjsUAAADbAAAADwAAAAAAAAAA&#10;AAAAAAChAgAAZHJzL2Rvd25yZXYueG1sUEsFBgAAAAAEAAQA+QAAAJMDAAAAAA==&#10;" strokeweight="0"/>
                      <v:line id="Line 39" o:spid="_x0000_s1063" style="position:absolute;flip:y;visibility:visible;mso-wrap-style:square" from="38404,33470" to="38411,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zFcUAAADbAAAADwAAAGRycy9kb3ducmV2LnhtbESPQWsCMRSE74L/ITzBm2ZbqM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RzFcUAAADbAAAADwAAAAAAAAAA&#10;AAAAAAChAgAAZHJzL2Rvd25yZXYueG1sUEsFBgAAAAAEAAQA+QAAAJMDAAAAAA==&#10;" strokeweight="0"/>
                      <v:line id="Line 40" o:spid="_x0000_s1064" style="position:absolute;flip:y;visibility:visible;mso-wrap-style:square" from="41763,33470" to="41770,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nZ8IAAADbAAAADwAAAGRycy9kb3ducmV2LnhtbERPy2oCMRTdF/yHcAV3NWPB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vnZ8IAAADbAAAADwAAAAAAAAAAAAAA&#10;AAChAgAAZHJzL2Rvd25yZXYueG1sUEsFBgAAAAAEAAQA+QAAAJADAAAAAA==&#10;" strokeweight="0"/>
                      <v:line id="Line 41" o:spid="_x0000_s1065" style="position:absolute;flip:y;visibility:visible;mso-wrap-style:square" from="45129,33470" to="45135,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C/MYAAADbAAAADwAAAGRycy9kb3ducmV2LnhtbESPQWsCMRSE7wX/Q3gFbzVbo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HQvzGAAAA2wAAAA8AAAAAAAAA&#10;AAAAAAAAoQIAAGRycy9kb3ducmV2LnhtbFBLBQYAAAAABAAEAPkAAACUAwAAAAA=&#10;" strokeweight="0"/>
                      <v:line id="Line 42" o:spid="_x0000_s1066" style="position:absolute;flip:y;visibility:visible;mso-wrap-style:square" from="48488,33470" to="48494,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43" o:spid="_x0000_s1067" style="position:absolute;flip:y;visibility:visible;mso-wrap-style:square" from="51854,33470" to="51860,3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shape id="Freeform 44" o:spid="_x0000_s1068" style="position:absolute;left:6445;top:5867;width:43732;height:17094;visibility:visible;mso-wrap-style:square;v-text-anchor:top" coordsize="4194,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8ncIA&#10;AADbAAAADwAAAGRycy9kb3ducmV2LnhtbESP3YrCMBSE7xd8h3AE79bUCiLVKOIP7l75+wDH5tgU&#10;m5PaRO2+/WZhwcthZr5hpvPWVuJJjS8dKxj0ExDEudMlFwrOp83nGIQPyBorx6TghzzMZ52PKWba&#10;vfhAz2MoRISwz1CBCaHOpPS5IYu+72ri6F1dYzFE2RRSN/iKcFvJNElG0mLJccFgTUtD+e34sAp2&#10;K32tbvk3n9PNenDfXbZmb4dK9brtYgIiUBve4f/2l1YwSuHvS/w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LydwgAAANsAAAAPAAAAAAAAAAAAAAAAAJgCAABkcnMvZG93&#10;bnJldi54bWxQSwUGAAAAAAQABAD1AAAAhwMAAAAA&#10;" path="m,586l323,257,645,109,968,r323,17l1613,53,1936,36r322,96l2581,267r322,107l3226,676r323,434l3871,1327r323,313e" filled="f" strokecolor="navy" strokeweight=".65pt">
                        <v:path arrowok="t" o:connecttype="custom" o:connectlocs="0,610805;336805,267879;672566,113614;1009371,0;1346175,17720;1681937,55243;2018742,37524;2354503,137587;2691308,278302;3027070,389831;3363874,704615;3700679,1156985;4036440,1383171;4373245,1709420" o:connectangles="0,0,0,0,0,0,0,0,0,0,0,0,0,0"/>
                      </v:shape>
                      <v:shape id="Freeform 45" o:spid="_x0000_s1069" style="position:absolute;left:6445;top:5753;width:43732;height:18072;visibility:visible;mso-wrap-style:square;v-text-anchor:top" coordsize="4194,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6iicQA&#10;AADbAAAADwAAAGRycy9kb3ducmV2LnhtbESPQWsCMRSE74X+h/AK3mq2SlVWoxStpSAUqqLXZ/Lc&#10;Xdy8bJOo679vhEKPw8x8w0xmra3FhXyoHCt46WYgiLUzFRcKtpvl8whEiMgGa8ek4EYBZtPHhwnm&#10;xl35my7rWIgE4ZCjgjLGJpcy6JIshq5riJN3dN5iTNIX0ni8JritZS/LBtJixWmhxIbmJenT+mwV&#10;0H75/vWj59q/fuxOQ704nG/7lVKdp/ZtDCJSG//Df+1Po2DQh/uX9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oonEAAAA2wAAAA8AAAAAAAAAAAAAAAAAmAIAAGRycy9k&#10;b3ducmV2LnhtbFBLBQYAAAAABAAEAPUAAACJAwAAAAA=&#10;" path="m,526l323,231,645,108,968,19,1291,r322,58l1936,27r322,105l2581,244r322,208l3226,726r323,320l3871,1387r323,347e" filled="f" strokecolor="fuchsia" strokeweight=".65pt">
                        <v:path arrowok="t" o:connecttype="custom" o:connectlocs="0,548208;336805,240753;672566,112560;1009371,19802;1346175,0;1681937,60449;2018742,28140;2354503,137573;2691308,254302;3027070,471084;3363874,756652;3700679,1090162;4036440,1445560;4373245,1807210" o:connectangles="0,0,0,0,0,0,0,0,0,0,0,0,0,0"/>
                      </v:shape>
                      <v:shape id="Freeform 46" o:spid="_x0000_s1070" style="position:absolute;left:6223;top:11753;width:438;height:43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X8EA&#10;AADbAAAADwAAAGRycy9kb3ducmV2LnhtbESPT4vCMBTE74LfITzBi2iqrCLVVMQ/sOBJd/H8aJ5t&#10;bfNSmqjtt98sCB6H+c0Ms960phJPalxhWcF0EoEgTq0uOFPw+3McL0E4j6yxskwKOnKwSfq9Ncba&#10;vvhMz4vPRChhF6OC3Ps6ltKlORl0E1sTB+9mG4M+yCaTusFXKDeVnEXRQhosOCzkWNMup7S8PIyC&#10;63Q/P3Tc2Wt5n9tAjkifHkoNB+12BcJT6z/wO/2tFSy+4P9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s/l/BAAAA2wAAAA8AAAAAAAAAAAAAAAAAmAIAAGRycy9kb3du&#10;cmV2LnhtbFBLBQYAAAAABAAEAPUAAACGAwAAAAA=&#10;" path="m35,l69,35,35,69,,35,35,xe" fillcolor="navy" strokecolor="navy" strokeweight=".65pt">
                        <v:path arrowok="t" o:connecttype="custom" o:connectlocs="22225,0;43815,22225;22225,43815;0,22225;22225,0" o:connectangles="0,0,0,0,0"/>
                      </v:shape>
                      <v:shape id="Freeform 47" o:spid="_x0000_s1071" style="position:absolute;left:9594;top:8331;width:439;height:432;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6XMQA&#10;AADbAAAADwAAAGRycy9kb3ducmV2LnhtbESPQWvCQBSE74L/YXlCb2ajYGjTrFIKQiEgNHrw+Mg+&#10;k9js2zS70eTfdwWhx2FmvmGy3WhacaPeNZYVrKIYBHFpdcOVgtNxv3wF4TyyxtYyKZjIwW47n2WY&#10;anvnb7oVvhIBwi5FBbX3XSqlK2sy6CLbEQfvYnuDPsi+krrHe4CbVq7jOJEGGw4LNXb0WVP5UwxG&#10;QXF+uw75Jl9NlSwPBbvf5nBMlHpZjB/vIDyN/j/8bH9pBckGHl/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lzEAAAA2wAAAA8AAAAAAAAAAAAAAAAAmAIAAGRycy9k&#10;b3ducmV2LnhtbFBLBQYAAAAABAAEAPUAAACJAwAAAAA=&#10;" path="m34,l69,34,34,68,,34,34,xe" fillcolor="navy" strokecolor="navy" strokeweight=".65pt">
                        <v:path arrowok="t" o:connecttype="custom" o:connectlocs="21590,0;43815,21590;21590,43180;0,21590;21590,0" o:connectangles="0,0,0,0,0"/>
                      </v:shape>
                      <v:shape id="Freeform 48" o:spid="_x0000_s1072" style="position:absolute;left:12954;top:6788;width:431;height:438;visibility:visible;mso-wrap-style:square;v-text-anchor:top" coordsize="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gg8MA&#10;AADbAAAADwAAAGRycy9kb3ducmV2LnhtbESPQWvCQBSE74X+h+UVvNVNCw0lugZbFHrwoEmp10f2&#10;mYRk34bd1cR/7wpCj8PMfMMs88n04kLOt5YVvM0TEMSV1S3XCn7L7esnCB+QNfaWScGVPOSr56cl&#10;ZtqOfKBLEWoRIewzVNCEMGRS+qohg35uB+LonawzGKJ0tdQOxwg3vXxPklQabDkuNDjQd0NVV5yN&#10;go/xeChdtyt5v0m8r/6K3earUGr2Mq0XIAJN4T/8aP9oBW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gg8MAAADbAAAADwAAAAAAAAAAAAAAAACYAgAAZHJzL2Rv&#10;d25yZXYueG1sUEsFBgAAAAAEAAQA9QAAAIgDAAAAAA==&#10;" path="m34,l68,34,34,69,,34,34,xe" fillcolor="navy" strokecolor="navy" strokeweight=".65pt">
                        <v:path arrowok="t" o:connecttype="custom" o:connectlocs="21590,0;43180,21590;21590,43815;0,21590;21590,0" o:connectangles="0,0,0,0,0"/>
                      </v:shape>
                      <v:shape id="Freeform 49" o:spid="_x0000_s1073" style="position:absolute;left:16319;top:5651;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gKMEA&#10;AADbAAAADwAAAGRycy9kb3ducmV2LnhtbESPS6vCMBSE94L/IRzBjVxTBR/0GkV8gODKKq4Pzblt&#10;r81JaaK2/94IgsthvplhFqvGlOJBtSssKxgNIxDEqdUFZwou5/3PHITzyBpLy6SgJQerZbezwFjb&#10;J5/okfhMhBJ2MSrIva9iKV2ak0E3tBVx8P5sbdAHWWdS1/gM5aaU4yiaSoMFh4UcK9rklN6Su1Fw&#10;HW0nu5Zbe739T2wgB6SPd6X6vWb9C8JT47/wJ33QCqYz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CjBAAAA2wAAAA8AAAAAAAAAAAAAAAAAmAIAAGRycy9kb3du&#10;cmV2LnhtbFBLBQYAAAAABAAEAPUAAACGAwAAAAA=&#10;" path="m34,l69,34,34,69,,34,34,xe" fillcolor="navy" strokecolor="navy" strokeweight=".65pt">
                        <v:path arrowok="t" o:connecttype="custom" o:connectlocs="21590,0;43815,21590;21590,43815;0,21590;21590,0" o:connectangles="0,0,0,0,0"/>
                      </v:shape>
                      <v:shape id="Freeform 50" o:spid="_x0000_s1074" style="position:absolute;left:19685;top:5829;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0WsAA&#10;AADbAAAADwAAAGRycy9kb3ducmV2LnhtbERPTWvCQBC9C/0PyxR6kbpJQSmpmyCtQqEnbcl5yE6T&#10;mOxsyK6a/PvOoeDx8b63xeR6daUxtJ4NpKsEFHHlbcu1gZ/vw/MrqBCRLfaeycBMAYr8YbHFzPob&#10;H+l6irWSEA4ZGmhiHDKtQ9WQw7DyA7Fwv350GAWOtbYj3iTc9folSTbaYcvS0OBA7w1V3eniDJTp&#10;x3o/8+zL7rz2olyS/boY8/Q47d5ARZriXfzv/rQGNjJWvsgP0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H0WsAAAADbAAAADwAAAAAAAAAAAAAAAACYAgAAZHJzL2Rvd25y&#10;ZXYueG1sUEsFBgAAAAAEAAQA9QAAAIUDAAAAAA==&#10;" path="m35,l69,34,35,69,,34,35,xe" fillcolor="navy" strokecolor="navy" strokeweight=".65pt">
                        <v:path arrowok="t" o:connecttype="custom" o:connectlocs="22225,0;43815,21590;22225,43815;0,21590;22225,0" o:connectangles="0,0,0,0,0"/>
                      </v:shape>
                      <v:shape id="Freeform 51" o:spid="_x0000_s1075" style="position:absolute;left:23044;top:6203;width:438;height:43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RwcEA&#10;AADbAAAADwAAAGRycy9kb3ducmV2LnhtbESPzarCMBSE94LvEI7gRq6pgqK9RhF/QHBlFdeH5ty2&#10;1+akNFHbtzeC4HKYb2aYxaoxpXhQ7QrLCkbDCARxanXBmYLLef8zA+E8ssbSMiloycFq2e0sMNb2&#10;ySd6JD4ToYRdjApy76tYSpfmZNANbUUcvD9bG/RB1pnUNT5DuSnlOIqm0mDBYSHHijY5pbfkbhRc&#10;R9vJruXWXm//ExvIAenjXal+r1n/gvDU+C/8SR+0gukc3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UcHBAAAA2wAAAA8AAAAAAAAAAAAAAAAAmAIAAGRycy9kb3du&#10;cmV2LnhtbFBLBQYAAAAABAAEAPUAAACGAwAAAAA=&#10;" path="m35,l69,34,35,69,,34,35,xe" fillcolor="navy" strokecolor="navy" strokeweight=".65pt">
                        <v:path arrowok="t" o:connecttype="custom" o:connectlocs="22225,0;43815,21590;22225,43815;0,21590;22225,0" o:connectangles="0,0,0,0,0"/>
                      </v:shape>
                      <v:shape id="Freeform 52" o:spid="_x0000_s1076" style="position:absolute;left:26416;top:6026;width:431;height:438;visibility:visible;mso-wrap-style:square;v-text-anchor:top" coordsize="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scAA&#10;AADbAAAADwAAAGRycy9kb3ducmV2LnhtbERPTYvCMBC9L/gfwgje1lTBVapRVBT24GFtRa9DM7bF&#10;ZlKSaLv/fnNY8Ph436tNbxrxIudrywom4wQEcWF1zaWCS378XIDwAVljY5kU/JKHzXrwscJU247P&#10;9MpCKWII+xQVVCG0qZS+qMigH9uWOHJ36wyGCF0ptcMuhptGTpPkSxqsOTZU2NK+ouKRPY2CWXc7&#10;5+5xyvnnkHhfXLPTYZcpNRr22yWIQH14i//d31rBPK6PX+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scAAAADbAAAADwAAAAAAAAAAAAAAAACYAgAAZHJzL2Rvd25y&#10;ZXYueG1sUEsFBgAAAAAEAAQA9QAAAIUDAAAAAA==&#10;" path="m34,l68,34,34,69,,34,34,xe" fillcolor="navy" strokecolor="navy" strokeweight=".65pt">
                        <v:path arrowok="t" o:connecttype="custom" o:connectlocs="21590,0;43180,21590;21590,43815;0,21590;21590,0" o:connectangles="0,0,0,0,0"/>
                      </v:shape>
                      <v:shape id="Freeform 53" o:spid="_x0000_s1077" style="position:absolute;left:29768;top:7023;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LGsEA&#10;AADbAAAADwAAAGRycy9kb3ducmV2LnhtbESPQYvCMBSE74L/IbwFL7KmXdBdqqmIriB4UhfPj+bZ&#10;dtu8lCZq+++NIHgc5psZZrHsTC1u1LrSsoJ4EoEgzqwuOVfwd9p+/oBwHlljbZkU9ORgmQ4HC0y0&#10;vfOBbkefi1DCLkEFhfdNIqXLCjLoJrYhDt7FtgZ9kG0udYv3UG5q+RVFM2mw5LBQYEPrgrLqeDUK&#10;zvFm+ttzb8/V/9QGckx6f1Vq9NGt5iA8df4Nv9I7reA7hueX8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yxrBAAAA2wAAAA8AAAAAAAAAAAAAAAAAmAIAAGRycy9kb3du&#10;cmV2LnhtbFBLBQYAAAAABAAEAPUAAACGAwAAAAA=&#10;" path="m35,l69,35,35,69,,35,35,xe" fillcolor="navy" strokecolor="navy" strokeweight=".65pt">
                        <v:path arrowok="t" o:connecttype="custom" o:connectlocs="22225,0;43815,22225;22225,43815;0,22225;22225,0" o:connectangles="0,0,0,0,0"/>
                      </v:shape>
                      <v:shape id="Freeform 54" o:spid="_x0000_s1078" style="position:absolute;left:33140;top:8432;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VbcEA&#10;AADbAAAADwAAAGRycy9kb3ducmV2LnhtbESPQYvCMBSE78L+h/AWvIimFXSlGmVZFQRPuuL50Tzb&#10;avNSmlTbf28EweMw38wwi1VrSnGn2hWWFcSjCARxanXBmYLT/3Y4A+E8ssbSMinoyMFq+dVbYKLt&#10;gw90P/pMhBJ2CSrIva8SKV2ak0E3shVx8C62NuiDrDOpa3yEclPKcRRNpcGCw0KOFf3llN6OjVFw&#10;jteTTcedPd+uExvIAel9o1T/u/2dg/DU+g/8Tu+0gp8xvL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VW3BAAAA2wAAAA8AAAAAAAAAAAAAAAAAmAIAAGRycy9kb3du&#10;cmV2LnhtbFBLBQYAAAAABAAEAPUAAACGAwAAAAA=&#10;" path="m34,l69,34,34,69,,34,34,xe" fillcolor="navy" strokecolor="navy" strokeweight=".65pt">
                        <v:path arrowok="t" o:connecttype="custom" o:connectlocs="21590,0;43815,21590;21590,43815;0,21590;21590,0" o:connectangles="0,0,0,0,0"/>
                      </v:shape>
                      <v:shape id="Freeform 55" o:spid="_x0000_s1079" style="position:absolute;left:36493;top:9550;width:438;height:432;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RbsIA&#10;AADbAAAADwAAAGRycy9kb3ducmV2LnhtbESPzarCMBSE9xd8h3AEd9dU5fpTjSKCcEEQrC5cHppj&#10;W21OahO1vr0RBJfDzHzDzBaNKcWdaldYVtDrRiCIU6sLzhQc9uvfMQjnkTWWlknBkxws5q2fGcba&#10;PnhH98RnIkDYxagg976KpXRpTgZd11bEwTvZ2qAPss6krvER4KaU/SgaSoMFh4UcK1rllF6Sm1GQ&#10;HCfn2+Zv03tmMt0m7K7Fdj9UqtNullMQnhr/DX/a/1rBaAD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pFuwgAAANsAAAAPAAAAAAAAAAAAAAAAAJgCAABkcnMvZG93&#10;bnJldi54bWxQSwUGAAAAAAQABAD1AAAAhwMAAAAA&#10;" path="m35,l69,34,35,68,,34,35,xe" fillcolor="navy" strokecolor="navy" strokeweight=".65pt">
                        <v:path arrowok="t" o:connecttype="custom" o:connectlocs="22225,0;43815,21590;22225,43180;0,21590;22225,0" o:connectangles="0,0,0,0,0"/>
                      </v:shape>
                      <v:shape id="Freeform 56" o:spid="_x0000_s1080" style="position:absolute;left:39865;top:12693;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VogsMA&#10;AADbAAAADwAAAGRycy9kb3ducmV2LnhtbESPS4vCQBCE78L+h6EX9iJm4rJRiRll2QcsePKB5ybT&#10;JtFMT8iMJvn3O4Lgsaivqqhs3Zta3Kh1lWUF0ygGQZxbXXGh4LD/nSxAOI+ssbZMCgZysF69jDJM&#10;te14S7edL0QoYZeigtL7JpXS5SUZdJFtiIN3sq1BH2RbSN1iF8pNLd/jeCYNVhwWSmzoq6T8srsa&#10;Bcfpd/Iz8GCPl3NiAzkmvbkq9fbafy5BeOr9E36k/7SC+Qfc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VogsMAAADbAAAADwAAAAAAAAAAAAAAAACYAgAAZHJzL2Rv&#10;d25yZXYueG1sUEsFBgAAAAAEAAQA9QAAAIgDAAAAAA==&#10;" path="m34,l69,35,34,69,,35,34,xe" fillcolor="navy" strokecolor="navy" strokeweight=".65pt">
                        <v:path arrowok="t" o:connecttype="custom" o:connectlocs="21590,0;43815,22225;21590,43815;0,22225;21590,0" o:connectangles="0,0,0,0,0"/>
                      </v:shape>
                      <v:shape id="Freeform 57" o:spid="_x0000_s1081" style="position:absolute;left:43230;top:17214;width:438;height:43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NGcIA&#10;AADbAAAADwAAAGRycy9kb3ducmV2LnhtbESPQWvCQBSE7wX/w/IEL0U3CqkSXUVahUJPjZLzI/tM&#10;otm3IbuJyb/vFgo9DvPNDLM7DKYWPbWusqxguYhAEOdWV1wouF7O8w0I55E11pZJwUgODvvJyw4T&#10;bZ/8TX3qCxFK2CWooPS+SaR0eUkG3cI2xMG72dagD7ItpG7xGcpNLVdR9CYNVhwWSmzovaT8kXZG&#10;Qbb8iE8jjzZ73GMbyFfSX51Ss+lw3ILwNPh/+C/9qRWsY/j9E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c0ZwgAAANsAAAAPAAAAAAAAAAAAAAAAAJgCAABkcnMvZG93&#10;bnJldi54bWxQSwUGAAAAAAQABAD1AAAAhwMAAAAA&#10;" path="m35,l69,35,35,69,,35,35,xe" fillcolor="navy" strokecolor="navy" strokeweight=".65pt">
                        <v:path arrowok="t" o:connecttype="custom" o:connectlocs="22225,0;43815,22225;22225,43815;0,22225;22225,0" o:connectangles="0,0,0,0,0"/>
                      </v:shape>
                      <v:shape id="Freeform 58" o:spid="_x0000_s1082" style="position:absolute;left:46589;top:19475;width:439;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TbsEA&#10;AADbAAAADwAAAGRycy9kb3ducmV2LnhtbESPS6vCMBSE94L/IRzBjVxTBR/0GkV8gODKKq4Pzblt&#10;r81JaaK2/94IgsthvplhFqvGlOJBtSssKxgNIxDEqdUFZwou5/3PHITzyBpLy6SgJQerZbezwFjb&#10;J5/okfhMhBJ2MSrIva9iKV2ak0E3tBVx8P5sbdAHWWdS1/gM5aaU4yiaSoMFh4UcK9rklN6Su1Fw&#10;HW0nu5Zbe739T2wgB6SPd6X6vWb9C8JT47/wJ33QCmZT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U27BAAAA2wAAAA8AAAAAAAAAAAAAAAAAmAIAAGRycy9kb3du&#10;cmV2LnhtbFBLBQYAAAAABAAEAPUAAACGAwAAAAA=&#10;" path="m34,l69,35,34,69,,35,34,xe" fillcolor="navy" strokecolor="navy" strokeweight=".65pt">
                        <v:path arrowok="t" o:connecttype="custom" o:connectlocs="21590,0;43815,22225;21590,43815;0,22225;21590,0" o:connectangles="0,0,0,0,0"/>
                      </v:shape>
                      <v:shape id="Freeform 59" o:spid="_x0000_s1083" style="position:absolute;left:49955;top:22739;width:438;height:438;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29cIA&#10;AADbAAAADwAAAGRycy9kb3ducmV2LnhtbESPS4vCQBCE74L/YWjBi+hEwQfRiYgPWPCku3huMm0S&#10;k+kJmVGTf78jLOyxqK+qqM22NZV4UeMKywqmkwgEcWp1wZmCn+/TeAXCeWSNlWVS0JGDbdLvbTDW&#10;9s0Xel19JkIJuxgV5N7XsZQuzcmgm9iaOHh32xj0QTaZ1A2+Q7mp5CyKFtJgwWEhx5r2OaXl9WkU&#10;3KaH+bHjzt7Kx9wGckT6/FRqOGh3axCeWv8P/6W/tILlEj5fwg+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b1wgAAANsAAAAPAAAAAAAAAAAAAAAAAJgCAABkcnMvZG93&#10;bnJldi54bWxQSwUGAAAAAAQABAD1AAAAhwMAAAAA&#10;" path="m35,l69,35,35,69,,35,35,xe" fillcolor="navy" strokecolor="navy" strokeweight=".65pt">
                        <v:path arrowok="t" o:connecttype="custom" o:connectlocs="22225,0;43815,22225;22225,43815;0,22225;22225,0" o:connectangles="0,0,0,0,0"/>
                      </v:shape>
                      <v:rect id="Rectangle 60" o:spid="_x0000_s1084" style="position:absolute;left:6223;top:11017;width:43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lScIA&#10;AADbAAAADwAAAGRycy9kb3ducmV2LnhtbERPz2vCMBS+D/Y/hCd4W1OHbFIbRQaC6GGsdjBvj+bZ&#10;FJuXrolt998vh8GOH9/vfDvZVgzU+8axgkWSgiCunG64VlCe908rED4ga2wdk4If8rDdPD7kmGk3&#10;8gcNRahFDGGfoQITQpdJ6StDFn3iOuLIXV1vMUTY11L3OMZw28rnNH2RFhuODQY7ejNU3Yq7VdB9&#10;VU25vH4u94aPt+n9clycim+l5rNptwYRaAr/4j/3QSt4j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2VJwgAAANsAAAAPAAAAAAAAAAAAAAAAAJgCAABkcnMvZG93&#10;bnJldi54bWxQSwUGAAAAAAQABAD1AAAAhwMAAAAA&#10;" fillcolor="fuchsia" strokecolor="fuchsia" strokeweight=".65pt"/>
                      <v:rect id="Rectangle 61" o:spid="_x0000_s1085" style="position:absolute;left:9594;top:79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A0sQA&#10;AADbAAAADwAAAGRycy9kb3ducmV2LnhtbESPQWsCMRSE74L/ITyhN81aRNvVKCIIRQ/S1UK9PTbP&#10;zeLmZbuJuv57UxA8DjPzDTNbtLYSV2p86VjBcJCAIM6dLrlQcNiv+x8gfEDWWDkmBXfysJh3OzNM&#10;tbvxN12zUIgIYZ+iAhNCnUrpc0MW/cDVxNE7ucZiiLIppG7wFuG2ku9JMpYWS44LBmtaGcrP2cUq&#10;qH/z8jA6/YzWhjfndnfcDLfZn1JvvXY5BRGoDa/ws/2lFUw+4f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wNLEAAAA2wAAAA8AAAAAAAAAAAAAAAAAmAIAAGRycy9k&#10;b3ducmV2LnhtbFBLBQYAAAAABAAEAPUAAACJAwAAAAA=&#10;" fillcolor="fuchsia" strokecolor="fuchsia" strokeweight=".65pt"/>
                      <v:rect id="Rectangle 62" o:spid="_x0000_s1086" style="position:absolute;left:12954;top:6661;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aMIA&#10;AADbAAAADwAAAGRycy9kb3ducmV2LnhtbERPz2vCMBS+D/wfwhN2m6mjjFKNIoIg7jDsFPT2aJ5N&#10;sXmpTdZ2/705DHb8+H4v16NtRE+drx0rmM8SEMSl0zVXCk7fu7cMhA/IGhvHpOCXPKxXk5cl5toN&#10;fKS+CJWIIexzVGBCaHMpfWnIop+5ljhyN9dZDBF2ldQdDjHcNvI9ST6kxZpjg8GWtobKe/FjFbSX&#10;sj6lt3O6M3y4j1/Xw/yzeCj1Oh03CxCBxvAv/nPvtYIsro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lowgAAANsAAAAPAAAAAAAAAAAAAAAAAJgCAABkcnMvZG93&#10;bnJldi54bWxQSwUGAAAAAAQABAD1AAAAhwMAAAAA&#10;" fillcolor="fuchsia" strokecolor="fuchsia" strokeweight=".65pt"/>
                      <v:rect id="Rectangle 63" o:spid="_x0000_s1087" style="position:absolute;left:16319;top:573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888UA&#10;AADbAAAADwAAAGRycy9kb3ducmV2LnhtbESPQWvCQBSE70L/w/IKvekmRURSVymFQLGHYlRob4/s&#10;MxuSfZtmt0n8926h4HGYmW+YzW6yrRio97VjBekiAUFcOl1zpeB0zOdrED4ga2wdk4IredhtH2Yb&#10;zLQb+UBDESoRIewzVGBC6DIpfWnIol+4jjh6F9dbDFH2ldQ9jhFuW/mcJCtpsea4YLCjN0NlU/xa&#10;Bd1XWZ+Wl/MyN7xvps/vffpR/Cj19Di9voAINIV7+L/9rhWsU/j7En+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LzzxQAAANsAAAAPAAAAAAAAAAAAAAAAAJgCAABkcnMv&#10;ZG93bnJldi54bWxQSwUGAAAAAAQABAD1AAAAigMAAAAA&#10;" fillcolor="fuchsia" strokecolor="fuchsia" strokeweight=".65pt"/>
                      <v:rect id="Rectangle 64" o:spid="_x0000_s1088" style="position:absolute;left:19685;top:5537;width:43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ihMMA&#10;AADbAAAADwAAAGRycy9kb3ducmV2LnhtbESPQYvCMBSE78L+h/AWvGmqiEjXKCIIix7EWsG9PZpn&#10;U2xeuk3U7r/fCILHYWa+YebLztbiTq2vHCsYDRMQxIXTFZcK8uNmMAPhA7LG2jEp+CMPy8VHb46p&#10;dg8+0D0LpYgQ9ikqMCE0qZS+MGTRD11DHL2Lay2GKNtS6hYfEW5rOU6SqbRYcVww2NDaUHHNblZB&#10;cy6qfHI5TTaGt9du/7Md7bJfpfqf3eoLRKAuvMOv9rdWMBvD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oihMMAAADbAAAADwAAAAAAAAAAAAAAAACYAgAAZHJzL2Rv&#10;d25yZXYueG1sUEsFBgAAAAAEAAQA9QAAAIgDAAAAAA==&#10;" fillcolor="fuchsia" strokecolor="fuchsia" strokeweight=".65pt"/>
                      <v:rect id="Rectangle 65" o:spid="_x0000_s1089" style="position:absolute;left:23044;top:614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HH8MA&#10;AADbAAAADwAAAGRycy9kb3ducmV2LnhtbESPQYvCMBSE78L+h/AWvGnqKiLVKMuCIHoQqwvr7dE8&#10;m2Lz0m2i1n9vBMHjMDPfMLNFaytxpcaXjhUM+gkI4tzpkgsFh/2yNwHhA7LGyjEpuJOHxfyjM8NU&#10;uxvv6JqFQkQI+xQVmBDqVEqfG7Lo+64mjt7JNRZDlE0hdYO3CLeV/EqSsbRYclwwWNOPofycXayC&#10;+i8vD6PT72hpeH1ut8f1YJP9K9X9bL+nIAK14R1+tVdawWQI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aHH8MAAADbAAAADwAAAAAAAAAAAAAAAACYAgAAZHJzL2Rv&#10;d25yZXYueG1sUEsFBgAAAAAEAAQA9QAAAIgDAAAAAA==&#10;" fillcolor="fuchsia" strokecolor="fuchsia" strokeweight=".65pt"/>
                      <v:rect id="Rectangle 66" o:spid="_x0000_s1090" style="position:absolute;left:26416;top:581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fa8MA&#10;AADbAAAADwAAAGRycy9kb3ducmV2LnhtbESPQYvCMBSE78L+h/CEvWmqFJFqFBEEcQ+LVWH39mie&#10;TbF56TZZrf/eCILHYWa+YebLztbiSq2vHCsYDRMQxIXTFZcKjofNYArCB2SNtWNScCcPy8VHb46Z&#10;djfe0zUPpYgQ9hkqMCE0mZS+MGTRD11DHL2zay2GKNtS6hZvEW5rOU6SibRYcVww2NDaUHHJ/62C&#10;5qeojun5lG4M7y7d9+9u9JX/KfXZ71YzEIG68A6/2lutYJr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8fa8MAAADbAAAADwAAAAAAAAAAAAAAAACYAgAAZHJzL2Rv&#10;d25yZXYueG1sUEsFBgAAAAAEAAQA9QAAAIgDAAAAAA==&#10;" fillcolor="fuchsia" strokecolor="fuchsia" strokeweight=".65pt"/>
                      <v:rect id="Rectangle 67" o:spid="_x0000_s1091" style="position:absolute;left:29768;top:690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68MUA&#10;AADbAAAADwAAAGRycy9kb3ducmV2LnhtbESPQWvCQBSE70L/w/IK3nSTYkVi1lAKQtFDabRQb4/s&#10;SzaYfZtmt5r++25B8DjMzDdMXoy2ExcafOtYQTpPQBBXTrfcKDgetrMVCB+QNXaOScEveSg2D5Mc&#10;M+2u/EGXMjQiQthnqMCE0GdS+sqQRT93PXH0ajdYDFEOjdQDXiPcdvIpSZbSYstxwWBPr4aqc/lj&#10;FfRfVXtc1J+LreHdeXw/7dJ9+a3U9HF8WYMINIZ7+NZ+0wpWz/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7rwxQAAANsAAAAPAAAAAAAAAAAAAAAAAJgCAABkcnMv&#10;ZG93bnJldi54bWxQSwUGAAAAAAQABAD1AAAAigMAAAAA&#10;" fillcolor="fuchsia" strokecolor="fuchsia" strokeweight=".65pt"/>
                      <v:rect id="Rectangle 68" o:spid="_x0000_s1092" style="position:absolute;left:33140;top:807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kh8UA&#10;AADbAAAADwAAAGRycy9kb3ducmV2LnhtbESPQWvCQBSE70L/w/IKvZmNRUTSrCKCUOyhmEawt0f2&#10;mQ1m36bZbZL+e7dQ6HGYmW+YfDvZVgzU+8axgkWSgiCunG64VlB+HOZrED4ga2wdk4If8rDdPMxy&#10;zLQb+URDEWoRIewzVGBC6DIpfWXIok9cRxy9q+sthij7Wuoexwi3rXxO05W02HBcMNjR3lB1K76t&#10;gu5SNeXyel4eDB9v0/vncfFWfCn19DjtXkAEmsJ/+K/9qhWsV/D7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SSHxQAAANsAAAAPAAAAAAAAAAAAAAAAAJgCAABkcnMv&#10;ZG93bnJldi54bWxQSwUGAAAAAAQABAD1AAAAigMAAAAA&#10;" fillcolor="fuchsia" strokecolor="fuchsia" strokeweight=".65pt"/>
                      <v:rect id="Rectangle 69" o:spid="_x0000_s1093" style="position:absolute;left:36493;top:1024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BHMUA&#10;AADbAAAADwAAAGRycy9kb3ducmV2LnhtbESPQWvCQBSE70L/w/IK3nSTIlVi1lAKQtFDabRQb4/s&#10;SzaYfZtmt5r++25B8DjMzDdMXoy2ExcafOtYQTpPQBBXTrfcKDgetrMVCB+QNXaOScEveSg2D5Mc&#10;M+2u/EGXMjQiQthnqMCE0GdS+sqQRT93PXH0ajdYDFEOjdQDXiPcdvIpSZ6lxZbjgsGeXg1V5/LH&#10;Kui/qva4qD8XW8O78/h+2qX78lup6eP4sgYRaAz38K39phWslv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EcxQAAANsAAAAPAAAAAAAAAAAAAAAAAJgCAABkcnMv&#10;ZG93bnJldi54bWxQSwUGAAAAAAQABAD1AAAAigMAAAAA&#10;" fillcolor="fuchsia" strokecolor="fuchsia" strokeweight=".65pt"/>
                      <v:rect id="Rectangle 70" o:spid="_x0000_s1094" style="position:absolute;left:39865;top:1310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VbsIA&#10;AADbAAAADwAAAGRycy9kb3ducmV2LnhtbERPz2vCMBS+D/wfwhN2m6mjjFKNIoIg7jDsFPT2aJ5N&#10;sXmpTdZ2/705DHb8+H4v16NtRE+drx0rmM8SEMSl0zVXCk7fu7cMhA/IGhvHpOCXPKxXk5cl5toN&#10;fKS+CJWIIexzVGBCaHMpfWnIop+5ljhyN9dZDBF2ldQdDjHcNvI9ST6kxZpjg8GWtobKe/FjFbSX&#10;sj6lt3O6M3y4j1/Xw/yzeCj1Oh03CxCBxvAv/nPvtYIsjo1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hVuwgAAANsAAAAPAAAAAAAAAAAAAAAAAJgCAABkcnMvZG93&#10;bnJldi54bWxQSwUGAAAAAAQABAD1AAAAhwMAAAAA&#10;" fillcolor="fuchsia" strokecolor="fuchsia" strokeweight=".65pt"/>
                      <v:rect id="Rectangle 71" o:spid="_x0000_s1095" style="position:absolute;left:43230;top:16433;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w9cUA&#10;AADbAAAADwAAAGRycy9kb3ducmV2LnhtbESPQWvCQBSE70L/w/IK3nSTIkVj1lAKQtFDabRQb4/s&#10;SzaYfZtmt5r++25B8DjMzDdMXoy2ExcafOtYQTpPQBBXTrfcKDgetrMlCB+QNXaOScEveSg2D5Mc&#10;M+2u/EGXMjQiQthnqMCE0GdS+sqQRT93PXH0ajdYDFEOjdQDXiPcdvIpSZ6lxZbjgsGeXg1V5/LH&#10;Kui/qva4qD8XW8O78/h+2qX78lup6eP4sgYRaAz38K39phUsV/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rD1xQAAANsAAAAPAAAAAAAAAAAAAAAAAJgCAABkcnMv&#10;ZG93bnJldi54bWxQSwUGAAAAAAQABAD1AAAAigMAAAAA&#10;" fillcolor="fuchsia" strokecolor="fuchsia" strokeweight=".65pt"/>
                      <v:rect id="Rectangle 72" o:spid="_x0000_s1096" style="position:absolute;left:46589;top:1998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PtcIA&#10;AADbAAAADwAAAGRycy9kb3ducmV2LnhtbERPz2vCMBS+D/Y/hCd4W1OHjFkbRQaC6GGsdjBvj+bZ&#10;FJuXrolt998vh8GOH9/vfDvZVgzU+8axgkWSgiCunG64VlCe90+vIHxA1tg6JgU/5GG7eXzIMdNu&#10;5A8ailCLGMI+QwUmhC6T0leGLPrEdcSRu7reYoiwr6XucYzhtpXPafoiLTYcGwx29GaouhV3q6D7&#10;qppyef1c7g0fb9P75bg4Fd9KzWfTbg0i0BT+xX/ug1awiu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Y+1wgAAANsAAAAPAAAAAAAAAAAAAAAAAJgCAABkcnMvZG93&#10;bnJldi54bWxQSwUGAAAAAAQABAD1AAAAhwMAAAAA&#10;" fillcolor="fuchsia" strokecolor="fuchsia" strokeweight=".65pt"/>
                      <v:rect id="Rectangle 73" o:spid="_x0000_s1097" style="position:absolute;left:49955;top:2360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qLsUA&#10;AADbAAAADwAAAGRycy9kb3ducmV2LnhtbESPQWvCQBSE70L/w/IK3nSTIsWmbqQUhGIPxZhCe3tk&#10;X7LB7Ns0u2r6711B8DjMzDfMaj3aTpxo8K1jBek8AUFcOd1yo6Dcb2ZLED4ga+wck4J/8rDOHyYr&#10;zLQ7845ORWhEhLDPUIEJoc+k9JUhi37ueuLo1W6wGKIcGqkHPEe47eRTkjxLiy3HBYM9vRuqDsXR&#10;Kuh/qrZc1N+LjeHtYfz63aafxZ9S08fx7RVEoDHcw7f2h1bwksL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ouxQAAANsAAAAPAAAAAAAAAAAAAAAAAJgCAABkcnMv&#10;ZG93bnJldi54bWxQSwUGAAAAAAQABAD1AAAAigMAAAAA&#10;" fillcolor="fuchsia" strokecolor="fuchsia" strokeweight=".65pt"/>
                      <v:rect id="Rectangle 74" o:spid="_x0000_s1098" style="position:absolute;left:3638;top:32975;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17B8E" w:rsidRDefault="00617B8E" w:rsidP="00F364DB">
                              <w:r>
                                <w:rPr>
                                  <w:rFonts w:ascii="Arial" w:hAnsi="Arial" w:cs="Arial"/>
                                  <w:color w:val="000000"/>
                                  <w:sz w:val="14"/>
                                  <w:szCs w:val="14"/>
                                </w:rPr>
                                <w:t>0</w:t>
                              </w:r>
                            </w:p>
                          </w:txbxContent>
                        </v:textbox>
                      </v:rect>
                      <v:rect id="Rectangle 75" o:spid="_x0000_s1099" style="position:absolute;left:3162;top:29876;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17B8E" w:rsidRDefault="00617B8E" w:rsidP="00F364DB">
                              <w:r>
                                <w:rPr>
                                  <w:rFonts w:ascii="Arial" w:hAnsi="Arial" w:cs="Arial"/>
                                  <w:color w:val="000000"/>
                                  <w:sz w:val="14"/>
                                  <w:szCs w:val="14"/>
                                </w:rPr>
                                <w:t>10</w:t>
                              </w:r>
                            </w:p>
                          </w:txbxContent>
                        </v:textbox>
                      </v:rect>
                      <v:rect id="Rectangle 76" o:spid="_x0000_s1100" style="position:absolute;left:3162;top:26784;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17B8E" w:rsidRDefault="00617B8E" w:rsidP="00F364DB">
                              <w:r>
                                <w:rPr>
                                  <w:rFonts w:ascii="Arial" w:hAnsi="Arial" w:cs="Arial"/>
                                  <w:color w:val="000000"/>
                                  <w:sz w:val="14"/>
                                  <w:szCs w:val="14"/>
                                </w:rPr>
                                <w:t>20</w:t>
                              </w:r>
                            </w:p>
                          </w:txbxContent>
                        </v:textbox>
                      </v:rect>
                      <v:rect id="Rectangle 77" o:spid="_x0000_s1101" style="position:absolute;left:3162;top:23698;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17B8E" w:rsidRDefault="00617B8E" w:rsidP="00F364DB">
                              <w:r>
                                <w:rPr>
                                  <w:rFonts w:ascii="Arial" w:hAnsi="Arial" w:cs="Arial"/>
                                  <w:color w:val="000000"/>
                                  <w:sz w:val="14"/>
                                  <w:szCs w:val="14"/>
                                </w:rPr>
                                <w:t>30</w:t>
                              </w:r>
                            </w:p>
                          </w:txbxContent>
                        </v:textbox>
                      </v:rect>
                      <v:rect id="Rectangle 78" o:spid="_x0000_s1102" style="position:absolute;left:3162;top:20605;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17B8E" w:rsidRDefault="00617B8E" w:rsidP="00F364DB">
                              <w:r>
                                <w:rPr>
                                  <w:rFonts w:ascii="Arial" w:hAnsi="Arial" w:cs="Arial"/>
                                  <w:color w:val="000000"/>
                                  <w:sz w:val="14"/>
                                  <w:szCs w:val="14"/>
                                </w:rPr>
                                <w:t>40</w:t>
                              </w:r>
                            </w:p>
                          </w:txbxContent>
                        </v:textbox>
                      </v:rect>
                      <v:rect id="Rectangle 79" o:spid="_x0000_s1103" style="position:absolute;left:3162;top:17506;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617B8E" w:rsidRDefault="00617B8E" w:rsidP="00F364DB">
                              <w:r>
                                <w:rPr>
                                  <w:rFonts w:ascii="Arial" w:hAnsi="Arial" w:cs="Arial"/>
                                  <w:color w:val="000000"/>
                                  <w:sz w:val="14"/>
                                  <w:szCs w:val="14"/>
                                </w:rPr>
                                <w:t>50</w:t>
                              </w:r>
                            </w:p>
                          </w:txbxContent>
                        </v:textbox>
                      </v:rect>
                      <v:rect id="Rectangle 80" o:spid="_x0000_s1104" style="position:absolute;left:3162;top:14414;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60</w:t>
                              </w:r>
                            </w:p>
                          </w:txbxContent>
                        </v:textbox>
                      </v:rect>
                      <v:rect id="Rectangle 81" o:spid="_x0000_s1105" style="position:absolute;left:3162;top:11322;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617B8E" w:rsidRDefault="00617B8E" w:rsidP="00F364DB">
                              <w:r>
                                <w:rPr>
                                  <w:rFonts w:ascii="Arial" w:hAnsi="Arial" w:cs="Arial"/>
                                  <w:color w:val="000000"/>
                                  <w:sz w:val="14"/>
                                  <w:szCs w:val="14"/>
                                </w:rPr>
                                <w:t>70</w:t>
                              </w:r>
                            </w:p>
                          </w:txbxContent>
                        </v:textbox>
                      </v:rect>
                      <v:rect id="Rectangle 82" o:spid="_x0000_s1106" style="position:absolute;left:3162;top:8235;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617B8E" w:rsidRDefault="00617B8E" w:rsidP="00F364DB">
                              <w:r>
                                <w:rPr>
                                  <w:rFonts w:ascii="Arial" w:hAnsi="Arial" w:cs="Arial"/>
                                  <w:color w:val="000000"/>
                                  <w:sz w:val="14"/>
                                  <w:szCs w:val="14"/>
                                </w:rPr>
                                <w:t>80</w:t>
                              </w:r>
                            </w:p>
                          </w:txbxContent>
                        </v:textbox>
                      </v:rect>
                      <v:rect id="Rectangle 83" o:spid="_x0000_s1107" style="position:absolute;left:3162;top:5137;width:99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90</w:t>
                              </w:r>
                            </w:p>
                          </w:txbxContent>
                        </v:textbox>
                      </v:rect>
                      <v:rect id="Rectangle 84" o:spid="_x0000_s1108" style="position:absolute;left:2679;top:2044;width:148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100</w:t>
                              </w:r>
                            </w:p>
                          </w:txbxContent>
                        </v:textbox>
                      </v:rect>
                      <v:rect id="Rectangle 85" o:spid="_x0000_s1109" style="position:absolute;left:6203;top:34213;width:49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5</w:t>
                              </w:r>
                            </w:p>
                          </w:txbxContent>
                        </v:textbox>
                      </v:rect>
                      <v:rect id="Rectangle 86" o:spid="_x0000_s1110" style="position:absolute;left:9569;top:3421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6</w:t>
                              </w:r>
                            </w:p>
                          </w:txbxContent>
                        </v:textbox>
                      </v:rect>
                      <v:rect id="Rectangle 87" o:spid="_x0000_s1111" style="position:absolute;left:12928;top:3421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7</w:t>
                              </w:r>
                            </w:p>
                          </w:txbxContent>
                        </v:textbox>
                      </v:rect>
                      <v:rect id="Rectangle 88" o:spid="_x0000_s1112" style="position:absolute;left:16300;top:3421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8</w:t>
                              </w:r>
                            </w:p>
                          </w:txbxContent>
                        </v:textbox>
                      </v:rect>
                      <v:rect id="Rectangle 89" o:spid="_x0000_s1113" style="position:absolute;left:19665;top:34213;width:49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9</w:t>
                              </w:r>
                            </w:p>
                          </w:txbxContent>
                        </v:textbox>
                      </v:rect>
                      <v:rect id="Rectangle 90" o:spid="_x0000_s1114" style="position:absolute;left:22783;top:3421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617B8E" w:rsidRDefault="00617B8E" w:rsidP="00F364DB">
                              <w:r>
                                <w:rPr>
                                  <w:rFonts w:ascii="Arial" w:hAnsi="Arial" w:cs="Arial"/>
                                  <w:color w:val="000000"/>
                                  <w:sz w:val="14"/>
                                  <w:szCs w:val="14"/>
                                </w:rPr>
                                <w:t>10</w:t>
                              </w:r>
                            </w:p>
                          </w:txbxContent>
                        </v:textbox>
                      </v:rect>
                      <v:rect id="Rectangle 91" o:spid="_x0000_s1115" style="position:absolute;left:26149;top:3421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11</w:t>
                              </w:r>
                            </w:p>
                          </w:txbxContent>
                        </v:textbox>
                      </v:rect>
                      <v:rect id="Rectangle 92" o:spid="_x0000_s1116" style="position:absolute;left:29508;top:3421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17B8E" w:rsidRDefault="00617B8E" w:rsidP="00F364DB">
                              <w:r>
                                <w:rPr>
                                  <w:rFonts w:ascii="Arial" w:hAnsi="Arial" w:cs="Arial"/>
                                  <w:color w:val="000000"/>
                                  <w:sz w:val="14"/>
                                  <w:szCs w:val="14"/>
                                </w:rPr>
                                <w:t>12</w:t>
                              </w:r>
                            </w:p>
                          </w:txbxContent>
                        </v:textbox>
                      </v:rect>
                      <v:rect id="Rectangle 93" o:spid="_x0000_s1117" style="position:absolute;left:32880;top:3421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13</w:t>
                              </w:r>
                            </w:p>
                          </w:txbxContent>
                        </v:textbox>
                      </v:rect>
                      <v:rect id="Rectangle 94" o:spid="_x0000_s1118" style="position:absolute;left:36233;top:3421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14</w:t>
                              </w:r>
                            </w:p>
                          </w:txbxContent>
                        </v:textbox>
                      </v:rect>
                      <v:rect id="Rectangle 95" o:spid="_x0000_s1119" style="position:absolute;left:39604;top:3421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15</w:t>
                              </w:r>
                            </w:p>
                          </w:txbxContent>
                        </v:textbox>
                      </v:rect>
                      <v:rect id="Rectangle 96" o:spid="_x0000_s1120" style="position:absolute;left:42970;top:3421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16</w:t>
                              </w:r>
                            </w:p>
                          </w:txbxContent>
                        </v:textbox>
                      </v:rect>
                      <v:rect id="Rectangle 97" o:spid="_x0000_s1121" style="position:absolute;left:46329;top:3421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17</w:t>
                              </w:r>
                            </w:p>
                          </w:txbxContent>
                        </v:textbox>
                      </v:rect>
                      <v:rect id="Rectangle 98" o:spid="_x0000_s1122" style="position:absolute;left:49695;top:3421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617B8E" w:rsidRDefault="00617B8E" w:rsidP="00F364DB">
                              <w:r>
                                <w:rPr>
                                  <w:rFonts w:ascii="Arial" w:hAnsi="Arial" w:cs="Arial"/>
                                  <w:color w:val="000000"/>
                                  <w:sz w:val="14"/>
                                  <w:szCs w:val="14"/>
                                </w:rPr>
                                <w:t>18</w:t>
                              </w:r>
                            </w:p>
                          </w:txbxContent>
                        </v:textbox>
                      </v:rect>
                      <v:rect id="Rectangle 99" o:spid="_x0000_s1123" style="position:absolute;left:27508;top:35674;width:168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617B8E" w:rsidRDefault="00617B8E" w:rsidP="00F364DB">
                              <w:r>
                                <w:rPr>
                                  <w:rFonts w:ascii="Arial" w:hAnsi="Arial" w:cs="Arial"/>
                                  <w:b/>
                                  <w:bCs/>
                                  <w:color w:val="000000"/>
                                  <w:sz w:val="14"/>
                                  <w:szCs w:val="14"/>
                                </w:rPr>
                                <w:t>Age</w:t>
                              </w:r>
                            </w:p>
                          </w:txbxContent>
                        </v:textbox>
                      </v:rect>
                      <v:rect id="Rectangle 100" o:spid="_x0000_s1124" style="position:absolute;left:5036;top:9314;width:1022;height:864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xW8UA&#10;AADcAAAADwAAAGRycy9kb3ducmV2LnhtbESPQWvCQBCF7wX/wzIFL6VuIq1to6sEIdRTQW09D9kx&#10;Cc3Ohuxq4r93DoXeZnhv3vtmtRldq67Uh8azgXSWgCIuvW24MvB9LJ7fQYWIbLH1TAZuFGCznjys&#10;MLN+4D1dD7FSEsIhQwN1jF2mdShrchhmviMW7ex7h1HWvtK2x0HCXavnSbLQDhuWhho72tZU/h4u&#10;zsBrgqfj7euNt08vebf/iMXp0/4YM30c8yWoSGP8N/9d76zgp0Ir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rFbxQAAANwAAAAPAAAAAAAAAAAAAAAAAJgCAABkcnMv&#10;ZG93bnJldi54bWxQSwUGAAAAAAQABAD1AAAAigMAAAAA&#10;" filled="f" stroked="f">
                        <v:textbox style="mso-fit-shape-to-text:t" inset="0,0,0,0">
                          <w:txbxContent>
                            <w:p w:rsidR="00617B8E" w:rsidRDefault="00617B8E" w:rsidP="00F364DB">
                              <w:r>
                                <w:rPr>
                                  <w:rFonts w:ascii="Arial" w:hAnsi="Arial" w:cs="Arial"/>
                                  <w:b/>
                                  <w:bCs/>
                                  <w:color w:val="000000"/>
                                  <w:sz w:val="14"/>
                                  <w:szCs w:val="14"/>
                                </w:rPr>
                                <w:t>% enrolled in school</w:t>
                              </w:r>
                            </w:p>
                          </w:txbxContent>
                        </v:textbox>
                      </v:rect>
                      <v:rect id="Rectangle 101" o:spid="_x0000_s1125" style="position:absolute;left:52546;top:16719;width:619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WcMA&#10;AADcAAAADwAAAGRycy9kb3ducmV2LnhtbERPTWvCQBC9C/0PyxR60409lJi6ihZCPHhRC81xyE6z&#10;odnZNLsm8d+7QqG3ebzPWW8n24qBet84VrBcJCCIK6cbrhV8XvJ5CsIHZI2tY1JwIw/bzdNsjZl2&#10;I59oOIdaxBD2GSowIXSZlL4yZNEvXEccuW/XWwwR9rXUPY4x3LbyNUnepMWGY4PBjj4MVT/nq1VA&#10;7W/+laa7U1ns91XS6dIUx1Kpl+dp9w4i0BT+xX/ug47zlyt4PB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KeWcMAAADcAAAADwAAAAAAAAAAAAAAAACYAgAAZHJzL2Rv&#10;d25yZXYueG1sUEsFBgAAAAAEAAQA9QAAAIgDAAAAAA==&#10;" strokeweight="0"/>
                      <v:line id="Line 102" o:spid="_x0000_s1126" style="position:absolute;visibility:visible;mso-wrap-style:square" from="52838,17373" to="54578,1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KAMUAAADcAAAADwAAAGRycy9kb3ducmV2LnhtbESPT4vCQAzF7wt+hyGCF9GpHty1Oop/&#10;EIQ9bdeLt9CJbbGTKZ3R1m9vDgt7S3gv7/2y3vauVk9qQ+XZwGyagCLOva24MHD5PU2+QIWIbLH2&#10;TAZeFGC7GXysMbW+4x96ZrFQEsIhRQNljE2qdchLchimviEW7eZbh1HWttC2xU7CXa3nSbLQDiuW&#10;hhIbOpSU37OHM9DsaHzN4uJ1vS3H35373B8P/d6Y0bDfrUBF6uO/+e/6bAV/LvjyjEygN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SKAMUAAADcAAAADwAAAAAAAAAA&#10;AAAAAAChAgAAZHJzL2Rvd25yZXYueG1sUEsFBgAAAAAEAAQA+QAAAJMDAAAAAA==&#10;" strokecolor="navy" strokeweight=".65pt"/>
                      <v:shape id="Freeform 103" o:spid="_x0000_s1127" style="position:absolute;left:53479;top:17157;width:438;height:432;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DnsIA&#10;AADcAAAADwAAAGRycy9kb3ducmV2LnhtbERPTWvCQBC9C/6HZYTedBOhoUZXkUKhEAiYePA4ZMck&#10;mp1Ns6vGf+8WCr3N433OZjeaTtxpcK1lBfEiAkFcWd1yreBYfs0/QDiPrLGzTAqe5GC3nU42mGr7&#10;4APdC1+LEMIuRQWN930qpasaMugWticO3NkOBn2AQy31gI8Qbjq5jKJEGmw5NDTY02dD1bW4GQXF&#10;aXW5Ze9Z/KxllRfsftq8TJR6m437NQhPo/8X/7m/dZi/jOH3mXCB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sOewgAAANwAAAAPAAAAAAAAAAAAAAAAAJgCAABkcnMvZG93&#10;bnJldi54bWxQSwUGAAAAAAQABAD1AAAAhwMAAAAA&#10;" path="m35,l69,34,35,68,,34,35,xe" fillcolor="navy" strokecolor="navy" strokeweight=".65pt">
                        <v:path arrowok="t" o:connecttype="custom" o:connectlocs="22225,0;43815,21590;22225,43180;0,21590;22225,0" o:connectangles="0,0,0,0,0"/>
                      </v:shape>
                      <v:rect id="Rectangle 104" o:spid="_x0000_s1128" style="position:absolute;left:54775;top:16903;width:296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 male</w:t>
                              </w:r>
                            </w:p>
                          </w:txbxContent>
                        </v:textbox>
                      </v:rect>
                      <v:line id="Line 105" o:spid="_x0000_s1129" style="position:absolute;visibility:visible;mso-wrap-style:square" from="52838,18656" to="54578,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WrQb8AAADcAAAADwAAAGRycy9kb3ducmV2LnhtbERP24rCMBB9X/Afwgi+rakVFukaxQsF&#10;983bB4zNbFJsJqWJWv9+syD4Nodznfmyd424Uxdqzwom4wwEceV1zUbB+VR+zkCEiKyx8UwKnhRg&#10;uRh8zLHQ/sEHuh+jESmEQ4EKbIxtIWWoLDkMY98SJ+7Xdw5jgp2RusNHCneNzLPsSzqsOTVYbGlj&#10;qboeb05Byavttsnt2uw3+525mIn+yUqlRsN+9Q0iUh/f4pd7p9P8fAr/z6QL5O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LWrQb8AAADcAAAADwAAAAAAAAAAAAAAAACh&#10;AgAAZHJzL2Rvd25yZXYueG1sUEsFBgAAAAAEAAQA+QAAAI0DAAAAAA==&#10;" strokecolor="fuchsia" strokeweight=".65pt"/>
                      <v:rect id="Rectangle 106" o:spid="_x0000_s1130" style="position:absolute;left:53479;top:18434;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aFcQA&#10;AADcAAAADwAAAGRycy9kb3ducmV2LnhtbERPTWvCQBC9F/wPyxS81Y0SSkmzSikIJR6kqYLehuwk&#10;G8zOxuw2xn/fLRR6m8f7nHwz2U6MNPjWsYLlIgFBXDndcqPg8LV9egHhA7LGzjEpuJOHzXr2kGOm&#10;3Y0/aSxDI2II+wwVmBD6TEpfGbLoF64njlztBoshwqGResBbDLedXCXJs7TYcmww2NO7oepSflsF&#10;/alqD2l9TLeGi8u0PxfLXXlVav44vb2CCDSFf/Gf+0PH+asU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WhXEAAAA3AAAAA8AAAAAAAAAAAAAAAAAmAIAAGRycy9k&#10;b3ducmV2LnhtbFBLBQYAAAAABAAEAPUAAACJAwAAAAA=&#10;" fillcolor="fuchsia" strokecolor="fuchsia" strokeweight=".65pt"/>
                      <v:rect id="Rectangle 107" o:spid="_x0000_s1131" style="position:absolute;left:54775;top:18186;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617B8E" w:rsidRDefault="00617B8E" w:rsidP="00F364DB">
                              <w:r>
                                <w:rPr>
                                  <w:rFonts w:ascii="Arial" w:hAnsi="Arial" w:cs="Arial"/>
                                  <w:color w:val="000000"/>
                                  <w:sz w:val="14"/>
                                  <w:szCs w:val="14"/>
                                </w:rPr>
                                <w:t>% female</w:t>
                              </w:r>
                            </w:p>
                          </w:txbxContent>
                        </v:textbox>
                      </v:rect>
                      <w10:anchorlock/>
                    </v:group>
                  </w:pict>
                </mc:Fallback>
              </mc:AlternateContent>
            </w:r>
          </w:p>
        </w:tc>
      </w:tr>
    </w:tbl>
    <w:p w:rsidR="00BA1D08" w:rsidRPr="00413D58" w:rsidRDefault="00BA1D08" w:rsidP="00BA1D08"/>
    <w:p w:rsidR="00BA1D08" w:rsidRPr="00413D58" w:rsidRDefault="00BA1D08" w:rsidP="00BA1D08"/>
    <w:p w:rsidR="00A11254" w:rsidRDefault="00A11254"/>
    <w:tbl>
      <w:tblPr>
        <w:tblStyle w:val="TableGrid"/>
        <w:tblW w:w="0" w:type="auto"/>
        <w:tblLook w:val="04A0" w:firstRow="1" w:lastRow="0" w:firstColumn="1" w:lastColumn="0" w:noHBand="0" w:noVBand="1"/>
        <w:tblCaption w:val="Table 29: Female percentage shares of enrolments in post secondary education and rural training centres, 2011"/>
      </w:tblPr>
      <w:tblGrid>
        <w:gridCol w:w="6771"/>
        <w:gridCol w:w="2799"/>
      </w:tblGrid>
      <w:tr w:rsidR="00BA1D08" w:rsidRPr="00413D58" w:rsidTr="00D339A4">
        <w:trPr>
          <w:tblHeader/>
        </w:trPr>
        <w:tc>
          <w:tcPr>
            <w:tcW w:w="9570" w:type="dxa"/>
            <w:gridSpan w:val="2"/>
            <w:shd w:val="clear" w:color="auto" w:fill="BFBFBF" w:themeFill="background1" w:themeFillShade="BF"/>
          </w:tcPr>
          <w:p w:rsidR="00743573" w:rsidRDefault="00BA1D08">
            <w:pPr>
              <w:jc w:val="both"/>
            </w:pPr>
            <w:r w:rsidRPr="00413D58">
              <w:t xml:space="preserve">Table </w:t>
            </w:r>
            <w:r w:rsidR="00A11254">
              <w:t>29</w:t>
            </w:r>
            <w:r w:rsidRPr="00413D58">
              <w:t xml:space="preserve">: Female percentage shares of enrolments in </w:t>
            </w:r>
            <w:proofErr w:type="spellStart"/>
            <w:r w:rsidRPr="00413D58">
              <w:t>post secondary</w:t>
            </w:r>
            <w:proofErr w:type="spellEnd"/>
            <w:r w:rsidRPr="00413D58">
              <w:t xml:space="preserve"> education and rural training centres, 2011</w:t>
            </w:r>
          </w:p>
        </w:tc>
      </w:tr>
      <w:tr w:rsidR="00BA1D08" w:rsidRPr="00413D58" w:rsidTr="00C05FAA">
        <w:tc>
          <w:tcPr>
            <w:tcW w:w="6771" w:type="dxa"/>
          </w:tcPr>
          <w:p w:rsidR="00BA1D08" w:rsidRPr="00413D58" w:rsidRDefault="00BA1D08" w:rsidP="00C05FAA">
            <w:pPr>
              <w:jc w:val="both"/>
            </w:pPr>
            <w:r w:rsidRPr="00413D58">
              <w:t>Scholarships (all funding sources)</w:t>
            </w:r>
          </w:p>
        </w:tc>
        <w:tc>
          <w:tcPr>
            <w:tcW w:w="2799" w:type="dxa"/>
          </w:tcPr>
          <w:p w:rsidR="00BA1D08" w:rsidRPr="00413D58" w:rsidRDefault="00BA1D08" w:rsidP="00C05FAA">
            <w:pPr>
              <w:jc w:val="center"/>
            </w:pPr>
            <w:r w:rsidRPr="00413D58">
              <w:t>45.5</w:t>
            </w:r>
          </w:p>
        </w:tc>
      </w:tr>
      <w:tr w:rsidR="00BA1D08" w:rsidRPr="00413D58" w:rsidTr="00C05FAA">
        <w:tc>
          <w:tcPr>
            <w:tcW w:w="9570" w:type="dxa"/>
            <w:gridSpan w:val="2"/>
            <w:shd w:val="clear" w:color="auto" w:fill="BFBFBF" w:themeFill="background1" w:themeFillShade="BF"/>
          </w:tcPr>
          <w:p w:rsidR="00BA1D08" w:rsidRPr="00413D58" w:rsidRDefault="00BA1D08" w:rsidP="00C05FAA">
            <w:pPr>
              <w:jc w:val="center"/>
            </w:pPr>
          </w:p>
        </w:tc>
      </w:tr>
      <w:tr w:rsidR="00BA1D08" w:rsidRPr="00413D58" w:rsidTr="00C05FAA">
        <w:tc>
          <w:tcPr>
            <w:tcW w:w="6771" w:type="dxa"/>
          </w:tcPr>
          <w:p w:rsidR="00BA1D08" w:rsidRPr="00413D58" w:rsidRDefault="00BA1D08" w:rsidP="00C05FAA">
            <w:pPr>
              <w:jc w:val="both"/>
            </w:pPr>
            <w:proofErr w:type="spellStart"/>
            <w:r w:rsidRPr="00413D58">
              <w:t>Post Secondary</w:t>
            </w:r>
            <w:proofErr w:type="spellEnd"/>
            <w:r w:rsidRPr="00413D58">
              <w:t xml:space="preserve"> Institutions:</w:t>
            </w:r>
          </w:p>
        </w:tc>
        <w:tc>
          <w:tcPr>
            <w:tcW w:w="2799" w:type="dxa"/>
          </w:tcPr>
          <w:p w:rsidR="00BA1D08" w:rsidRPr="00413D58" w:rsidRDefault="00BA1D08" w:rsidP="00C05FAA">
            <w:pPr>
              <w:jc w:val="center"/>
            </w:pPr>
          </w:p>
        </w:tc>
      </w:tr>
      <w:tr w:rsidR="00BA1D08" w:rsidRPr="00413D58" w:rsidTr="00C05FAA">
        <w:tc>
          <w:tcPr>
            <w:tcW w:w="6771" w:type="dxa"/>
          </w:tcPr>
          <w:p w:rsidR="00BA1D08" w:rsidRPr="00413D58" w:rsidRDefault="00BA1D08" w:rsidP="00C05FAA">
            <w:pPr>
              <w:jc w:val="right"/>
            </w:pPr>
            <w:r w:rsidRPr="00413D58">
              <w:t>Vanuatu Maritime College</w:t>
            </w:r>
          </w:p>
        </w:tc>
        <w:tc>
          <w:tcPr>
            <w:tcW w:w="2799" w:type="dxa"/>
          </w:tcPr>
          <w:p w:rsidR="00BA1D08" w:rsidRPr="00413D58" w:rsidRDefault="00BA1D08" w:rsidP="00C05FAA">
            <w:pPr>
              <w:jc w:val="center"/>
            </w:pPr>
            <w:r w:rsidRPr="00413D58">
              <w:t>20.3</w:t>
            </w:r>
          </w:p>
        </w:tc>
      </w:tr>
      <w:tr w:rsidR="00BA1D08" w:rsidRPr="00413D58" w:rsidTr="00C05FAA">
        <w:tc>
          <w:tcPr>
            <w:tcW w:w="6771" w:type="dxa"/>
          </w:tcPr>
          <w:p w:rsidR="00BA1D08" w:rsidRPr="00413D58" w:rsidRDefault="00BA1D08" w:rsidP="00C05FAA">
            <w:pPr>
              <w:jc w:val="right"/>
            </w:pPr>
            <w:r w:rsidRPr="00413D58">
              <w:t>Vanuatu Institute of Teacher Education</w:t>
            </w:r>
          </w:p>
        </w:tc>
        <w:tc>
          <w:tcPr>
            <w:tcW w:w="2799" w:type="dxa"/>
          </w:tcPr>
          <w:p w:rsidR="00BA1D08" w:rsidRPr="00413D58" w:rsidRDefault="00BA1D08" w:rsidP="00C05FAA">
            <w:pPr>
              <w:jc w:val="center"/>
            </w:pPr>
            <w:r w:rsidRPr="00413D58">
              <w:t>54.4</w:t>
            </w:r>
          </w:p>
        </w:tc>
      </w:tr>
      <w:tr w:rsidR="00BA1D08" w:rsidRPr="00413D58" w:rsidTr="00C05FAA">
        <w:tc>
          <w:tcPr>
            <w:tcW w:w="6771" w:type="dxa"/>
          </w:tcPr>
          <w:p w:rsidR="00BA1D08" w:rsidRPr="00413D58" w:rsidRDefault="00BA1D08" w:rsidP="00C05FAA">
            <w:pPr>
              <w:jc w:val="right"/>
            </w:pPr>
            <w:r w:rsidRPr="00413D58">
              <w:t>Vanuatu Institute of Technology</w:t>
            </w:r>
          </w:p>
        </w:tc>
        <w:tc>
          <w:tcPr>
            <w:tcW w:w="2799" w:type="dxa"/>
          </w:tcPr>
          <w:p w:rsidR="00BA1D08" w:rsidRPr="00413D58" w:rsidRDefault="00BA1D08" w:rsidP="00C05FAA">
            <w:pPr>
              <w:jc w:val="center"/>
            </w:pPr>
            <w:r w:rsidRPr="00413D58">
              <w:t>41.2</w:t>
            </w:r>
          </w:p>
        </w:tc>
      </w:tr>
      <w:tr w:rsidR="00BA1D08" w:rsidRPr="00413D58" w:rsidTr="00C05FAA">
        <w:tc>
          <w:tcPr>
            <w:tcW w:w="6771" w:type="dxa"/>
          </w:tcPr>
          <w:p w:rsidR="00BA1D08" w:rsidRPr="00413D58" w:rsidRDefault="00BA1D08" w:rsidP="00C05FAA">
            <w:pPr>
              <w:jc w:val="right"/>
            </w:pPr>
            <w:r w:rsidRPr="00413D58">
              <w:t>Vanuatu Nursing College</w:t>
            </w:r>
          </w:p>
        </w:tc>
        <w:tc>
          <w:tcPr>
            <w:tcW w:w="2799" w:type="dxa"/>
          </w:tcPr>
          <w:p w:rsidR="00BA1D08" w:rsidRPr="00413D58" w:rsidRDefault="00BA1D08" w:rsidP="00C05FAA">
            <w:pPr>
              <w:jc w:val="center"/>
            </w:pPr>
            <w:r w:rsidRPr="00413D58">
              <w:t>51.2</w:t>
            </w:r>
          </w:p>
        </w:tc>
      </w:tr>
      <w:tr w:rsidR="00BA1D08" w:rsidRPr="00413D58" w:rsidTr="00C05FAA">
        <w:tc>
          <w:tcPr>
            <w:tcW w:w="6771" w:type="dxa"/>
          </w:tcPr>
          <w:p w:rsidR="00BA1D08" w:rsidRPr="00413D58" w:rsidRDefault="00BA1D08" w:rsidP="00C05FAA">
            <w:pPr>
              <w:jc w:val="right"/>
            </w:pPr>
            <w:r w:rsidRPr="00413D58">
              <w:t>Vanuatu Police Training College</w:t>
            </w:r>
          </w:p>
        </w:tc>
        <w:tc>
          <w:tcPr>
            <w:tcW w:w="2799" w:type="dxa"/>
          </w:tcPr>
          <w:p w:rsidR="00BA1D08" w:rsidRPr="00413D58" w:rsidRDefault="00BA1D08" w:rsidP="00C05FAA">
            <w:pPr>
              <w:jc w:val="center"/>
            </w:pPr>
            <w:r w:rsidRPr="00413D58">
              <w:t>27.1</w:t>
            </w:r>
          </w:p>
        </w:tc>
      </w:tr>
      <w:tr w:rsidR="00BA1D08" w:rsidRPr="00413D58" w:rsidTr="00C05FAA">
        <w:tc>
          <w:tcPr>
            <w:tcW w:w="6771" w:type="dxa"/>
          </w:tcPr>
          <w:p w:rsidR="00BA1D08" w:rsidRPr="00413D58" w:rsidRDefault="00BA1D08" w:rsidP="00C05FAA">
            <w:pPr>
              <w:jc w:val="right"/>
            </w:pPr>
            <w:r w:rsidRPr="00413D58">
              <w:t>Australia Pacific Training College</w:t>
            </w:r>
          </w:p>
        </w:tc>
        <w:tc>
          <w:tcPr>
            <w:tcW w:w="2799" w:type="dxa"/>
          </w:tcPr>
          <w:p w:rsidR="00BA1D08" w:rsidRPr="00413D58" w:rsidRDefault="00BA1D08" w:rsidP="00C05FAA">
            <w:pPr>
              <w:jc w:val="center"/>
            </w:pPr>
            <w:r w:rsidRPr="00413D58">
              <w:t>34.9</w:t>
            </w:r>
          </w:p>
        </w:tc>
      </w:tr>
      <w:tr w:rsidR="00BA1D08" w:rsidRPr="00413D58" w:rsidTr="00C05FAA">
        <w:tc>
          <w:tcPr>
            <w:tcW w:w="6771" w:type="dxa"/>
          </w:tcPr>
          <w:p w:rsidR="00BA1D08" w:rsidRPr="00413D58" w:rsidRDefault="00BA1D08" w:rsidP="00C05FAA">
            <w:pPr>
              <w:jc w:val="right"/>
            </w:pPr>
            <w:r w:rsidRPr="00413D58">
              <w:t>TVET Training Centres</w:t>
            </w:r>
          </w:p>
        </w:tc>
        <w:tc>
          <w:tcPr>
            <w:tcW w:w="2799" w:type="dxa"/>
          </w:tcPr>
          <w:p w:rsidR="00BA1D08" w:rsidRPr="00413D58" w:rsidRDefault="00BA1D08" w:rsidP="00C05FAA">
            <w:pPr>
              <w:jc w:val="center"/>
            </w:pPr>
            <w:r w:rsidRPr="00413D58">
              <w:t>43.1</w:t>
            </w:r>
          </w:p>
        </w:tc>
      </w:tr>
      <w:tr w:rsidR="00BA1D08" w:rsidRPr="00413D58" w:rsidTr="00C05FAA">
        <w:tc>
          <w:tcPr>
            <w:tcW w:w="6771" w:type="dxa"/>
          </w:tcPr>
          <w:p w:rsidR="00BA1D08" w:rsidRPr="00413D58" w:rsidRDefault="00BA1D08" w:rsidP="00C05FAA">
            <w:pPr>
              <w:jc w:val="right"/>
            </w:pPr>
            <w:r w:rsidRPr="00413D58">
              <w:t>Total enrolees in the above post-secondary institutions</w:t>
            </w:r>
          </w:p>
        </w:tc>
        <w:tc>
          <w:tcPr>
            <w:tcW w:w="2799" w:type="dxa"/>
          </w:tcPr>
          <w:p w:rsidR="00BA1D08" w:rsidRPr="00413D58" w:rsidRDefault="00BA1D08" w:rsidP="00C05FAA">
            <w:pPr>
              <w:jc w:val="center"/>
            </w:pPr>
            <w:r w:rsidRPr="00413D58">
              <w:t>38.5</w:t>
            </w:r>
          </w:p>
        </w:tc>
      </w:tr>
      <w:tr w:rsidR="00BA1D08" w:rsidRPr="00413D58" w:rsidTr="00C05FAA">
        <w:tc>
          <w:tcPr>
            <w:tcW w:w="9570" w:type="dxa"/>
            <w:gridSpan w:val="2"/>
            <w:shd w:val="clear" w:color="auto" w:fill="BFBFBF" w:themeFill="background1" w:themeFillShade="BF"/>
          </w:tcPr>
          <w:p w:rsidR="00BA1D08" w:rsidRPr="00413D58" w:rsidRDefault="00BA1D08" w:rsidP="00C05FAA">
            <w:pPr>
              <w:jc w:val="center"/>
            </w:pPr>
          </w:p>
        </w:tc>
      </w:tr>
      <w:tr w:rsidR="00BA1D08" w:rsidRPr="00413D58" w:rsidTr="00C05FAA">
        <w:tc>
          <w:tcPr>
            <w:tcW w:w="6771" w:type="dxa"/>
          </w:tcPr>
          <w:p w:rsidR="00BA1D08" w:rsidRPr="00413D58" w:rsidRDefault="00BA1D08" w:rsidP="00C05FAA">
            <w:pPr>
              <w:jc w:val="both"/>
            </w:pPr>
            <w:r w:rsidRPr="00413D58">
              <w:t>Rural Training Centres</w:t>
            </w:r>
          </w:p>
        </w:tc>
        <w:tc>
          <w:tcPr>
            <w:tcW w:w="2799" w:type="dxa"/>
          </w:tcPr>
          <w:p w:rsidR="00BA1D08" w:rsidRPr="00413D58" w:rsidRDefault="00BA1D08" w:rsidP="00C05FAA">
            <w:pPr>
              <w:jc w:val="center"/>
            </w:pPr>
            <w:r w:rsidRPr="00413D58">
              <w:t>29.6</w:t>
            </w:r>
          </w:p>
        </w:tc>
      </w:tr>
      <w:tr w:rsidR="00BA1D08" w:rsidRPr="00413D58" w:rsidTr="00C05FAA">
        <w:tc>
          <w:tcPr>
            <w:tcW w:w="9570" w:type="dxa"/>
            <w:gridSpan w:val="2"/>
          </w:tcPr>
          <w:p w:rsidR="00BA1D08" w:rsidRPr="00413D58" w:rsidRDefault="00BA1D08" w:rsidP="00C05FAA">
            <w:pPr>
              <w:jc w:val="both"/>
            </w:pPr>
            <w:r w:rsidRPr="00413D58">
              <w:t>Source and Note: VEMIS.  No data were available to VEMIS in respect of the USP Extension Centre.</w:t>
            </w:r>
          </w:p>
        </w:tc>
      </w:tr>
    </w:tbl>
    <w:p w:rsidR="00BA1D08" w:rsidRPr="00413D58" w:rsidRDefault="00BA1D08" w:rsidP="00BA1D08">
      <w:pPr>
        <w:jc w:val="both"/>
      </w:pPr>
      <w:r w:rsidRPr="00413D58">
        <w:t xml:space="preserve"> </w:t>
      </w:r>
    </w:p>
    <w:p w:rsidR="00BA1D08" w:rsidRPr="00413D58" w:rsidRDefault="00BA1D08" w:rsidP="00BA1D08">
      <w:pPr>
        <w:jc w:val="both"/>
      </w:pPr>
      <w:r w:rsidRPr="00413D58">
        <w:t xml:space="preserve">Limited data are available contrasting the relative performance of males and females at school/college.  The most comprehensive relate to literacy and numeracy achievement at primary level.  The indicators available suggest that females generally out-perform males, albeit only slightly in some cases (see Table </w:t>
      </w:r>
      <w:r w:rsidR="00571727">
        <w:t>3</w:t>
      </w:r>
      <w:r w:rsidR="00694280">
        <w:t>0</w:t>
      </w:r>
      <w:r w:rsidRPr="00413D58">
        <w:t>).</w:t>
      </w:r>
    </w:p>
    <w:p w:rsidR="00142AAB" w:rsidRDefault="00142AAB">
      <w:r>
        <w:br w:type="page"/>
      </w:r>
    </w:p>
    <w:tbl>
      <w:tblPr>
        <w:tblStyle w:val="TableGrid"/>
        <w:tblW w:w="0" w:type="auto"/>
        <w:tblLook w:val="04A0" w:firstRow="1" w:lastRow="0" w:firstColumn="1" w:lastColumn="0" w:noHBand="0" w:noVBand="1"/>
        <w:tblCaption w:val="Table 30: Percentage indicators of literacy/numeracy achievement"/>
      </w:tblPr>
      <w:tblGrid>
        <w:gridCol w:w="6062"/>
        <w:gridCol w:w="1276"/>
        <w:gridCol w:w="1275"/>
        <w:gridCol w:w="957"/>
      </w:tblGrid>
      <w:tr w:rsidR="00BA1D08" w:rsidRPr="00413D58" w:rsidTr="00D339A4">
        <w:trPr>
          <w:tblHeader/>
        </w:trPr>
        <w:tc>
          <w:tcPr>
            <w:tcW w:w="9570" w:type="dxa"/>
            <w:gridSpan w:val="4"/>
            <w:shd w:val="clear" w:color="auto" w:fill="BFBFBF" w:themeFill="background1" w:themeFillShade="BF"/>
          </w:tcPr>
          <w:p w:rsidR="00743573" w:rsidRDefault="00BA1D08">
            <w:pPr>
              <w:jc w:val="both"/>
            </w:pPr>
            <w:r w:rsidRPr="00413D58">
              <w:lastRenderedPageBreak/>
              <w:t xml:space="preserve">Table </w:t>
            </w:r>
            <w:r w:rsidR="00571727">
              <w:t>3</w:t>
            </w:r>
            <w:r w:rsidR="00A11254">
              <w:t>0</w:t>
            </w:r>
            <w:r w:rsidRPr="00413D58">
              <w:t>: Percentage indicators of literacy/numeracy achievement</w:t>
            </w:r>
          </w:p>
        </w:tc>
      </w:tr>
      <w:tr w:rsidR="00BA1D08" w:rsidRPr="00413D58" w:rsidTr="00C05FAA">
        <w:tc>
          <w:tcPr>
            <w:tcW w:w="6062" w:type="dxa"/>
          </w:tcPr>
          <w:p w:rsidR="00BA1D08" w:rsidRPr="00413D58" w:rsidRDefault="00BA1D08" w:rsidP="00C05FAA">
            <w:pPr>
              <w:jc w:val="both"/>
            </w:pPr>
          </w:p>
        </w:tc>
        <w:tc>
          <w:tcPr>
            <w:tcW w:w="1276" w:type="dxa"/>
          </w:tcPr>
          <w:p w:rsidR="00BA1D08" w:rsidRPr="00413D58" w:rsidRDefault="00BA1D08" w:rsidP="00C05FAA">
            <w:pPr>
              <w:jc w:val="center"/>
            </w:pPr>
            <w:r w:rsidRPr="00413D58">
              <w:t>Females</w:t>
            </w:r>
          </w:p>
        </w:tc>
        <w:tc>
          <w:tcPr>
            <w:tcW w:w="1275" w:type="dxa"/>
          </w:tcPr>
          <w:p w:rsidR="00BA1D08" w:rsidRPr="00413D58" w:rsidRDefault="00BA1D08" w:rsidP="00C05FAA">
            <w:pPr>
              <w:jc w:val="center"/>
            </w:pPr>
            <w:r w:rsidRPr="00413D58">
              <w:t>Males</w:t>
            </w:r>
          </w:p>
        </w:tc>
        <w:tc>
          <w:tcPr>
            <w:tcW w:w="957" w:type="dxa"/>
          </w:tcPr>
          <w:p w:rsidR="00BA1D08" w:rsidRPr="00413D58" w:rsidRDefault="00BA1D08" w:rsidP="00C05FAA">
            <w:pPr>
              <w:jc w:val="center"/>
            </w:pPr>
            <w:r w:rsidRPr="00413D58">
              <w:t>Notes</w:t>
            </w:r>
          </w:p>
        </w:tc>
      </w:tr>
      <w:tr w:rsidR="00BA1D08" w:rsidRPr="00413D58" w:rsidTr="00C05FAA">
        <w:tc>
          <w:tcPr>
            <w:tcW w:w="6062" w:type="dxa"/>
          </w:tcPr>
          <w:p w:rsidR="00BA1D08" w:rsidRPr="00413D58" w:rsidRDefault="00BA1D08" w:rsidP="00C05FAA">
            <w:pPr>
              <w:jc w:val="both"/>
            </w:pPr>
            <w:r w:rsidRPr="00413D58">
              <w:t>2009 Census: percentage of persons aged 15-24 able to read and write a simple sentence in one or more languages</w:t>
            </w:r>
          </w:p>
        </w:tc>
        <w:tc>
          <w:tcPr>
            <w:tcW w:w="1276" w:type="dxa"/>
          </w:tcPr>
          <w:p w:rsidR="00BA1D08" w:rsidRPr="00413D58" w:rsidRDefault="00BA1D08" w:rsidP="00C05FAA">
            <w:pPr>
              <w:jc w:val="center"/>
            </w:pPr>
          </w:p>
          <w:p w:rsidR="00BA1D08" w:rsidRPr="00413D58" w:rsidRDefault="00BA1D08" w:rsidP="00C05FAA">
            <w:pPr>
              <w:jc w:val="center"/>
            </w:pPr>
            <w:r w:rsidRPr="00413D58">
              <w:t>93%</w:t>
            </w:r>
          </w:p>
        </w:tc>
        <w:tc>
          <w:tcPr>
            <w:tcW w:w="1275" w:type="dxa"/>
          </w:tcPr>
          <w:p w:rsidR="00BA1D08" w:rsidRPr="00413D58" w:rsidRDefault="00BA1D08" w:rsidP="00C05FAA">
            <w:pPr>
              <w:jc w:val="center"/>
            </w:pPr>
          </w:p>
          <w:p w:rsidR="00BA1D08" w:rsidRPr="00413D58" w:rsidRDefault="00BA1D08" w:rsidP="00C05FAA">
            <w:pPr>
              <w:jc w:val="center"/>
            </w:pPr>
            <w:r w:rsidRPr="00413D58">
              <w:t>92%</w:t>
            </w:r>
          </w:p>
        </w:tc>
        <w:tc>
          <w:tcPr>
            <w:tcW w:w="957" w:type="dxa"/>
          </w:tcPr>
          <w:p w:rsidR="00BA1D08" w:rsidRPr="00413D58" w:rsidRDefault="00BA1D08" w:rsidP="00C05FAA">
            <w:pPr>
              <w:jc w:val="center"/>
            </w:pPr>
          </w:p>
          <w:p w:rsidR="00BA1D08" w:rsidRPr="00413D58" w:rsidRDefault="00BA1D08" w:rsidP="00C05FAA">
            <w:pPr>
              <w:jc w:val="center"/>
            </w:pPr>
            <w:r w:rsidRPr="00413D58">
              <w:t>1</w:t>
            </w:r>
          </w:p>
        </w:tc>
      </w:tr>
      <w:tr w:rsidR="00BA1D08" w:rsidRPr="00413D58" w:rsidTr="00C05FAA">
        <w:tc>
          <w:tcPr>
            <w:tcW w:w="6062" w:type="dxa"/>
          </w:tcPr>
          <w:p w:rsidR="00BA1D08" w:rsidRPr="00413D58" w:rsidRDefault="00BA1D08" w:rsidP="00C05FAA">
            <w:pPr>
              <w:jc w:val="both"/>
            </w:pPr>
            <w:r w:rsidRPr="00413D58">
              <w:t>VANEGRA: percentage of those tested after 3 years’ primary schooling able to read fluently (2009):</w:t>
            </w:r>
          </w:p>
          <w:p w:rsidR="00BA1D08" w:rsidRPr="00413D58" w:rsidRDefault="00BA1D08" w:rsidP="00C05FAA">
            <w:pPr>
              <w:jc w:val="right"/>
            </w:pPr>
            <w:r w:rsidRPr="00413D58">
              <w:t>Anglophone</w:t>
            </w:r>
          </w:p>
          <w:p w:rsidR="00BA1D08" w:rsidRPr="00413D58" w:rsidRDefault="00BA1D08" w:rsidP="00C05FAA">
            <w:pPr>
              <w:jc w:val="right"/>
            </w:pPr>
            <w:r w:rsidRPr="00413D58">
              <w:t>Francophone</w:t>
            </w:r>
          </w:p>
        </w:tc>
        <w:tc>
          <w:tcPr>
            <w:tcW w:w="1276" w:type="dxa"/>
          </w:tcPr>
          <w:p w:rsidR="00BA1D08" w:rsidRPr="00413D58" w:rsidRDefault="00BA1D08" w:rsidP="00C05FAA">
            <w:pPr>
              <w:jc w:val="center"/>
            </w:pPr>
          </w:p>
          <w:p w:rsidR="00BA1D08" w:rsidRPr="00413D58" w:rsidRDefault="00BA1D08" w:rsidP="00C05FAA">
            <w:pPr>
              <w:jc w:val="center"/>
            </w:pPr>
          </w:p>
          <w:p w:rsidR="00BA1D08" w:rsidRPr="00413D58" w:rsidRDefault="00BA1D08" w:rsidP="00C05FAA">
            <w:pPr>
              <w:jc w:val="center"/>
            </w:pPr>
            <w:r w:rsidRPr="00413D58">
              <w:t>11%</w:t>
            </w:r>
          </w:p>
          <w:p w:rsidR="00BA1D08" w:rsidRPr="00413D58" w:rsidRDefault="00BA1D08" w:rsidP="00C05FAA">
            <w:pPr>
              <w:jc w:val="center"/>
            </w:pPr>
            <w:r w:rsidRPr="00413D58">
              <w:t>16%</w:t>
            </w:r>
          </w:p>
        </w:tc>
        <w:tc>
          <w:tcPr>
            <w:tcW w:w="1275" w:type="dxa"/>
          </w:tcPr>
          <w:p w:rsidR="00BA1D08" w:rsidRPr="00413D58" w:rsidRDefault="00BA1D08" w:rsidP="00C05FAA">
            <w:pPr>
              <w:jc w:val="center"/>
            </w:pPr>
          </w:p>
          <w:p w:rsidR="00BA1D08" w:rsidRPr="00413D58" w:rsidRDefault="00BA1D08" w:rsidP="00C05FAA">
            <w:pPr>
              <w:jc w:val="center"/>
            </w:pPr>
          </w:p>
          <w:p w:rsidR="00BA1D08" w:rsidRPr="00413D58" w:rsidRDefault="00BA1D08" w:rsidP="00C05FAA">
            <w:pPr>
              <w:jc w:val="center"/>
            </w:pPr>
            <w:r w:rsidRPr="00413D58">
              <w:t>7%</w:t>
            </w:r>
          </w:p>
          <w:p w:rsidR="00BA1D08" w:rsidRPr="00413D58" w:rsidRDefault="00BA1D08" w:rsidP="00C05FAA">
            <w:pPr>
              <w:jc w:val="center"/>
            </w:pPr>
            <w:r w:rsidRPr="00413D58">
              <w:t>10%</w:t>
            </w:r>
          </w:p>
        </w:tc>
        <w:tc>
          <w:tcPr>
            <w:tcW w:w="957" w:type="dxa"/>
          </w:tcPr>
          <w:p w:rsidR="00BA1D08" w:rsidRPr="00413D58" w:rsidRDefault="00BA1D08" w:rsidP="00C05FAA">
            <w:pPr>
              <w:jc w:val="center"/>
            </w:pPr>
            <w:r w:rsidRPr="00413D58">
              <w:t>2</w:t>
            </w:r>
          </w:p>
        </w:tc>
      </w:tr>
      <w:tr w:rsidR="00BA1D08" w:rsidRPr="00413D58" w:rsidTr="00C05FAA">
        <w:tc>
          <w:tcPr>
            <w:tcW w:w="6062" w:type="dxa"/>
          </w:tcPr>
          <w:p w:rsidR="00BA1D08" w:rsidRPr="00413D58" w:rsidRDefault="00BA1D08" w:rsidP="00C05FAA">
            <w:pPr>
              <w:jc w:val="both"/>
            </w:pPr>
            <w:r w:rsidRPr="00413D58">
              <w:t xml:space="preserve">VANSTA: percentage of achievements awarded nationally for moderate or better achievement of the learning outcome at end of Year 4 (2009): </w:t>
            </w:r>
          </w:p>
          <w:p w:rsidR="00BA1D08" w:rsidRPr="00413D58" w:rsidRDefault="00BA1D08" w:rsidP="00C05FAA">
            <w:pPr>
              <w:jc w:val="right"/>
            </w:pPr>
            <w:r w:rsidRPr="00413D58">
              <w:t>Anglophone Literacy</w:t>
            </w:r>
          </w:p>
          <w:p w:rsidR="00BA1D08" w:rsidRPr="00413D58" w:rsidRDefault="00BA1D08" w:rsidP="00C05FAA">
            <w:pPr>
              <w:jc w:val="right"/>
            </w:pPr>
            <w:r w:rsidRPr="00413D58">
              <w:t>Anglophone Numeracy</w:t>
            </w:r>
          </w:p>
          <w:p w:rsidR="00BA1D08" w:rsidRPr="00413D58" w:rsidRDefault="00BA1D08" w:rsidP="00C05FAA">
            <w:pPr>
              <w:jc w:val="right"/>
            </w:pPr>
            <w:r w:rsidRPr="00413D58">
              <w:t>Francophone Literacy</w:t>
            </w:r>
          </w:p>
          <w:p w:rsidR="00BA1D08" w:rsidRPr="00413D58" w:rsidRDefault="00BA1D08" w:rsidP="00C05FAA">
            <w:pPr>
              <w:jc w:val="right"/>
            </w:pPr>
            <w:r w:rsidRPr="00413D58">
              <w:t>Francophone Numeracy</w:t>
            </w:r>
          </w:p>
        </w:tc>
        <w:tc>
          <w:tcPr>
            <w:tcW w:w="1276" w:type="dxa"/>
          </w:tcPr>
          <w:p w:rsidR="00BA1D08" w:rsidRPr="00695673" w:rsidRDefault="00BA1D08" w:rsidP="00C05FAA">
            <w:pPr>
              <w:jc w:val="center"/>
            </w:pPr>
          </w:p>
          <w:p w:rsidR="00BA1D08" w:rsidRPr="00695673" w:rsidRDefault="00BA1D08" w:rsidP="00C05FAA">
            <w:pPr>
              <w:jc w:val="center"/>
            </w:pPr>
          </w:p>
          <w:p w:rsidR="00BA1D08" w:rsidRPr="00695673" w:rsidRDefault="00BA1D08" w:rsidP="00C05FAA">
            <w:pPr>
              <w:jc w:val="center"/>
            </w:pPr>
          </w:p>
          <w:p w:rsidR="00BA1D08" w:rsidRPr="00695673" w:rsidRDefault="00BA1D08" w:rsidP="00C05FAA">
            <w:pPr>
              <w:jc w:val="center"/>
            </w:pPr>
            <w:r w:rsidRPr="00695673">
              <w:t>27%</w:t>
            </w:r>
          </w:p>
          <w:p w:rsidR="00BA1D08" w:rsidRPr="00695673" w:rsidRDefault="00BA1D08" w:rsidP="00C05FAA">
            <w:pPr>
              <w:jc w:val="center"/>
            </w:pPr>
            <w:r w:rsidRPr="00695673">
              <w:t>42%</w:t>
            </w:r>
          </w:p>
          <w:p w:rsidR="00B313AF" w:rsidRDefault="00B313AF" w:rsidP="00C05FAA">
            <w:pPr>
              <w:jc w:val="center"/>
            </w:pPr>
            <w:r>
              <w:t>28%</w:t>
            </w:r>
          </w:p>
          <w:p w:rsidR="00BA1D08" w:rsidRPr="00695673" w:rsidRDefault="00B313AF" w:rsidP="00C05FAA">
            <w:pPr>
              <w:jc w:val="center"/>
            </w:pPr>
            <w:r>
              <w:t>31%</w:t>
            </w:r>
          </w:p>
        </w:tc>
        <w:tc>
          <w:tcPr>
            <w:tcW w:w="1275" w:type="dxa"/>
          </w:tcPr>
          <w:p w:rsidR="00BA1D08" w:rsidRPr="00695673" w:rsidRDefault="00BA1D08" w:rsidP="00C05FAA">
            <w:pPr>
              <w:jc w:val="center"/>
            </w:pPr>
          </w:p>
          <w:p w:rsidR="00BA1D08" w:rsidRPr="00695673" w:rsidRDefault="00BA1D08" w:rsidP="00C05FAA">
            <w:pPr>
              <w:jc w:val="center"/>
            </w:pPr>
          </w:p>
          <w:p w:rsidR="00BA1D08" w:rsidRPr="00695673" w:rsidRDefault="00BA1D08" w:rsidP="00C05FAA">
            <w:pPr>
              <w:jc w:val="center"/>
            </w:pPr>
          </w:p>
          <w:p w:rsidR="00BA1D08" w:rsidRPr="00695673" w:rsidRDefault="00BA1D08" w:rsidP="00C05FAA">
            <w:pPr>
              <w:jc w:val="center"/>
            </w:pPr>
            <w:r w:rsidRPr="00695673">
              <w:t>19%</w:t>
            </w:r>
          </w:p>
          <w:p w:rsidR="00BA1D08" w:rsidRPr="00695673" w:rsidRDefault="00BA1D08" w:rsidP="00C05FAA">
            <w:pPr>
              <w:jc w:val="center"/>
            </w:pPr>
            <w:r w:rsidRPr="00695673">
              <w:t>40%</w:t>
            </w:r>
          </w:p>
          <w:p w:rsidR="00B313AF" w:rsidRDefault="00B313AF" w:rsidP="00C05FAA">
            <w:pPr>
              <w:jc w:val="center"/>
            </w:pPr>
            <w:r>
              <w:t>17%</w:t>
            </w:r>
          </w:p>
          <w:p w:rsidR="00BA1D08" w:rsidRPr="00695673" w:rsidRDefault="00B313AF" w:rsidP="00C05FAA">
            <w:pPr>
              <w:jc w:val="center"/>
            </w:pPr>
            <w:r>
              <w:t>31%</w:t>
            </w:r>
          </w:p>
        </w:tc>
        <w:tc>
          <w:tcPr>
            <w:tcW w:w="957" w:type="dxa"/>
          </w:tcPr>
          <w:p w:rsidR="00BA1D08" w:rsidRPr="00413D58" w:rsidRDefault="00BA1D08" w:rsidP="00C05FAA">
            <w:pPr>
              <w:jc w:val="center"/>
            </w:pPr>
            <w:r w:rsidRPr="00413D58">
              <w:t>3</w:t>
            </w:r>
          </w:p>
        </w:tc>
      </w:tr>
      <w:tr w:rsidR="00BA1D08" w:rsidRPr="00413D58" w:rsidTr="00C05FAA">
        <w:tc>
          <w:tcPr>
            <w:tcW w:w="9570" w:type="dxa"/>
            <w:gridSpan w:val="4"/>
          </w:tcPr>
          <w:p w:rsidR="00BA1D08" w:rsidRPr="00413D58" w:rsidRDefault="00BA1D08" w:rsidP="00C05FAA">
            <w:r w:rsidRPr="00413D58">
              <w:t>Note (1):  Beyond age 24, literacy rates for females diverged below those for males, the divergence increasing with age.  Source: National Census 2009.</w:t>
            </w:r>
          </w:p>
          <w:p w:rsidR="00BA1D08" w:rsidRPr="00413D58" w:rsidRDefault="00BA1D08" w:rsidP="00C05FAA">
            <w:r w:rsidRPr="00413D58">
              <w:t>Note (2): Vanuatu Early Grade Reading Assessment Baseline Surveys, Anglophone and Francophone Streams, undertaken in 2010.</w:t>
            </w:r>
          </w:p>
          <w:p w:rsidR="00BA1D08" w:rsidRPr="00413D58" w:rsidRDefault="00BA1D08" w:rsidP="00C05FAA">
            <w:pPr>
              <w:rPr>
                <w:bCs/>
              </w:rPr>
            </w:pPr>
            <w:r w:rsidRPr="00413D58">
              <w:t>Note (3): ‘</w:t>
            </w:r>
            <w:r w:rsidRPr="00413D58">
              <w:rPr>
                <w:bCs/>
              </w:rPr>
              <w:t>Vanuatu Standardised Tests of Achievement for Literacy and Numeracy at</w:t>
            </w:r>
          </w:p>
          <w:p w:rsidR="00106887" w:rsidRPr="00413D58" w:rsidRDefault="00BA1D08" w:rsidP="00106887">
            <w:proofErr w:type="gramStart"/>
            <w:r w:rsidRPr="00413D58">
              <w:rPr>
                <w:bCs/>
              </w:rPr>
              <w:t>the</w:t>
            </w:r>
            <w:proofErr w:type="gramEnd"/>
            <w:r w:rsidRPr="00413D58">
              <w:rPr>
                <w:bCs/>
              </w:rPr>
              <w:t xml:space="preserve"> end of Year 4, Monitoring Literacy and Numeracy Achievements in Vanuatu’, (2010)</w:t>
            </w:r>
            <w:r w:rsidR="0068799A">
              <w:rPr>
                <w:bCs/>
              </w:rPr>
              <w:t>.</w:t>
            </w:r>
          </w:p>
        </w:tc>
      </w:tr>
    </w:tbl>
    <w:p w:rsidR="00BA1D08" w:rsidRPr="0014550B" w:rsidRDefault="00BA1D08" w:rsidP="00160C19">
      <w:pPr>
        <w:pStyle w:val="Heading2"/>
      </w:pPr>
      <w:bookmarkStart w:id="155" w:name="_Toc341210800"/>
      <w:bookmarkStart w:id="156" w:name="_Toc343257300"/>
      <w:bookmarkStart w:id="157" w:name="_Toc343257414"/>
      <w:bookmarkStart w:id="158" w:name="_Toc348711335"/>
      <w:r w:rsidRPr="0014550B">
        <w:t>2.3.4 Education and income/wealth</w:t>
      </w:r>
      <w:bookmarkEnd w:id="155"/>
      <w:bookmarkEnd w:id="156"/>
      <w:bookmarkEnd w:id="157"/>
      <w:bookmarkEnd w:id="158"/>
    </w:p>
    <w:p w:rsidR="00106887" w:rsidRDefault="00106887" w:rsidP="00106887"/>
    <w:p w:rsidR="00BA1D08" w:rsidRPr="00413D58" w:rsidRDefault="00BA1D08" w:rsidP="00106887">
      <w:r w:rsidRPr="00413D58">
        <w:t>Data on the relationship between education outcomes and household income/wealth in Vanuatu is dated and open to varying interpretations.</w:t>
      </w:r>
      <w:r w:rsidRPr="00413D58">
        <w:rPr>
          <w:rStyle w:val="FootnoteReference"/>
        </w:rPr>
        <w:footnoteReference w:id="43"/>
      </w:r>
      <w:r w:rsidRPr="00413D58">
        <w:t xml:space="preserve"> However, two broad findings appear to be beyond dispute:</w:t>
      </w:r>
    </w:p>
    <w:p w:rsidR="00BA1D08" w:rsidRPr="00413D58" w:rsidRDefault="00BA1D08" w:rsidP="00BA1D08">
      <w:pPr>
        <w:jc w:val="both"/>
      </w:pPr>
    </w:p>
    <w:p w:rsidR="00BA1D08" w:rsidRPr="00413D58" w:rsidRDefault="00BA1D08" w:rsidP="00D34AA0">
      <w:pPr>
        <w:pStyle w:val="ListParagraph"/>
        <w:numPr>
          <w:ilvl w:val="0"/>
          <w:numId w:val="48"/>
        </w:numPr>
        <w:jc w:val="both"/>
      </w:pPr>
      <w:r w:rsidRPr="00413D58">
        <w:t>There are substantial differentials in income and wealth in Vanuatu as between rural and urban areas in particular.</w:t>
      </w:r>
    </w:p>
    <w:p w:rsidR="00BA1D08" w:rsidRPr="00413D58" w:rsidRDefault="00BA1D08" w:rsidP="00D34AA0">
      <w:pPr>
        <w:pStyle w:val="ListParagraph"/>
        <w:numPr>
          <w:ilvl w:val="0"/>
          <w:numId w:val="48"/>
        </w:numPr>
        <w:jc w:val="both"/>
      </w:pPr>
      <w:r w:rsidRPr="00413D58">
        <w:t>Participation in schooling, especially at the secondary and tertiary levels, is strongly correlated with household income/wealth.</w:t>
      </w:r>
    </w:p>
    <w:p w:rsidR="00BA1D08" w:rsidRPr="00413D58" w:rsidRDefault="00BA1D08" w:rsidP="00BA1D08">
      <w:pPr>
        <w:jc w:val="both"/>
      </w:pPr>
    </w:p>
    <w:p w:rsidR="00BA1D08" w:rsidRPr="00413D58" w:rsidRDefault="00BA1D08" w:rsidP="00BA1D08">
      <w:pPr>
        <w:jc w:val="both"/>
      </w:pPr>
      <w:r w:rsidRPr="00413D58">
        <w:t>As regards the first finding, the World Bank’s country case study of 2005 constructed a household wealth index derived from 1999 Census data</w:t>
      </w:r>
      <w:r w:rsidR="00B9036D">
        <w:t xml:space="preserve">.  </w:t>
      </w:r>
      <w:r w:rsidRPr="00413D58">
        <w:t>The study found that “The average wealth index for urban areas is 432% of the average rural household wealth index, which is similar to the [1998] HIES result.”</w:t>
      </w:r>
      <w:r w:rsidRPr="00413D58">
        <w:rPr>
          <w:rStyle w:val="FootnoteReference"/>
        </w:rPr>
        <w:footnoteReference w:id="44"/>
      </w:r>
      <w:r w:rsidRPr="00413D58">
        <w:t xml:space="preserve">  Data from the 2006 HIES indicated that average household monthly income in urban areas was some 60% higher than in rural areas while average per capita monthly expenditure was some 79% higher.</w:t>
      </w:r>
      <w:r w:rsidRPr="00413D58">
        <w:rPr>
          <w:rStyle w:val="FootnoteReference"/>
        </w:rPr>
        <w:footnoteReference w:id="45"/>
      </w:r>
      <w:r w:rsidR="00543A5F">
        <w:t xml:space="preserve">  Comparable data from the (Draft) 2010 HIES indicate continuing income and expenditure differentials favouring the urban areas although of lesser magnitude than in 2006.</w:t>
      </w:r>
    </w:p>
    <w:p w:rsidR="00BA1D08" w:rsidRPr="00413D58" w:rsidRDefault="00BA1D08" w:rsidP="00BA1D08">
      <w:pPr>
        <w:jc w:val="both"/>
      </w:pPr>
    </w:p>
    <w:p w:rsidR="00BA1D08" w:rsidRPr="00413D58" w:rsidRDefault="00BA1D08" w:rsidP="00BA1D08">
      <w:pPr>
        <w:jc w:val="both"/>
      </w:pPr>
      <w:r w:rsidRPr="00413D58">
        <w:t>As regards the second finding, the conclusions of the World Bank’s 2005 study merit (abbreviated) reproduction:</w:t>
      </w:r>
    </w:p>
    <w:p w:rsidR="00BA1D08" w:rsidRPr="00413D58" w:rsidRDefault="00BA1D08" w:rsidP="00BA1D08">
      <w:pPr>
        <w:ind w:left="576"/>
        <w:jc w:val="both"/>
      </w:pPr>
      <w:r w:rsidRPr="00413D58">
        <w:t xml:space="preserve">“[The data] ... suggest that the current education system is hardly beginning to redress the legacy of inequity in educational attainment among adults.  What is happening is that: </w:t>
      </w:r>
    </w:p>
    <w:p w:rsidR="00BA1D08" w:rsidRPr="00413D58" w:rsidRDefault="00BA1D08" w:rsidP="00BA1D08">
      <w:pPr>
        <w:ind w:left="576"/>
        <w:jc w:val="both"/>
      </w:pPr>
    </w:p>
    <w:p w:rsidR="00BA1D08" w:rsidRPr="00413D58" w:rsidRDefault="00BA1D08" w:rsidP="00D34AA0">
      <w:pPr>
        <w:numPr>
          <w:ilvl w:val="0"/>
          <w:numId w:val="49"/>
        </w:numPr>
        <w:tabs>
          <w:tab w:val="clear" w:pos="576"/>
          <w:tab w:val="num" w:pos="851"/>
        </w:tabs>
        <w:ind w:left="851" w:hanging="284"/>
        <w:jc w:val="both"/>
      </w:pPr>
      <w:r w:rsidRPr="00413D58">
        <w:lastRenderedPageBreak/>
        <w:t>As is well known, access to education beyond primary school is severely restricted ... because of a shortage of secondary capacity;</w:t>
      </w:r>
    </w:p>
    <w:p w:rsidR="00BA1D08" w:rsidRPr="00413D58" w:rsidRDefault="00BA1D08" w:rsidP="00D34AA0">
      <w:pPr>
        <w:numPr>
          <w:ilvl w:val="0"/>
          <w:numId w:val="49"/>
        </w:numPr>
        <w:tabs>
          <w:tab w:val="clear" w:pos="576"/>
          <w:tab w:val="num" w:pos="851"/>
        </w:tabs>
        <w:ind w:left="851" w:hanging="284"/>
        <w:jc w:val="both"/>
      </w:pPr>
      <w:r w:rsidRPr="00413D58">
        <w:t>And, what is rarely documented, the limited supply of secondary places (and beyond) is strongly filled by students from the wealthiest 20% of Vanuatu society</w:t>
      </w:r>
      <w:r w:rsidR="00C657EC">
        <w:t>.</w:t>
      </w:r>
    </w:p>
    <w:p w:rsidR="00BA1D08" w:rsidRPr="00413D58" w:rsidRDefault="00BA1D08" w:rsidP="00BA1D08">
      <w:pPr>
        <w:ind w:left="576"/>
        <w:jc w:val="both"/>
      </w:pPr>
    </w:p>
    <w:p w:rsidR="00BA1D08" w:rsidRPr="00413D58" w:rsidRDefault="00BA1D08" w:rsidP="00BA1D08">
      <w:pPr>
        <w:ind w:left="576"/>
        <w:jc w:val="both"/>
      </w:pPr>
      <w:r w:rsidRPr="00413D58">
        <w:t xml:space="preserve">This effect is likely to be the product of two major influences.  First, the wealthiest families are overwhelmingly located in Port Vila and </w:t>
      </w:r>
      <w:proofErr w:type="spellStart"/>
      <w:r w:rsidRPr="00413D58">
        <w:t>Luganville</w:t>
      </w:r>
      <w:proofErr w:type="spellEnd"/>
      <w:r w:rsidRPr="00413D58">
        <w:t xml:space="preserve"> where they have access to the best primary schools and the most extensive supply of secondary schools.  Second, secondary school is expensive.”</w:t>
      </w:r>
      <w:r w:rsidRPr="00413D58">
        <w:rPr>
          <w:rStyle w:val="FootnoteReference"/>
        </w:rPr>
        <w:footnoteReference w:id="46"/>
      </w:r>
    </w:p>
    <w:p w:rsidR="00BA1D08" w:rsidRPr="00413D58" w:rsidRDefault="00BA1D08" w:rsidP="00BA1D08">
      <w:pPr>
        <w:ind w:left="576"/>
        <w:jc w:val="both"/>
      </w:pPr>
    </w:p>
    <w:p w:rsidR="00BA1D08" w:rsidRPr="00413D58" w:rsidRDefault="00BA1D08" w:rsidP="00BA1D08">
      <w:pPr>
        <w:jc w:val="both"/>
      </w:pPr>
      <w:r w:rsidRPr="00413D58">
        <w:t>Other data tend to support this assessment.  The recent study on child poverty and disparities in Vanuatu reproduced the following findings on attendance at schooling by household wealth quintiles: poorest 20% of households 73%; middle wealth households 77%; wealthiest 20% of households 89%.</w:t>
      </w:r>
      <w:r w:rsidRPr="00413D58">
        <w:rPr>
          <w:rStyle w:val="FootnoteReference"/>
        </w:rPr>
        <w:footnoteReference w:id="47"/>
      </w:r>
      <w:r w:rsidRPr="00413D58">
        <w:t xml:space="preserve">  The (draft) results of the 2010 HIES indicate that average monthly education expenditure per household in urban areas was nearly double that in rural areas.</w:t>
      </w:r>
      <w:r w:rsidRPr="00413D58">
        <w:rPr>
          <w:rStyle w:val="FootnoteReference"/>
        </w:rPr>
        <w:footnoteReference w:id="48"/>
      </w:r>
      <w:r w:rsidRPr="00413D58">
        <w:t xml:space="preserve">  </w:t>
      </w:r>
    </w:p>
    <w:p w:rsidR="00BA1D08" w:rsidRPr="00413D58" w:rsidRDefault="00BA1D08" w:rsidP="00160C19">
      <w:pPr>
        <w:pStyle w:val="Heading2"/>
      </w:pPr>
      <w:bookmarkStart w:id="159" w:name="_Toc341210801"/>
      <w:bookmarkStart w:id="160" w:name="_Toc341210920"/>
      <w:bookmarkStart w:id="161" w:name="_Toc341265738"/>
      <w:bookmarkStart w:id="162" w:name="_Toc343257301"/>
      <w:bookmarkStart w:id="163" w:name="_Toc343257415"/>
      <w:bookmarkStart w:id="164" w:name="_Toc348711336"/>
      <w:r w:rsidRPr="00413D58">
        <w:t xml:space="preserve">2.3.5 </w:t>
      </w:r>
      <w:r w:rsidR="00345779">
        <w:t>W</w:t>
      </w:r>
      <w:r w:rsidRPr="00413D58">
        <w:t>ho benefits from public expenditure on education?</w:t>
      </w:r>
      <w:bookmarkEnd w:id="159"/>
      <w:bookmarkEnd w:id="160"/>
      <w:bookmarkEnd w:id="161"/>
      <w:bookmarkEnd w:id="162"/>
      <w:bookmarkEnd w:id="163"/>
      <w:bookmarkEnd w:id="164"/>
    </w:p>
    <w:p w:rsidR="00BA1D08" w:rsidRPr="00413D58" w:rsidRDefault="00BA1D08" w:rsidP="00BA1D08"/>
    <w:p w:rsidR="00BA1D08" w:rsidRPr="00413D58" w:rsidRDefault="00BA1D08" w:rsidP="00BA1D08">
      <w:pPr>
        <w:jc w:val="both"/>
        <w:rPr>
          <w:rFonts w:eastAsia="Arial"/>
        </w:rPr>
      </w:pPr>
      <w:r w:rsidRPr="00413D58">
        <w:t>At the broadest level, all people of Vanuatu.  “</w:t>
      </w:r>
      <w:r w:rsidRPr="00413D58">
        <w:rPr>
          <w:rFonts w:eastAsia="Arial" w:cs="Times New Roman"/>
        </w:rPr>
        <w:t>Vanuatu cannot reach its potential if the knowledge, understanding, skills and capacity of its human resources are not developed in every appropriate way (intellectually, academically, physically and spiritually). The basis for effective development in all other areas of the economy is education.</w:t>
      </w:r>
      <w:r w:rsidRPr="00413D58">
        <w:rPr>
          <w:rFonts w:eastAsia="Arial"/>
        </w:rPr>
        <w:t>”</w:t>
      </w:r>
      <w:r w:rsidRPr="00413D58">
        <w:rPr>
          <w:rStyle w:val="FootnoteReference"/>
          <w:rFonts w:eastAsia="Arial"/>
        </w:rPr>
        <w:footnoteReference w:id="49"/>
      </w:r>
      <w:r w:rsidRPr="00413D58">
        <w:rPr>
          <w:rFonts w:eastAsia="Arial"/>
        </w:rPr>
        <w:t xml:space="preserve">  This view is supported by a wealth of international research concluding that education is a critical factor determining whether a household is likely to be in poverty.</w:t>
      </w:r>
    </w:p>
    <w:p w:rsidR="00BA1D08" w:rsidRPr="00413D58" w:rsidRDefault="00BA1D08" w:rsidP="00BA1D08">
      <w:pPr>
        <w:jc w:val="both"/>
        <w:rPr>
          <w:rFonts w:eastAsia="Arial"/>
        </w:rPr>
      </w:pPr>
    </w:p>
    <w:p w:rsidR="00BA1D08" w:rsidRPr="00413D58" w:rsidRDefault="00BA1D08" w:rsidP="00BA1D08">
      <w:pPr>
        <w:jc w:val="both"/>
        <w:rPr>
          <w:rFonts w:eastAsia="Arial"/>
        </w:rPr>
      </w:pPr>
      <w:r w:rsidRPr="00413D58">
        <w:rPr>
          <w:rFonts w:eastAsia="Arial"/>
        </w:rPr>
        <w:t>When it comes to assessing who within Vanuatu benefits most from public expenditure on education the picture is more complex.  Drawing together findings from Sections 2.3.1 to 2.3.4</w:t>
      </w:r>
      <w:r w:rsidR="00543A5F">
        <w:rPr>
          <w:rFonts w:eastAsia="Arial"/>
        </w:rPr>
        <w:t xml:space="preserve"> </w:t>
      </w:r>
      <w:r w:rsidRPr="00413D58">
        <w:rPr>
          <w:rFonts w:eastAsia="Arial"/>
        </w:rPr>
        <w:t>it can be concluded in general terms:</w:t>
      </w:r>
    </w:p>
    <w:p w:rsidR="00BA1D08" w:rsidRPr="00413D58" w:rsidRDefault="00BA1D08" w:rsidP="00BA1D08">
      <w:pPr>
        <w:jc w:val="both"/>
        <w:rPr>
          <w:rFonts w:eastAsia="Arial"/>
        </w:rPr>
      </w:pPr>
    </w:p>
    <w:p w:rsidR="00BA1D08" w:rsidRPr="00413D58" w:rsidRDefault="00BA1D08" w:rsidP="00D34AA0">
      <w:pPr>
        <w:pStyle w:val="ListParagraph"/>
        <w:numPr>
          <w:ilvl w:val="0"/>
          <w:numId w:val="50"/>
        </w:numPr>
        <w:jc w:val="both"/>
        <w:rPr>
          <w:rFonts w:eastAsia="Arial"/>
        </w:rPr>
      </w:pPr>
      <w:r w:rsidRPr="00413D58">
        <w:rPr>
          <w:rFonts w:eastAsia="Arial"/>
        </w:rPr>
        <w:t>There is no evidence of significant imbalance between males and females in access to either primary or secondary education although for those seeking tertiary scholarships it would (currently) be better to be a male.</w:t>
      </w:r>
    </w:p>
    <w:p w:rsidR="00BA1D08" w:rsidRPr="00413D58" w:rsidRDefault="00BA1D08" w:rsidP="00D34AA0">
      <w:pPr>
        <w:pStyle w:val="ListParagraph"/>
        <w:numPr>
          <w:ilvl w:val="0"/>
          <w:numId w:val="50"/>
        </w:numPr>
        <w:jc w:val="both"/>
        <w:rPr>
          <w:rFonts w:eastAsia="Arial"/>
        </w:rPr>
      </w:pPr>
      <w:r w:rsidRPr="00413D58">
        <w:rPr>
          <w:rFonts w:eastAsia="Arial"/>
        </w:rPr>
        <w:t xml:space="preserve">There is no systematic pattern of differentials as between Provinces in access to or the quality of primary education.  The data do, however, suggest systematic differences favouring urban relative to rural areas in terms of access to and the quality of primary schools, and in terms of educational attainment.  </w:t>
      </w:r>
    </w:p>
    <w:p w:rsidR="00BA1D08" w:rsidRPr="00413D58" w:rsidRDefault="00BA1D08" w:rsidP="00D34AA0">
      <w:pPr>
        <w:pStyle w:val="ListParagraph"/>
        <w:numPr>
          <w:ilvl w:val="0"/>
          <w:numId w:val="50"/>
        </w:numPr>
        <w:jc w:val="both"/>
        <w:rPr>
          <w:rFonts w:eastAsia="Arial"/>
        </w:rPr>
      </w:pPr>
      <w:r w:rsidRPr="00413D58">
        <w:rPr>
          <w:rFonts w:eastAsia="Arial"/>
        </w:rPr>
        <w:t>Access to secondary and post-secondary (including tertiary) education is clearly more favourable for the relevant age groups residing in urban areas.</w:t>
      </w:r>
    </w:p>
    <w:p w:rsidR="00BA1D08" w:rsidRPr="00413D58" w:rsidRDefault="00543A5F" w:rsidP="00D34AA0">
      <w:pPr>
        <w:pStyle w:val="ListParagraph"/>
        <w:numPr>
          <w:ilvl w:val="0"/>
          <w:numId w:val="50"/>
        </w:numPr>
        <w:jc w:val="both"/>
        <w:rPr>
          <w:rFonts w:eastAsia="Arial"/>
        </w:rPr>
      </w:pPr>
      <w:r>
        <w:rPr>
          <w:rFonts w:eastAsia="Arial"/>
        </w:rPr>
        <w:t>A</w:t>
      </w:r>
      <w:r w:rsidR="00BA1D08" w:rsidRPr="00413D58">
        <w:rPr>
          <w:rFonts w:eastAsia="Arial"/>
        </w:rPr>
        <w:t>ccess to education at all levels and levels of educational attainment are correlated with household income/wealth (the richer the household, the higher the level of education access and attainment).</w:t>
      </w:r>
    </w:p>
    <w:p w:rsidR="00BA1D08" w:rsidRPr="00413D58" w:rsidRDefault="00BA1D08" w:rsidP="00BA1D08">
      <w:pPr>
        <w:jc w:val="both"/>
        <w:rPr>
          <w:rFonts w:eastAsia="Arial"/>
        </w:rPr>
      </w:pPr>
    </w:p>
    <w:p w:rsidR="00BA1D08" w:rsidRPr="00413D58" w:rsidRDefault="00BA1D08" w:rsidP="00BA1D08">
      <w:pPr>
        <w:jc w:val="both"/>
        <w:rPr>
          <w:rFonts w:eastAsia="Arial"/>
        </w:rPr>
      </w:pPr>
      <w:r w:rsidRPr="00413D58">
        <w:rPr>
          <w:rFonts w:eastAsia="Arial"/>
        </w:rPr>
        <w:t>Whether these patterns are ‘equitable’ or otherwise requires subjective judgments since ‘equity’ is very much in the eye of the beholder.</w:t>
      </w:r>
      <w:r w:rsidRPr="00413D58">
        <w:rPr>
          <w:rStyle w:val="FootnoteReference"/>
          <w:rFonts w:eastAsia="Arial"/>
        </w:rPr>
        <w:footnoteReference w:id="50"/>
      </w:r>
      <w:r w:rsidRPr="00413D58">
        <w:rPr>
          <w:rFonts w:eastAsia="Arial"/>
        </w:rPr>
        <w:t xml:space="preserve">  Moreover judgments as to the ‘equity’ of access to education (who benefits) should not be framed in isolation from the issue of ‘who pays’, not just </w:t>
      </w:r>
      <w:r w:rsidRPr="00413D58">
        <w:rPr>
          <w:rFonts w:eastAsia="Arial"/>
        </w:rPr>
        <w:lastRenderedPageBreak/>
        <w:t xml:space="preserve">by way of school fees but more broadly in terms of the incidence of taxation in Vanuatu.  In the absence of income taxation in Vanuatu (much less a progressive scale of income taxation) and the country’s reliance upon consumption taxes in various forms, its poorer households are contributing a relatively higher share of their household incomes to </w:t>
      </w:r>
      <w:proofErr w:type="spellStart"/>
      <w:r w:rsidRPr="00413D58">
        <w:rPr>
          <w:rFonts w:eastAsia="Arial"/>
        </w:rPr>
        <w:t>GoV</w:t>
      </w:r>
      <w:proofErr w:type="spellEnd"/>
      <w:r w:rsidRPr="00413D58">
        <w:rPr>
          <w:rFonts w:eastAsia="Arial"/>
        </w:rPr>
        <w:t xml:space="preserve"> taxation revenue than richer households</w:t>
      </w:r>
      <w:r>
        <w:rPr>
          <w:rFonts w:eastAsia="Arial"/>
        </w:rPr>
        <w:t xml:space="preserve">, </w:t>
      </w:r>
      <w:proofErr w:type="spellStart"/>
      <w:r>
        <w:rPr>
          <w:rFonts w:eastAsia="Arial"/>
        </w:rPr>
        <w:t>GoV</w:t>
      </w:r>
      <w:proofErr w:type="spellEnd"/>
      <w:r>
        <w:rPr>
          <w:rFonts w:eastAsia="Arial"/>
        </w:rPr>
        <w:t xml:space="preserve"> revenue that funds </w:t>
      </w:r>
      <w:proofErr w:type="spellStart"/>
      <w:r>
        <w:rPr>
          <w:rFonts w:eastAsia="Arial"/>
        </w:rPr>
        <w:t>GoV</w:t>
      </w:r>
      <w:proofErr w:type="spellEnd"/>
      <w:r>
        <w:rPr>
          <w:rFonts w:eastAsia="Arial"/>
        </w:rPr>
        <w:t xml:space="preserve"> public expenditure on education</w:t>
      </w:r>
      <w:r w:rsidRPr="00413D58">
        <w:rPr>
          <w:rFonts w:eastAsia="Arial"/>
        </w:rPr>
        <w:t>.</w:t>
      </w:r>
      <w:r w:rsidRPr="00413D58">
        <w:rPr>
          <w:rStyle w:val="FootnoteReference"/>
          <w:rFonts w:eastAsia="Arial"/>
        </w:rPr>
        <w:footnoteReference w:id="51"/>
      </w:r>
      <w:r w:rsidRPr="00413D58">
        <w:rPr>
          <w:rFonts w:eastAsia="Arial"/>
        </w:rPr>
        <w:t xml:space="preserve">  Any attempt to quantify the relationship between ‘who benefits’ and ‘who pays’ would entail data collection and analysis extending far beyond the scope of the present review.</w:t>
      </w:r>
    </w:p>
    <w:p w:rsidR="00BA1D08" w:rsidRPr="00413D58" w:rsidRDefault="00BA1D08" w:rsidP="00BA1D08">
      <w:pPr>
        <w:jc w:val="both"/>
        <w:rPr>
          <w:rFonts w:eastAsia="Arial"/>
        </w:rPr>
      </w:pPr>
    </w:p>
    <w:p w:rsidR="00BA1D08" w:rsidRPr="00413D58" w:rsidRDefault="00627F36" w:rsidP="00BA1D08">
      <w:pPr>
        <w:jc w:val="both"/>
        <w:rPr>
          <w:rFonts w:eastAsia="Arial"/>
        </w:rPr>
      </w:pPr>
      <w:r>
        <w:rPr>
          <w:rFonts w:eastAsia="Arial"/>
        </w:rPr>
        <w:t xml:space="preserve">Insofar as the current pattern of beneficiaries is considered to be unduly skewed in favour of richer households </w:t>
      </w:r>
      <w:r w:rsidR="002E1736">
        <w:rPr>
          <w:rFonts w:eastAsia="Arial"/>
        </w:rPr>
        <w:t xml:space="preserve">in urban areas </w:t>
      </w:r>
      <w:r w:rsidR="00BA1D08" w:rsidRPr="00413D58">
        <w:rPr>
          <w:rFonts w:eastAsia="Arial"/>
        </w:rPr>
        <w:t>the review makes the following suggestions.</w:t>
      </w:r>
    </w:p>
    <w:p w:rsidR="00BA1D08" w:rsidRPr="00413D58" w:rsidRDefault="00BA1D08" w:rsidP="00BA1D08">
      <w:pPr>
        <w:jc w:val="both"/>
        <w:rPr>
          <w:rFonts w:eastAsia="Arial"/>
        </w:rPr>
      </w:pPr>
    </w:p>
    <w:p w:rsidR="00BA1D08" w:rsidRPr="00413D58" w:rsidRDefault="00BA1D08" w:rsidP="00D34AA0">
      <w:pPr>
        <w:pStyle w:val="ListParagraph"/>
        <w:numPr>
          <w:ilvl w:val="0"/>
          <w:numId w:val="51"/>
        </w:numPr>
        <w:jc w:val="both"/>
        <w:rPr>
          <w:rFonts w:eastAsia="Arial"/>
        </w:rPr>
      </w:pPr>
      <w:r w:rsidRPr="00413D58">
        <w:rPr>
          <w:rFonts w:eastAsia="Arial"/>
        </w:rPr>
        <w:t xml:space="preserve">Research findings consistently suggest that the </w:t>
      </w:r>
      <w:r w:rsidRPr="00413D58">
        <w:rPr>
          <w:rFonts w:eastAsia="Arial"/>
          <w:i/>
        </w:rPr>
        <w:t>social</w:t>
      </w:r>
      <w:r w:rsidRPr="00413D58">
        <w:rPr>
          <w:rFonts w:eastAsia="Arial"/>
        </w:rPr>
        <w:t xml:space="preserve"> returns to public investment in education are higher for investment in the primary sector relative to secondary and </w:t>
      </w:r>
      <w:proofErr w:type="spellStart"/>
      <w:r w:rsidRPr="00413D58">
        <w:rPr>
          <w:rFonts w:eastAsia="Arial"/>
        </w:rPr>
        <w:t>post secondary</w:t>
      </w:r>
      <w:proofErr w:type="spellEnd"/>
      <w:r w:rsidRPr="00413D58">
        <w:rPr>
          <w:rFonts w:eastAsia="Arial"/>
        </w:rPr>
        <w:t xml:space="preserve"> sectors.</w:t>
      </w:r>
    </w:p>
    <w:p w:rsidR="00BA1D08" w:rsidRPr="00EB09DF" w:rsidRDefault="00BA1D08" w:rsidP="00BA1D08">
      <w:pPr>
        <w:pStyle w:val="ListParagraph"/>
        <w:numPr>
          <w:ilvl w:val="0"/>
          <w:numId w:val="51"/>
        </w:numPr>
        <w:jc w:val="both"/>
        <w:rPr>
          <w:rFonts w:eastAsia="Arial"/>
        </w:rPr>
      </w:pPr>
      <w:r w:rsidRPr="00EB09DF">
        <w:rPr>
          <w:rFonts w:eastAsia="Arial"/>
        </w:rPr>
        <w:t xml:space="preserve">Insofar as the </w:t>
      </w:r>
      <w:proofErr w:type="spellStart"/>
      <w:r w:rsidRPr="00EB09DF">
        <w:rPr>
          <w:rFonts w:eastAsia="Arial"/>
        </w:rPr>
        <w:t>GoV</w:t>
      </w:r>
      <w:proofErr w:type="spellEnd"/>
      <w:r w:rsidRPr="00EB09DF">
        <w:rPr>
          <w:rFonts w:eastAsia="Arial"/>
        </w:rPr>
        <w:t xml:space="preserve"> wishes to narrow differentials in access to </w:t>
      </w:r>
      <w:r w:rsidRPr="00EB09DF">
        <w:rPr>
          <w:rFonts w:eastAsia="Arial"/>
          <w:i/>
        </w:rPr>
        <w:t>quality</w:t>
      </w:r>
      <w:r w:rsidRPr="00EB09DF">
        <w:rPr>
          <w:rFonts w:eastAsia="Arial"/>
        </w:rPr>
        <w:t xml:space="preserve"> education at the </w:t>
      </w:r>
      <w:r w:rsidRPr="00EB09DF">
        <w:rPr>
          <w:rFonts w:eastAsia="Arial"/>
          <w:i/>
        </w:rPr>
        <w:t>primary</w:t>
      </w:r>
      <w:r w:rsidRPr="00EB09DF">
        <w:rPr>
          <w:rFonts w:eastAsia="Arial"/>
        </w:rPr>
        <w:t xml:space="preserve"> level it has four main instruments at its disposal:</w:t>
      </w:r>
    </w:p>
    <w:p w:rsidR="00BA1D08" w:rsidRPr="00413D58" w:rsidRDefault="00BA1D08" w:rsidP="00D34AA0">
      <w:pPr>
        <w:pStyle w:val="ListParagraph"/>
        <w:numPr>
          <w:ilvl w:val="1"/>
          <w:numId w:val="52"/>
        </w:numPr>
        <w:jc w:val="both"/>
        <w:rPr>
          <w:rFonts w:eastAsia="Arial"/>
        </w:rPr>
      </w:pPr>
      <w:r w:rsidRPr="00413D58">
        <w:rPr>
          <w:rFonts w:eastAsia="Arial"/>
        </w:rPr>
        <w:t xml:space="preserve">The allocation of its own and </w:t>
      </w:r>
      <w:r w:rsidR="00B9036D">
        <w:rPr>
          <w:rFonts w:eastAsia="Arial"/>
        </w:rPr>
        <w:t>d</w:t>
      </w:r>
      <w:r w:rsidRPr="00413D58">
        <w:rPr>
          <w:rFonts w:eastAsia="Arial"/>
        </w:rPr>
        <w:t xml:space="preserve">evelopment </w:t>
      </w:r>
      <w:r w:rsidR="00B9036D">
        <w:rPr>
          <w:rFonts w:eastAsia="Arial"/>
        </w:rPr>
        <w:t>p</w:t>
      </w:r>
      <w:r w:rsidRPr="00413D58">
        <w:rPr>
          <w:rFonts w:eastAsia="Arial"/>
        </w:rPr>
        <w:t>artner funding to support increased in-service training for unqualified/uncertified teachers in rural areas sufficient to increase, over time, the proportion of teachers in rural areas with at least basic qualifications for teaching.</w:t>
      </w:r>
    </w:p>
    <w:p w:rsidR="00BA1D08" w:rsidRPr="00413D58" w:rsidRDefault="00BA1D08" w:rsidP="00D34AA0">
      <w:pPr>
        <w:pStyle w:val="ListParagraph"/>
        <w:numPr>
          <w:ilvl w:val="1"/>
          <w:numId w:val="52"/>
        </w:numPr>
        <w:jc w:val="both"/>
        <w:rPr>
          <w:rFonts w:eastAsia="Arial"/>
        </w:rPr>
      </w:pPr>
      <w:r w:rsidRPr="00413D58">
        <w:rPr>
          <w:rFonts w:eastAsia="Arial"/>
        </w:rPr>
        <w:t xml:space="preserve">Review of procedures for the allocation to, and term of, </w:t>
      </w:r>
      <w:proofErr w:type="spellStart"/>
      <w:r w:rsidRPr="00413D58">
        <w:rPr>
          <w:rFonts w:eastAsia="Arial"/>
        </w:rPr>
        <w:t>GoV</w:t>
      </w:r>
      <w:proofErr w:type="spellEnd"/>
      <w:r w:rsidRPr="00413D58">
        <w:rPr>
          <w:rFonts w:eastAsia="Arial"/>
        </w:rPr>
        <w:t xml:space="preserve">-funded teacher deployment to primary schools as between rural and urban areas, and related to this the review of primary school teacher pay and incentive structures (see also Section 2.1.2).  </w:t>
      </w:r>
    </w:p>
    <w:p w:rsidR="00BA1D08" w:rsidRPr="00413D58" w:rsidRDefault="00BA1D08" w:rsidP="00D34AA0">
      <w:pPr>
        <w:pStyle w:val="ListParagraph"/>
        <w:numPr>
          <w:ilvl w:val="1"/>
          <w:numId w:val="52"/>
        </w:numPr>
        <w:jc w:val="both"/>
        <w:rPr>
          <w:rFonts w:eastAsia="Arial"/>
        </w:rPr>
      </w:pPr>
      <w:r w:rsidRPr="00413D58">
        <w:rPr>
          <w:rFonts w:eastAsia="Arial"/>
        </w:rPr>
        <w:t xml:space="preserve">The introduction to the structure of the primary school grants and to the allocation of funding to Provincial Education Offices of some element related to the relative needs of individual schools (see below). </w:t>
      </w:r>
    </w:p>
    <w:p w:rsidR="00BA1D08" w:rsidRPr="00413D58" w:rsidRDefault="00BA1D08" w:rsidP="00D34AA0">
      <w:pPr>
        <w:pStyle w:val="ListParagraph"/>
        <w:numPr>
          <w:ilvl w:val="1"/>
          <w:numId w:val="52"/>
        </w:numPr>
        <w:jc w:val="both"/>
        <w:rPr>
          <w:rFonts w:eastAsia="Arial"/>
        </w:rPr>
      </w:pPr>
      <w:r w:rsidRPr="00413D58">
        <w:rPr>
          <w:rFonts w:eastAsia="Arial"/>
        </w:rPr>
        <w:t xml:space="preserve">The allocation of its own and </w:t>
      </w:r>
      <w:r w:rsidR="00B9036D">
        <w:rPr>
          <w:rFonts w:eastAsia="Arial"/>
        </w:rPr>
        <w:t>d</w:t>
      </w:r>
      <w:r w:rsidRPr="00413D58">
        <w:rPr>
          <w:rFonts w:eastAsia="Arial"/>
        </w:rPr>
        <w:t xml:space="preserve">evelopment </w:t>
      </w:r>
      <w:r w:rsidR="00B9036D">
        <w:rPr>
          <w:rFonts w:eastAsia="Arial"/>
        </w:rPr>
        <w:t>p</w:t>
      </w:r>
      <w:r w:rsidRPr="00413D58">
        <w:rPr>
          <w:rFonts w:eastAsia="Arial"/>
        </w:rPr>
        <w:t>artner funding for investment in improved school infrastructure as between rural and urban areas with a bias towards rural areas.</w:t>
      </w:r>
    </w:p>
    <w:p w:rsidR="00BA1D08" w:rsidRPr="00413D58" w:rsidRDefault="00BA1D08" w:rsidP="00D34AA0">
      <w:pPr>
        <w:pStyle w:val="ListParagraph"/>
        <w:numPr>
          <w:ilvl w:val="0"/>
          <w:numId w:val="51"/>
        </w:numPr>
        <w:jc w:val="both"/>
        <w:rPr>
          <w:rFonts w:eastAsia="Arial"/>
        </w:rPr>
      </w:pPr>
      <w:r w:rsidRPr="00413D58">
        <w:rPr>
          <w:rFonts w:eastAsia="Arial"/>
        </w:rPr>
        <w:t xml:space="preserve">Insofar as the </w:t>
      </w:r>
      <w:proofErr w:type="spellStart"/>
      <w:r w:rsidRPr="00413D58">
        <w:rPr>
          <w:rFonts w:eastAsia="Arial"/>
        </w:rPr>
        <w:t>GoV</w:t>
      </w:r>
      <w:proofErr w:type="spellEnd"/>
      <w:r w:rsidRPr="00413D58">
        <w:rPr>
          <w:rFonts w:eastAsia="Arial"/>
        </w:rPr>
        <w:t xml:space="preserve"> wishes to narrow differentials in access to </w:t>
      </w:r>
      <w:r w:rsidRPr="00413D58">
        <w:rPr>
          <w:rFonts w:eastAsia="Arial"/>
          <w:i/>
        </w:rPr>
        <w:t>quality</w:t>
      </w:r>
      <w:r w:rsidRPr="00413D58">
        <w:rPr>
          <w:rFonts w:eastAsia="Arial"/>
        </w:rPr>
        <w:t xml:space="preserve"> education at the </w:t>
      </w:r>
      <w:r w:rsidRPr="00413D58">
        <w:rPr>
          <w:rFonts w:eastAsia="Arial"/>
          <w:i/>
        </w:rPr>
        <w:t>secondary</w:t>
      </w:r>
      <w:r w:rsidRPr="00413D58">
        <w:rPr>
          <w:rFonts w:eastAsia="Arial"/>
        </w:rPr>
        <w:t xml:space="preserve"> level, having regard to the constraints imposed by geography and minimum viable intakes (especially at senior secondary level), the most promising instruments at its disposal are review of the structure of secondary school grants and, related to this, the possibility of introducing bursaries/scholarships for access to senior secondary schooling</w:t>
      </w:r>
      <w:r w:rsidR="00B9036D">
        <w:rPr>
          <w:rFonts w:eastAsia="Arial"/>
        </w:rPr>
        <w:t>.</w:t>
      </w:r>
      <w:r w:rsidRPr="00413D58">
        <w:rPr>
          <w:rFonts w:eastAsia="Arial"/>
        </w:rPr>
        <w:t xml:space="preserve"> </w:t>
      </w:r>
    </w:p>
    <w:p w:rsidR="00BA1D08" w:rsidRPr="00413D58" w:rsidRDefault="00BA1D08" w:rsidP="00D34AA0">
      <w:pPr>
        <w:pStyle w:val="ListParagraph"/>
        <w:numPr>
          <w:ilvl w:val="0"/>
          <w:numId w:val="53"/>
        </w:numPr>
        <w:jc w:val="both"/>
        <w:rPr>
          <w:rFonts w:eastAsia="Arial"/>
        </w:rPr>
      </w:pPr>
      <w:r w:rsidRPr="00413D58">
        <w:rPr>
          <w:rFonts w:eastAsia="Arial"/>
        </w:rPr>
        <w:t xml:space="preserve">Insofar as the </w:t>
      </w:r>
      <w:proofErr w:type="spellStart"/>
      <w:r w:rsidRPr="00413D58">
        <w:rPr>
          <w:rFonts w:eastAsia="Arial"/>
        </w:rPr>
        <w:t>GoV</w:t>
      </w:r>
      <w:proofErr w:type="spellEnd"/>
      <w:r w:rsidRPr="00413D58">
        <w:rPr>
          <w:rFonts w:eastAsia="Arial"/>
        </w:rPr>
        <w:t xml:space="preserve"> wishes to narrow differentials in access to </w:t>
      </w:r>
      <w:proofErr w:type="spellStart"/>
      <w:r w:rsidRPr="00413D58">
        <w:rPr>
          <w:rFonts w:eastAsia="Arial"/>
        </w:rPr>
        <w:t>post secondary</w:t>
      </w:r>
      <w:proofErr w:type="spellEnd"/>
      <w:r w:rsidRPr="00413D58">
        <w:rPr>
          <w:rFonts w:eastAsia="Arial"/>
        </w:rPr>
        <w:t xml:space="preserve"> education (including tertiary scholarships) its best approaches would be to: actively encourage female participation in all forms of TVET; rigorously enforce merit-based selection procedures for both males and females in relation to TVET and tertiary education opportunities; and apply strict gender parity in its awards of </w:t>
      </w:r>
      <w:proofErr w:type="spellStart"/>
      <w:r w:rsidRPr="00413D58">
        <w:rPr>
          <w:rFonts w:eastAsia="Arial"/>
        </w:rPr>
        <w:t>GoV</w:t>
      </w:r>
      <w:proofErr w:type="spellEnd"/>
      <w:r w:rsidRPr="00413D58">
        <w:rPr>
          <w:rFonts w:eastAsia="Arial"/>
        </w:rPr>
        <w:t>-funded tertiary scholarships.</w:t>
      </w:r>
    </w:p>
    <w:p w:rsidR="00BA1D08" w:rsidRPr="00413D58" w:rsidRDefault="00BA1D08" w:rsidP="00BA1D08">
      <w:pPr>
        <w:jc w:val="both"/>
        <w:rPr>
          <w:rFonts w:eastAsia="Arial"/>
        </w:rPr>
      </w:pPr>
    </w:p>
    <w:p w:rsidR="00BA1D08" w:rsidRPr="00413D58" w:rsidRDefault="00BA1D08" w:rsidP="00BA1D08">
      <w:pPr>
        <w:jc w:val="both"/>
        <w:rPr>
          <w:rFonts w:eastAsia="Arial"/>
        </w:rPr>
      </w:pPr>
      <w:r w:rsidRPr="00413D58">
        <w:rPr>
          <w:rFonts w:eastAsia="Arial"/>
        </w:rPr>
        <w:t xml:space="preserve">As an instrument for narrowing differentials in access to primary and secondary education the current structure of the </w:t>
      </w:r>
      <w:proofErr w:type="spellStart"/>
      <w:r w:rsidRPr="00413D58">
        <w:rPr>
          <w:rFonts w:eastAsia="Arial"/>
        </w:rPr>
        <w:t>GoV’s</w:t>
      </w:r>
      <w:proofErr w:type="spellEnd"/>
      <w:r w:rsidRPr="00413D58">
        <w:rPr>
          <w:rFonts w:eastAsia="Arial"/>
        </w:rPr>
        <w:t xml:space="preserve"> school grant mechanisms merits particular attention.  At both levels, and particularly at primary level since the introduction of substantially increased per-student grants for Years 1-6 in 2010:</w:t>
      </w:r>
    </w:p>
    <w:p w:rsidR="00BA1D08" w:rsidRPr="00413D58" w:rsidRDefault="00BA1D08" w:rsidP="00BA1D08">
      <w:pPr>
        <w:jc w:val="both"/>
        <w:rPr>
          <w:rFonts w:eastAsia="Arial"/>
        </w:rPr>
      </w:pPr>
    </w:p>
    <w:p w:rsidR="00BA1D08" w:rsidRPr="00413D58" w:rsidRDefault="00BA1D08" w:rsidP="00D34AA0">
      <w:pPr>
        <w:pStyle w:val="ListParagraph"/>
        <w:numPr>
          <w:ilvl w:val="0"/>
          <w:numId w:val="53"/>
        </w:numPr>
        <w:jc w:val="both"/>
        <w:rPr>
          <w:rFonts w:eastAsia="Arial"/>
        </w:rPr>
      </w:pPr>
      <w:r w:rsidRPr="00413D58">
        <w:rPr>
          <w:rFonts w:eastAsia="Arial"/>
        </w:rPr>
        <w:lastRenderedPageBreak/>
        <w:t>The current grant structures are unrelated to parents’ ability to contribute (and in the case of primary school grants, have displaced at least VT300 million per year in funding that households  were previously contributing - willingly or otherwise).</w:t>
      </w:r>
    </w:p>
    <w:p w:rsidR="00BA1D08" w:rsidRPr="00413D58" w:rsidRDefault="00BA1D08" w:rsidP="00D34AA0">
      <w:pPr>
        <w:pStyle w:val="ListParagraph"/>
        <w:numPr>
          <w:ilvl w:val="0"/>
          <w:numId w:val="53"/>
        </w:numPr>
        <w:jc w:val="both"/>
        <w:rPr>
          <w:rFonts w:eastAsia="Arial"/>
        </w:rPr>
      </w:pPr>
      <w:r w:rsidRPr="00413D58">
        <w:rPr>
          <w:rFonts w:eastAsia="Arial"/>
        </w:rPr>
        <w:t>They are also unrelated to the funding needs of individual schools in terms of recurrent and investment requirements needed to reach minimum standards.</w:t>
      </w:r>
    </w:p>
    <w:p w:rsidR="00BA1D08" w:rsidRPr="00413D58" w:rsidRDefault="00BA1D08" w:rsidP="00BA1D08">
      <w:pPr>
        <w:jc w:val="both"/>
        <w:rPr>
          <w:rFonts w:eastAsia="Arial"/>
        </w:rPr>
      </w:pPr>
    </w:p>
    <w:p w:rsidR="00BA1D08" w:rsidRPr="00413D58" w:rsidRDefault="00BA1D08" w:rsidP="00BA1D08">
      <w:pPr>
        <w:jc w:val="both"/>
        <w:rPr>
          <w:rFonts w:eastAsia="Arial"/>
        </w:rPr>
      </w:pPr>
      <w:r w:rsidRPr="00413D58">
        <w:rPr>
          <w:rFonts w:eastAsia="Arial"/>
        </w:rPr>
        <w:t xml:space="preserve">A good case in principle could be made for means-testing the eligibility of students for school grants by reference to parental/household income.  However, this is almost certainly </w:t>
      </w:r>
      <w:r w:rsidR="00627F36">
        <w:rPr>
          <w:rFonts w:eastAsia="Arial"/>
        </w:rPr>
        <w:t xml:space="preserve">not </w:t>
      </w:r>
      <w:r w:rsidRPr="00413D58">
        <w:rPr>
          <w:rFonts w:eastAsia="Arial"/>
        </w:rPr>
        <w:t>practical in the Vanuatu context.  The more realistic approach may be to restructure the grants in a cost-neutral way such that, while every primary/secondary student continues to attract an equal per-student grant, the schools in which they enrol receive a supplementary grant based on objective assessments of relative school improvement needs and schools’ commitment to achieving them.</w:t>
      </w:r>
      <w:r w:rsidR="00627F36">
        <w:rPr>
          <w:rFonts w:eastAsia="Arial"/>
        </w:rPr>
        <w:t xml:space="preserve">  See Section 3 Recommendation 5.</w:t>
      </w:r>
    </w:p>
    <w:p w:rsidR="00BA1D08" w:rsidRPr="00413D58" w:rsidRDefault="00BA1D08" w:rsidP="00BA1D08">
      <w:pPr>
        <w:jc w:val="both"/>
        <w:rPr>
          <w:rFonts w:eastAsia="Arial"/>
        </w:rPr>
      </w:pPr>
    </w:p>
    <w:p w:rsidR="00BA1D08" w:rsidRDefault="00BA1D08" w:rsidP="00BA1D08">
      <w:pPr>
        <w:jc w:val="both"/>
        <w:rPr>
          <w:rFonts w:eastAsia="Arial"/>
        </w:rPr>
      </w:pPr>
      <w:r w:rsidRPr="00413D58">
        <w:rPr>
          <w:rFonts w:eastAsia="Arial"/>
        </w:rPr>
        <w:t xml:space="preserve">This approach could be complemented at the secondary level by the introduction of strictly merit-based bursaries/scholarships - most preferably means-tested if at all practicable - for junior secondary students to attend senior secondary schools (especially students from rural areas lacking close access to senior secondary schooling). </w:t>
      </w:r>
    </w:p>
    <w:p w:rsidR="00635B90" w:rsidRDefault="00635B90" w:rsidP="00160C19">
      <w:pPr>
        <w:pStyle w:val="Heading2"/>
      </w:pPr>
      <w:bookmarkStart w:id="165" w:name="_Toc341210802"/>
      <w:bookmarkStart w:id="166" w:name="_Toc341210921"/>
      <w:bookmarkStart w:id="167" w:name="_Toc341265739"/>
      <w:bookmarkStart w:id="168" w:name="_Toc343257302"/>
      <w:bookmarkStart w:id="169" w:name="_Toc343257416"/>
    </w:p>
    <w:p w:rsidR="00BA1D08" w:rsidRDefault="00BA1D08" w:rsidP="00160C19">
      <w:pPr>
        <w:pStyle w:val="Heading2"/>
      </w:pPr>
      <w:bookmarkStart w:id="170" w:name="_Toc348711337"/>
      <w:r w:rsidRPr="006C3340">
        <w:t>2.4 Impacts (performance outcomes)</w:t>
      </w:r>
      <w:bookmarkEnd w:id="165"/>
      <w:bookmarkEnd w:id="166"/>
      <w:bookmarkEnd w:id="167"/>
      <w:bookmarkEnd w:id="168"/>
      <w:bookmarkEnd w:id="169"/>
      <w:bookmarkEnd w:id="170"/>
    </w:p>
    <w:p w:rsidR="00BA1D08" w:rsidRDefault="00BA1D08" w:rsidP="00BA1D08">
      <w:pPr>
        <w:jc w:val="both"/>
      </w:pPr>
    </w:p>
    <w:p w:rsidR="00BA1D08" w:rsidRPr="0068799A" w:rsidRDefault="00BA1D08" w:rsidP="00BA1D08">
      <w:pPr>
        <w:jc w:val="both"/>
        <w:rPr>
          <w:rFonts w:cs="Times New Roman"/>
        </w:rPr>
      </w:pPr>
      <w:r w:rsidRPr="0068799A">
        <w:rPr>
          <w:rFonts w:cs="Times New Roman"/>
        </w:rPr>
        <w:t>This Section addresses the question ‘has public expenditure on education had its intended impacts relative to strategic priorities and policy objectives’?  It does this by reference to the three key strategic goals specified by the Vanuatu Education Road Map (2009):</w:t>
      </w:r>
    </w:p>
    <w:p w:rsidR="00BA1D08" w:rsidRPr="0068799A" w:rsidRDefault="00BA1D08" w:rsidP="00BA1D08">
      <w:pPr>
        <w:pStyle w:val="Default"/>
        <w:ind w:left="60"/>
        <w:jc w:val="both"/>
        <w:rPr>
          <w:rFonts w:ascii="Times New Roman" w:hAnsi="Times New Roman" w:cs="Times New Roman"/>
        </w:rPr>
      </w:pPr>
    </w:p>
    <w:p w:rsidR="00BA1D08" w:rsidRPr="0068799A" w:rsidRDefault="00BA1D08" w:rsidP="00D34AA0">
      <w:pPr>
        <w:pStyle w:val="Default"/>
        <w:numPr>
          <w:ilvl w:val="0"/>
          <w:numId w:val="54"/>
        </w:numPr>
        <w:jc w:val="both"/>
        <w:rPr>
          <w:rFonts w:ascii="Times New Roman" w:hAnsi="Times New Roman" w:cs="Times New Roman"/>
        </w:rPr>
      </w:pPr>
      <w:r w:rsidRPr="0068799A">
        <w:rPr>
          <w:rFonts w:ascii="Times New Roman" w:hAnsi="Times New Roman" w:cs="Times New Roman"/>
          <w:b/>
          <w:bCs/>
        </w:rPr>
        <w:t xml:space="preserve">Strategic Goal 1 (Access): </w:t>
      </w:r>
      <w:r w:rsidRPr="0068799A">
        <w:rPr>
          <w:rFonts w:ascii="Times New Roman" w:hAnsi="Times New Roman" w:cs="Times New Roman"/>
        </w:rPr>
        <w:t xml:space="preserve">To increase equitable access to education for all people at all levels of education in Vanuatu (Section 2.4.1). </w:t>
      </w:r>
    </w:p>
    <w:p w:rsidR="00BA1D08" w:rsidRPr="0068799A" w:rsidRDefault="00BA1D08" w:rsidP="00D34AA0">
      <w:pPr>
        <w:pStyle w:val="Default"/>
        <w:numPr>
          <w:ilvl w:val="0"/>
          <w:numId w:val="54"/>
        </w:numPr>
        <w:jc w:val="both"/>
        <w:rPr>
          <w:rFonts w:ascii="Times New Roman" w:hAnsi="Times New Roman" w:cs="Times New Roman"/>
        </w:rPr>
      </w:pPr>
      <w:r w:rsidRPr="0068799A">
        <w:rPr>
          <w:rFonts w:ascii="Times New Roman" w:hAnsi="Times New Roman" w:cs="Times New Roman"/>
          <w:b/>
          <w:bCs/>
        </w:rPr>
        <w:t xml:space="preserve">Strategic Goal 2 (Quality): </w:t>
      </w:r>
      <w:r w:rsidRPr="0068799A">
        <w:rPr>
          <w:rFonts w:ascii="Times New Roman" w:hAnsi="Times New Roman" w:cs="Times New Roman"/>
        </w:rPr>
        <w:t xml:space="preserve">To improve the quality of education in Vanuatu (Section 2.4.2). </w:t>
      </w:r>
    </w:p>
    <w:p w:rsidR="00BA1D08" w:rsidRPr="0068799A" w:rsidRDefault="00BA1D08" w:rsidP="00D34AA0">
      <w:pPr>
        <w:pStyle w:val="Default"/>
        <w:numPr>
          <w:ilvl w:val="0"/>
          <w:numId w:val="54"/>
        </w:numPr>
        <w:jc w:val="both"/>
        <w:rPr>
          <w:rFonts w:ascii="Times New Roman" w:hAnsi="Times New Roman" w:cs="Times New Roman"/>
        </w:rPr>
      </w:pPr>
      <w:r w:rsidRPr="0068799A">
        <w:rPr>
          <w:rFonts w:ascii="Times New Roman" w:hAnsi="Times New Roman" w:cs="Times New Roman"/>
          <w:b/>
          <w:bCs/>
        </w:rPr>
        <w:t xml:space="preserve">Strategic Goal 3 (Management): </w:t>
      </w:r>
      <w:r w:rsidRPr="0068799A">
        <w:rPr>
          <w:rFonts w:ascii="Times New Roman" w:hAnsi="Times New Roman" w:cs="Times New Roman"/>
        </w:rPr>
        <w:t>To improve and strengthen the management of the education system in Vanuatu (Section 2.4.3).</w:t>
      </w:r>
    </w:p>
    <w:p w:rsidR="00BA1D08" w:rsidRPr="0068799A" w:rsidRDefault="00BA1D08" w:rsidP="00BA1D08">
      <w:pPr>
        <w:pStyle w:val="Default"/>
        <w:jc w:val="both"/>
        <w:rPr>
          <w:rFonts w:ascii="Times New Roman" w:hAnsi="Times New Roman" w:cs="Times New Roman"/>
        </w:rPr>
      </w:pPr>
    </w:p>
    <w:p w:rsidR="00BA1D08" w:rsidRPr="0068799A" w:rsidRDefault="00BA1D08" w:rsidP="00BA1D08">
      <w:pPr>
        <w:pStyle w:val="Default"/>
        <w:jc w:val="both"/>
        <w:rPr>
          <w:rFonts w:ascii="Times New Roman" w:hAnsi="Times New Roman" w:cs="Times New Roman"/>
        </w:rPr>
      </w:pPr>
      <w:r w:rsidRPr="0068799A">
        <w:rPr>
          <w:rFonts w:ascii="Times New Roman" w:hAnsi="Times New Roman" w:cs="Times New Roman"/>
        </w:rPr>
        <w:t>Consideration is also given to Vanuatu’s prospects for achieving the MDG/EFA goals in relation to education.</w:t>
      </w:r>
      <w:r w:rsidR="00EB09DF">
        <w:rPr>
          <w:rFonts w:ascii="Times New Roman" w:hAnsi="Times New Roman" w:cs="Times New Roman"/>
        </w:rPr>
        <w:t xml:space="preserve">  The main focus is upon </w:t>
      </w:r>
      <w:r w:rsidRPr="0068799A">
        <w:rPr>
          <w:rFonts w:ascii="Times New Roman" w:hAnsi="Times New Roman" w:cs="Times New Roman"/>
        </w:rPr>
        <w:t>impacts at the primary and secondary school levels.</w:t>
      </w:r>
    </w:p>
    <w:p w:rsidR="00BA1D08" w:rsidRPr="0068799A" w:rsidRDefault="00BA1D08" w:rsidP="00BA1D08">
      <w:pPr>
        <w:pStyle w:val="Default"/>
        <w:jc w:val="both"/>
        <w:rPr>
          <w:rFonts w:ascii="Times New Roman" w:hAnsi="Times New Roman" w:cs="Times New Roman"/>
        </w:rPr>
      </w:pPr>
    </w:p>
    <w:p w:rsidR="00BA1D08" w:rsidRDefault="00BA1D08" w:rsidP="00BA1D08">
      <w:pPr>
        <w:pStyle w:val="Default"/>
        <w:jc w:val="both"/>
      </w:pPr>
      <w:r w:rsidRPr="0068799A">
        <w:rPr>
          <w:rFonts w:ascii="Times New Roman" w:hAnsi="Times New Roman" w:cs="Times New Roman"/>
        </w:rPr>
        <w:t>The following assessments should be considered with a major qualification in mind</w:t>
      </w:r>
      <w:r w:rsidR="002E1736">
        <w:rPr>
          <w:rFonts w:ascii="Times New Roman" w:hAnsi="Times New Roman" w:cs="Times New Roman"/>
        </w:rPr>
        <w:t>, n</w:t>
      </w:r>
      <w:r w:rsidRPr="0068799A">
        <w:rPr>
          <w:rFonts w:ascii="Times New Roman" w:hAnsi="Times New Roman" w:cs="Times New Roman"/>
        </w:rPr>
        <w:t>amely that the links between public expenditure on education and education outcomes are partial at best.  A wide range of other factors (e.g. the values placed by parents and communities upon formal education of children, the extent to which subsequent incomes from employment are linked to formal educational attainment) influence participation in formal education and the outcomes thereof - see following Box.</w:t>
      </w:r>
    </w:p>
    <w:p w:rsidR="00BA1D08" w:rsidRDefault="00BA1D08" w:rsidP="00BA1D08">
      <w:pPr>
        <w:pStyle w:val="Default"/>
        <w:jc w:val="both"/>
      </w:pPr>
    </w:p>
    <w:tbl>
      <w:tblPr>
        <w:tblStyle w:val="TableGrid"/>
        <w:tblW w:w="8505" w:type="dxa"/>
        <w:jc w:val="center"/>
        <w:tblLook w:val="04A0" w:firstRow="1" w:lastRow="0" w:firstColumn="1" w:lastColumn="0" w:noHBand="0" w:noVBand="1"/>
        <w:tblCaption w:val="Public expenditure has not been the main determinant of educational performance"/>
        <w:tblDescription w:val="textbox"/>
      </w:tblPr>
      <w:tblGrid>
        <w:gridCol w:w="8505"/>
      </w:tblGrid>
      <w:tr w:rsidR="00BA1D08" w:rsidTr="00FC5C59">
        <w:trPr>
          <w:tblHeader/>
          <w:jc w:val="center"/>
        </w:trPr>
        <w:tc>
          <w:tcPr>
            <w:tcW w:w="9570" w:type="dxa"/>
          </w:tcPr>
          <w:p w:rsidR="00BA1D08" w:rsidRPr="0068799A" w:rsidRDefault="00BA1D08" w:rsidP="00C05FAA">
            <w:pPr>
              <w:autoSpaceDE w:val="0"/>
              <w:autoSpaceDN w:val="0"/>
              <w:adjustRightInd w:val="0"/>
              <w:rPr>
                <w:rFonts w:cs="Times New Roman"/>
                <w:b/>
                <w:color w:val="000000"/>
                <w:szCs w:val="24"/>
              </w:rPr>
            </w:pPr>
            <w:r w:rsidRPr="0068799A">
              <w:rPr>
                <w:rFonts w:cs="Times New Roman"/>
                <w:b/>
                <w:color w:val="000000"/>
                <w:szCs w:val="24"/>
              </w:rPr>
              <w:lastRenderedPageBreak/>
              <w:t>Public expenditure has not been the main determinant of educational performance</w:t>
            </w:r>
          </w:p>
          <w:p w:rsidR="00BA1D08" w:rsidRPr="0068799A" w:rsidRDefault="00BA1D08" w:rsidP="00C05FAA">
            <w:pPr>
              <w:autoSpaceDE w:val="0"/>
              <w:autoSpaceDN w:val="0"/>
              <w:adjustRightInd w:val="0"/>
              <w:rPr>
                <w:rFonts w:cs="Times New Roman"/>
                <w:color w:val="000000"/>
                <w:szCs w:val="24"/>
              </w:rPr>
            </w:pPr>
          </w:p>
          <w:p w:rsidR="00BA1D08" w:rsidRPr="0068799A" w:rsidRDefault="0068799A" w:rsidP="00C05FAA">
            <w:pPr>
              <w:autoSpaceDE w:val="0"/>
              <w:autoSpaceDN w:val="0"/>
              <w:adjustRightInd w:val="0"/>
              <w:jc w:val="both"/>
              <w:rPr>
                <w:rFonts w:cs="Times New Roman"/>
                <w:color w:val="292526"/>
                <w:szCs w:val="24"/>
              </w:rPr>
            </w:pPr>
            <w:r>
              <w:rPr>
                <w:rFonts w:cs="Times New Roman"/>
                <w:color w:val="292526"/>
                <w:szCs w:val="24"/>
              </w:rPr>
              <w:t>“</w:t>
            </w:r>
            <w:r w:rsidR="00BA1D08" w:rsidRPr="0068799A">
              <w:rPr>
                <w:rFonts w:cs="Times New Roman"/>
                <w:color w:val="292526"/>
                <w:szCs w:val="24"/>
              </w:rPr>
              <w:t xml:space="preserve">Many authors (e.g. </w:t>
            </w:r>
            <w:proofErr w:type="spellStart"/>
            <w:r w:rsidR="00BA1D08" w:rsidRPr="0068799A">
              <w:rPr>
                <w:rFonts w:cs="Times New Roman"/>
                <w:color w:val="292526"/>
                <w:szCs w:val="24"/>
              </w:rPr>
              <w:t>Mingat</w:t>
            </w:r>
            <w:proofErr w:type="spellEnd"/>
            <w:r w:rsidR="00BA1D08" w:rsidRPr="0068799A">
              <w:rPr>
                <w:rFonts w:cs="Times New Roman"/>
                <w:color w:val="292526"/>
                <w:szCs w:val="24"/>
              </w:rPr>
              <w:t xml:space="preserve"> &amp; Tan, 1992; </w:t>
            </w:r>
            <w:proofErr w:type="spellStart"/>
            <w:r w:rsidR="00BA1D08" w:rsidRPr="0068799A">
              <w:rPr>
                <w:rFonts w:cs="Times New Roman"/>
                <w:color w:val="292526"/>
                <w:szCs w:val="24"/>
              </w:rPr>
              <w:t>Filmer</w:t>
            </w:r>
            <w:proofErr w:type="spellEnd"/>
            <w:r w:rsidR="00BA1D08" w:rsidRPr="0068799A">
              <w:rPr>
                <w:rFonts w:cs="Times New Roman"/>
                <w:color w:val="292526"/>
                <w:szCs w:val="24"/>
              </w:rPr>
              <w:t xml:space="preserve"> &amp; Pritchett, 1999) have tested cross-country, econometric models relating education performance to public expenditure and other supply-side and demand-side variables. They have all found that factors other than expenditure have significant coefficients and explain a high proportion of the variance in performance, but that public expenditure (as a share of GNP or of public expenditure) has little explanatory power.</w:t>
            </w:r>
          </w:p>
          <w:p w:rsidR="00BA1D08" w:rsidRPr="0068799A" w:rsidRDefault="00BA1D08" w:rsidP="00C05FAA">
            <w:pPr>
              <w:autoSpaceDE w:val="0"/>
              <w:autoSpaceDN w:val="0"/>
              <w:adjustRightInd w:val="0"/>
              <w:jc w:val="both"/>
              <w:rPr>
                <w:rFonts w:cs="Times New Roman"/>
                <w:color w:val="292526"/>
                <w:szCs w:val="24"/>
              </w:rPr>
            </w:pPr>
          </w:p>
          <w:p w:rsidR="00BA1D08" w:rsidRPr="0068799A" w:rsidRDefault="00BA1D08" w:rsidP="00C05FAA">
            <w:pPr>
              <w:pStyle w:val="Default"/>
              <w:jc w:val="both"/>
              <w:rPr>
                <w:rFonts w:ascii="Times New Roman" w:hAnsi="Times New Roman" w:cs="Times New Roman"/>
                <w:color w:val="292526"/>
              </w:rPr>
            </w:pPr>
            <w:r w:rsidRPr="0068799A">
              <w:rPr>
                <w:rFonts w:ascii="Times New Roman" w:hAnsi="Times New Roman" w:cs="Times New Roman"/>
                <w:color w:val="292526"/>
              </w:rPr>
              <w:t xml:space="preserve">CAPE research using recent </w:t>
            </w:r>
            <w:proofErr w:type="spellStart"/>
            <w:r w:rsidRPr="0068799A">
              <w:rPr>
                <w:rFonts w:ascii="Times New Roman" w:hAnsi="Times New Roman" w:cs="Times New Roman"/>
                <w:color w:val="292526"/>
              </w:rPr>
              <w:t>EdStats</w:t>
            </w:r>
            <w:proofErr w:type="spellEnd"/>
            <w:r w:rsidRPr="0068799A">
              <w:rPr>
                <w:rFonts w:ascii="Times New Roman" w:hAnsi="Times New Roman" w:cs="Times New Roman"/>
                <w:color w:val="292526"/>
              </w:rPr>
              <w:t xml:space="preserve"> data from the late 1990s confirms these results. Demand side factors (income, and especially adult literacy) exert a powerful influence on enrolment and completion rates; low unit costs significantly favour enrolment (but not completion); but expenditure at best only weakly contributes to these outcomes.</w:t>
            </w:r>
          </w:p>
          <w:p w:rsidR="00BA1D08" w:rsidRPr="0068799A" w:rsidRDefault="00BA1D08" w:rsidP="00C05FAA">
            <w:pPr>
              <w:pStyle w:val="Default"/>
              <w:jc w:val="both"/>
              <w:rPr>
                <w:rFonts w:ascii="Times New Roman" w:hAnsi="Times New Roman" w:cs="Times New Roman"/>
                <w:color w:val="292526"/>
              </w:rPr>
            </w:pPr>
          </w:p>
          <w:p w:rsidR="00BA1D08" w:rsidRPr="0068799A" w:rsidRDefault="00BA1D08" w:rsidP="00C05FAA">
            <w:pPr>
              <w:pStyle w:val="Default"/>
              <w:jc w:val="both"/>
              <w:rPr>
                <w:rFonts w:ascii="Times New Roman" w:hAnsi="Times New Roman" w:cs="Times New Roman"/>
                <w:color w:val="292526"/>
              </w:rPr>
            </w:pPr>
            <w:r w:rsidRPr="0068799A">
              <w:rPr>
                <w:rFonts w:ascii="Times New Roman" w:hAnsi="Times New Roman" w:cs="Times New Roman"/>
                <w:color w:val="292526"/>
              </w:rPr>
              <w:t>These results do not mean that primary education could achieve the same outcomes without public expenditure, nor that more public expenditure could not improve educational outcomes. The correct interpretation is that (</w:t>
            </w:r>
            <w:proofErr w:type="spellStart"/>
            <w:r w:rsidRPr="0068799A">
              <w:rPr>
                <w:rFonts w:ascii="Times New Roman" w:hAnsi="Times New Roman" w:cs="Times New Roman"/>
                <w:color w:val="292526"/>
              </w:rPr>
              <w:t>i</w:t>
            </w:r>
            <w:proofErr w:type="spellEnd"/>
            <w:r w:rsidRPr="0068799A">
              <w:rPr>
                <w:rFonts w:ascii="Times New Roman" w:hAnsi="Times New Roman" w:cs="Times New Roman"/>
                <w:color w:val="292526"/>
              </w:rPr>
              <w:t xml:space="preserve">) expenditure (deflated by GDP) is a poor measure of effective inputs into schooling because its quality and efficiency is so variable, and (ii) the children of poor households will not complete their schooling unless their parents’ demand for education for their children is raised – </w:t>
            </w:r>
            <w:r w:rsidRPr="0068799A">
              <w:rPr>
                <w:rFonts w:ascii="Times New Roman" w:hAnsi="Times New Roman" w:cs="Times New Roman"/>
                <w:i/>
                <w:iCs/>
                <w:color w:val="292526"/>
              </w:rPr>
              <w:t xml:space="preserve">inter alia </w:t>
            </w:r>
            <w:r w:rsidRPr="0068799A">
              <w:rPr>
                <w:rFonts w:ascii="Times New Roman" w:hAnsi="Times New Roman" w:cs="Times New Roman"/>
                <w:color w:val="292526"/>
              </w:rPr>
              <w:t>by policy action.</w:t>
            </w:r>
            <w:r w:rsidR="0068799A">
              <w:rPr>
                <w:rFonts w:ascii="Times New Roman" w:hAnsi="Times New Roman" w:cs="Times New Roman"/>
                <w:color w:val="292526"/>
              </w:rPr>
              <w:t>”</w:t>
            </w:r>
          </w:p>
          <w:p w:rsidR="00BA1D08" w:rsidRPr="0068799A" w:rsidRDefault="00BA1D08" w:rsidP="00C05FAA">
            <w:pPr>
              <w:pStyle w:val="Default"/>
              <w:jc w:val="both"/>
              <w:rPr>
                <w:rFonts w:ascii="Times New Roman" w:hAnsi="Times New Roman" w:cs="Times New Roman"/>
              </w:rPr>
            </w:pPr>
          </w:p>
        </w:tc>
      </w:tr>
      <w:tr w:rsidR="00BA1D08" w:rsidTr="00C05FAA">
        <w:trPr>
          <w:jc w:val="center"/>
        </w:trPr>
        <w:tc>
          <w:tcPr>
            <w:tcW w:w="9570" w:type="dxa"/>
          </w:tcPr>
          <w:p w:rsidR="00BA1D08" w:rsidRPr="0068799A" w:rsidRDefault="00BA1D08" w:rsidP="00C05FAA">
            <w:pPr>
              <w:pStyle w:val="Default"/>
              <w:jc w:val="both"/>
              <w:rPr>
                <w:rFonts w:ascii="Times New Roman" w:hAnsi="Times New Roman" w:cs="Times New Roman"/>
              </w:rPr>
            </w:pPr>
            <w:r w:rsidRPr="0068799A">
              <w:rPr>
                <w:rFonts w:ascii="Times New Roman" w:hAnsi="Times New Roman" w:cs="Times New Roman"/>
              </w:rPr>
              <w:t xml:space="preserve">Source: reproduced verbatim from ‘Can we attain the Millennium Development Goals in Education and Health through public expenditure and aid?’ Overseas Development Institute Briefing Paper (April 2003).  </w:t>
            </w:r>
          </w:p>
        </w:tc>
      </w:tr>
    </w:tbl>
    <w:p w:rsidR="00BA1D08" w:rsidRDefault="00BA1D08" w:rsidP="00160C19">
      <w:pPr>
        <w:pStyle w:val="Heading2"/>
      </w:pPr>
      <w:bookmarkStart w:id="171" w:name="_Toc341210803"/>
      <w:bookmarkStart w:id="172" w:name="_Toc341210922"/>
      <w:bookmarkStart w:id="173" w:name="_Toc341265740"/>
      <w:bookmarkStart w:id="174" w:name="_Toc343257303"/>
      <w:bookmarkStart w:id="175" w:name="_Toc343257417"/>
      <w:bookmarkStart w:id="176" w:name="_Toc348711338"/>
      <w:r w:rsidRPr="006C3340">
        <w:t>2.4.1 Impacts on access</w:t>
      </w:r>
      <w:bookmarkEnd w:id="171"/>
      <w:bookmarkEnd w:id="172"/>
      <w:bookmarkEnd w:id="173"/>
      <w:bookmarkEnd w:id="174"/>
      <w:bookmarkEnd w:id="175"/>
      <w:bookmarkEnd w:id="176"/>
    </w:p>
    <w:p w:rsidR="00BA1D08" w:rsidRDefault="00BA1D08" w:rsidP="00BA1D08">
      <w:pPr>
        <w:jc w:val="both"/>
      </w:pPr>
    </w:p>
    <w:p w:rsidR="00BA1D08" w:rsidRDefault="00BA1D08" w:rsidP="00BA1D08">
      <w:pPr>
        <w:jc w:val="both"/>
      </w:pPr>
      <w:r>
        <w:t>From a long-term perspective public expenditure on education has undoubtedly raised the proportion of children of school age who attend school</w:t>
      </w:r>
      <w:r w:rsidR="00571727">
        <w:t xml:space="preserve">.  </w:t>
      </w:r>
      <w:r>
        <w:t>Moreover this has been achieved against the backdrop of high growth rates in Vanuatu’s population of school age.</w:t>
      </w:r>
    </w:p>
    <w:p w:rsidR="00BA1D08" w:rsidRDefault="00BA1D08" w:rsidP="00BA1D08">
      <w:pPr>
        <w:jc w:val="both"/>
      </w:pPr>
    </w:p>
    <w:p w:rsidR="00BA1D08" w:rsidRDefault="00BA1D08" w:rsidP="00BA1D08">
      <w:pPr>
        <w:jc w:val="both"/>
      </w:pPr>
      <w:r>
        <w:t xml:space="preserve">Recent trends are less encouraging when set against the VERM strategic goal for access.  Table </w:t>
      </w:r>
      <w:r w:rsidR="00571727">
        <w:t>3</w:t>
      </w:r>
      <w:r w:rsidR="00B063B7">
        <w:t>1</w:t>
      </w:r>
      <w:r>
        <w:t xml:space="preserve"> tracks recent access at primary and secondary levels.</w:t>
      </w:r>
    </w:p>
    <w:p w:rsidR="0068799A" w:rsidRDefault="0068799A" w:rsidP="00BA1D08">
      <w:pPr>
        <w:jc w:val="both"/>
      </w:pPr>
    </w:p>
    <w:tbl>
      <w:tblPr>
        <w:tblStyle w:val="TableGrid"/>
        <w:tblW w:w="8505" w:type="dxa"/>
        <w:jc w:val="center"/>
        <w:tblLook w:val="04A0" w:firstRow="1" w:lastRow="0" w:firstColumn="1" w:lastColumn="0" w:noHBand="0" w:noVBand="1"/>
        <w:tblCaption w:val="Table 31:  Key primary and secondary access indicators"/>
      </w:tblPr>
      <w:tblGrid>
        <w:gridCol w:w="2390"/>
        <w:gridCol w:w="1213"/>
        <w:gridCol w:w="1213"/>
        <w:gridCol w:w="1213"/>
        <w:gridCol w:w="1213"/>
        <w:gridCol w:w="1263"/>
      </w:tblGrid>
      <w:tr w:rsidR="00BA1D08" w:rsidTr="00D339A4">
        <w:trPr>
          <w:tblHeader/>
          <w:jc w:val="center"/>
        </w:trPr>
        <w:tc>
          <w:tcPr>
            <w:tcW w:w="9570" w:type="dxa"/>
            <w:gridSpan w:val="6"/>
            <w:shd w:val="clear" w:color="auto" w:fill="BFBFBF" w:themeFill="background1" w:themeFillShade="BF"/>
          </w:tcPr>
          <w:p w:rsidR="00743573" w:rsidRDefault="00BA1D08">
            <w:pPr>
              <w:jc w:val="both"/>
            </w:pPr>
            <w:r>
              <w:t xml:space="preserve">Table </w:t>
            </w:r>
            <w:r w:rsidR="00571727">
              <w:t>3</w:t>
            </w:r>
            <w:r w:rsidR="00A11254">
              <w:t>1</w:t>
            </w:r>
            <w:r>
              <w:t>:  Key primary and secondary access indicators</w:t>
            </w:r>
          </w:p>
        </w:tc>
      </w:tr>
      <w:tr w:rsidR="00BA1D08" w:rsidTr="0068799A">
        <w:trPr>
          <w:jc w:val="center"/>
        </w:trPr>
        <w:tc>
          <w:tcPr>
            <w:tcW w:w="2734" w:type="dxa"/>
          </w:tcPr>
          <w:p w:rsidR="00BA1D08" w:rsidRDefault="00BA1D08" w:rsidP="00C05FAA">
            <w:pPr>
              <w:jc w:val="right"/>
            </w:pPr>
            <w:r>
              <w:t>Year</w:t>
            </w:r>
          </w:p>
        </w:tc>
        <w:tc>
          <w:tcPr>
            <w:tcW w:w="1367" w:type="dxa"/>
          </w:tcPr>
          <w:p w:rsidR="00BA1D08" w:rsidRDefault="00BA1D08" w:rsidP="00C05FAA">
            <w:pPr>
              <w:jc w:val="center"/>
            </w:pPr>
            <w:r>
              <w:t>2008</w:t>
            </w:r>
          </w:p>
        </w:tc>
        <w:tc>
          <w:tcPr>
            <w:tcW w:w="1367" w:type="dxa"/>
          </w:tcPr>
          <w:p w:rsidR="00BA1D08" w:rsidRDefault="00BA1D08" w:rsidP="00C05FAA">
            <w:pPr>
              <w:jc w:val="center"/>
            </w:pPr>
            <w:r>
              <w:t>2009</w:t>
            </w:r>
          </w:p>
        </w:tc>
        <w:tc>
          <w:tcPr>
            <w:tcW w:w="1367" w:type="dxa"/>
          </w:tcPr>
          <w:p w:rsidR="00BA1D08" w:rsidRDefault="00BA1D08" w:rsidP="00C05FAA">
            <w:pPr>
              <w:jc w:val="center"/>
            </w:pPr>
            <w:r>
              <w:t>2010</w:t>
            </w:r>
          </w:p>
        </w:tc>
        <w:tc>
          <w:tcPr>
            <w:tcW w:w="1367" w:type="dxa"/>
          </w:tcPr>
          <w:p w:rsidR="00BA1D08" w:rsidRDefault="00BA1D08" w:rsidP="00C05FAA">
            <w:pPr>
              <w:jc w:val="center"/>
            </w:pPr>
            <w:r>
              <w:t>2011</w:t>
            </w:r>
          </w:p>
        </w:tc>
        <w:tc>
          <w:tcPr>
            <w:tcW w:w="1368" w:type="dxa"/>
          </w:tcPr>
          <w:p w:rsidR="00BA1D08" w:rsidRDefault="00BA1D08" w:rsidP="00C05FAA">
            <w:pPr>
              <w:jc w:val="center"/>
            </w:pPr>
            <w:r>
              <w:t>VERM Target for 2015</w:t>
            </w:r>
          </w:p>
        </w:tc>
      </w:tr>
      <w:tr w:rsidR="00BA1D08" w:rsidTr="0068799A">
        <w:trPr>
          <w:jc w:val="center"/>
        </w:trPr>
        <w:tc>
          <w:tcPr>
            <w:tcW w:w="2734" w:type="dxa"/>
          </w:tcPr>
          <w:p w:rsidR="00BA1D08" w:rsidRDefault="00BA1D08" w:rsidP="00C05FAA">
            <w:r>
              <w:t>Net Intake Rate Year 1</w:t>
            </w:r>
          </w:p>
        </w:tc>
        <w:tc>
          <w:tcPr>
            <w:tcW w:w="1367" w:type="dxa"/>
          </w:tcPr>
          <w:p w:rsidR="00BA1D08" w:rsidRDefault="00BA1D08" w:rsidP="00C05FAA">
            <w:pPr>
              <w:jc w:val="center"/>
            </w:pPr>
            <w:r>
              <w:t>40%</w:t>
            </w:r>
          </w:p>
        </w:tc>
        <w:tc>
          <w:tcPr>
            <w:tcW w:w="1367" w:type="dxa"/>
          </w:tcPr>
          <w:p w:rsidR="00BA1D08" w:rsidRDefault="00BA1D08" w:rsidP="00C05FAA">
            <w:pPr>
              <w:jc w:val="center"/>
            </w:pPr>
            <w:r>
              <w:t>36%</w:t>
            </w:r>
          </w:p>
        </w:tc>
        <w:tc>
          <w:tcPr>
            <w:tcW w:w="1367" w:type="dxa"/>
          </w:tcPr>
          <w:p w:rsidR="00BA1D08" w:rsidRDefault="00BA1D08" w:rsidP="00C05FAA">
            <w:pPr>
              <w:jc w:val="center"/>
            </w:pPr>
            <w:r>
              <w:t>40%</w:t>
            </w:r>
          </w:p>
        </w:tc>
        <w:tc>
          <w:tcPr>
            <w:tcW w:w="1367" w:type="dxa"/>
          </w:tcPr>
          <w:p w:rsidR="00BA1D08" w:rsidRDefault="00BA1D08" w:rsidP="00C05FAA">
            <w:pPr>
              <w:jc w:val="center"/>
            </w:pPr>
            <w:r>
              <w:t>37%</w:t>
            </w:r>
          </w:p>
        </w:tc>
        <w:tc>
          <w:tcPr>
            <w:tcW w:w="1368" w:type="dxa"/>
          </w:tcPr>
          <w:p w:rsidR="00BA1D08" w:rsidRDefault="00BA1D08" w:rsidP="00C05FAA">
            <w:pPr>
              <w:jc w:val="center"/>
            </w:pPr>
            <w:r>
              <w:t xml:space="preserve">Not stated </w:t>
            </w:r>
          </w:p>
        </w:tc>
      </w:tr>
      <w:tr w:rsidR="00BA1D08" w:rsidTr="0068799A">
        <w:trPr>
          <w:jc w:val="center"/>
        </w:trPr>
        <w:tc>
          <w:tcPr>
            <w:tcW w:w="2734" w:type="dxa"/>
          </w:tcPr>
          <w:p w:rsidR="00BA1D08" w:rsidRDefault="00BA1D08" w:rsidP="00C05FAA">
            <w:r>
              <w:t>Net Enrolment Rate Years 1-6</w:t>
            </w:r>
          </w:p>
        </w:tc>
        <w:tc>
          <w:tcPr>
            <w:tcW w:w="1367" w:type="dxa"/>
          </w:tcPr>
          <w:p w:rsidR="00BA1D08" w:rsidRDefault="00BA1D08" w:rsidP="00C05FAA">
            <w:pPr>
              <w:jc w:val="center"/>
            </w:pPr>
            <w:r>
              <w:t>87%</w:t>
            </w:r>
          </w:p>
        </w:tc>
        <w:tc>
          <w:tcPr>
            <w:tcW w:w="1367" w:type="dxa"/>
          </w:tcPr>
          <w:p w:rsidR="00BA1D08" w:rsidRDefault="00BA1D08" w:rsidP="00C05FAA">
            <w:pPr>
              <w:jc w:val="center"/>
            </w:pPr>
            <w:r>
              <w:t>85%</w:t>
            </w:r>
          </w:p>
        </w:tc>
        <w:tc>
          <w:tcPr>
            <w:tcW w:w="1367" w:type="dxa"/>
          </w:tcPr>
          <w:p w:rsidR="00BA1D08" w:rsidRDefault="00BA1D08" w:rsidP="00C05FAA">
            <w:pPr>
              <w:jc w:val="center"/>
            </w:pPr>
            <w:r>
              <w:t>88%</w:t>
            </w:r>
          </w:p>
        </w:tc>
        <w:tc>
          <w:tcPr>
            <w:tcW w:w="1367" w:type="dxa"/>
          </w:tcPr>
          <w:p w:rsidR="00BA1D08" w:rsidRDefault="00BA1D08" w:rsidP="00C05FAA">
            <w:pPr>
              <w:jc w:val="center"/>
            </w:pPr>
            <w:r>
              <w:t>88%</w:t>
            </w:r>
          </w:p>
        </w:tc>
        <w:tc>
          <w:tcPr>
            <w:tcW w:w="1368" w:type="dxa"/>
          </w:tcPr>
          <w:p w:rsidR="00BA1D08" w:rsidRDefault="00BA1D08" w:rsidP="00C05FAA">
            <w:pPr>
              <w:jc w:val="center"/>
            </w:pPr>
            <w:r>
              <w:t>100%</w:t>
            </w:r>
          </w:p>
        </w:tc>
      </w:tr>
      <w:tr w:rsidR="00BA1D08" w:rsidTr="0068799A">
        <w:trPr>
          <w:jc w:val="center"/>
        </w:trPr>
        <w:tc>
          <w:tcPr>
            <w:tcW w:w="2734" w:type="dxa"/>
          </w:tcPr>
          <w:p w:rsidR="00BA1D08" w:rsidRDefault="00BA1D08" w:rsidP="00C05FAA">
            <w:r>
              <w:t>Net Enrolment Rate Years 7+</w:t>
            </w:r>
          </w:p>
        </w:tc>
        <w:tc>
          <w:tcPr>
            <w:tcW w:w="1367" w:type="dxa"/>
          </w:tcPr>
          <w:p w:rsidR="00BA1D08" w:rsidRDefault="00BA1D08" w:rsidP="00C05FAA">
            <w:pPr>
              <w:jc w:val="center"/>
            </w:pPr>
            <w:r>
              <w:t>26%</w:t>
            </w:r>
          </w:p>
        </w:tc>
        <w:tc>
          <w:tcPr>
            <w:tcW w:w="1367" w:type="dxa"/>
          </w:tcPr>
          <w:p w:rsidR="00BA1D08" w:rsidRDefault="00BA1D08" w:rsidP="00C05FAA">
            <w:pPr>
              <w:jc w:val="center"/>
            </w:pPr>
            <w:r>
              <w:t>29%</w:t>
            </w:r>
          </w:p>
        </w:tc>
        <w:tc>
          <w:tcPr>
            <w:tcW w:w="1367" w:type="dxa"/>
          </w:tcPr>
          <w:p w:rsidR="00BA1D08" w:rsidRDefault="00BA1D08" w:rsidP="00C05FAA">
            <w:pPr>
              <w:jc w:val="center"/>
            </w:pPr>
            <w:r>
              <w:t>32%</w:t>
            </w:r>
          </w:p>
        </w:tc>
        <w:tc>
          <w:tcPr>
            <w:tcW w:w="1367" w:type="dxa"/>
          </w:tcPr>
          <w:p w:rsidR="00BA1D08" w:rsidRDefault="00BA1D08" w:rsidP="00C05FAA">
            <w:pPr>
              <w:jc w:val="center"/>
            </w:pPr>
            <w:r>
              <w:t>32%</w:t>
            </w:r>
          </w:p>
        </w:tc>
        <w:tc>
          <w:tcPr>
            <w:tcW w:w="1368" w:type="dxa"/>
          </w:tcPr>
          <w:p w:rsidR="00BA1D08" w:rsidRDefault="00BA1D08" w:rsidP="00B9036D">
            <w:pPr>
              <w:jc w:val="center"/>
            </w:pPr>
            <w:r>
              <w:t>100%</w:t>
            </w:r>
          </w:p>
        </w:tc>
      </w:tr>
      <w:tr w:rsidR="00BA1D08" w:rsidTr="0068799A">
        <w:trPr>
          <w:jc w:val="center"/>
        </w:trPr>
        <w:tc>
          <w:tcPr>
            <w:tcW w:w="9570" w:type="dxa"/>
            <w:gridSpan w:val="6"/>
          </w:tcPr>
          <w:p w:rsidR="00BA1D08" w:rsidRDefault="00BA1D08" w:rsidP="00C05FAA">
            <w:r>
              <w:t>Source: VEMIS.</w:t>
            </w:r>
          </w:p>
        </w:tc>
      </w:tr>
    </w:tbl>
    <w:p w:rsidR="00BA1D08" w:rsidRDefault="00BA1D08" w:rsidP="00BA1D08">
      <w:pPr>
        <w:jc w:val="both"/>
      </w:pPr>
    </w:p>
    <w:p w:rsidR="00BA1D08" w:rsidRDefault="00BA1D08" w:rsidP="00BA1D08">
      <w:pPr>
        <w:jc w:val="both"/>
      </w:pPr>
      <w:r>
        <w:t xml:space="preserve">Net Intake and Enrolment Rates at primary level have been static (at best) over the period 2008-2011.  Some emphasis has been placed in recent reporting on the upsurge in primary </w:t>
      </w:r>
      <w:r w:rsidRPr="00806A42">
        <w:rPr>
          <w:u w:val="single"/>
        </w:rPr>
        <w:t>gross</w:t>
      </w:r>
      <w:r>
        <w:t xml:space="preserve"> enrolment rates in 2010 and 2011 following the substantial increase in per-enrolee primary </w:t>
      </w:r>
      <w:r>
        <w:lastRenderedPageBreak/>
        <w:t>school grants commencing 2010.  However, based on the above data that upsurge has not been translated into any increase in correct-age entry enrolments and may well prove to have been a ‘one-off’ event</w:t>
      </w:r>
      <w:r w:rsidR="00B9036D">
        <w:t xml:space="preserve">.  </w:t>
      </w:r>
      <w:r>
        <w:t xml:space="preserve">There is little point in enrolling more children of every age in the education system if subsequently, via drop outs and for other </w:t>
      </w:r>
      <w:proofErr w:type="gramStart"/>
      <w:r>
        <w:t>reasons,</w:t>
      </w:r>
      <w:proofErr w:type="gramEnd"/>
      <w:r>
        <w:t xml:space="preserve"> education outcomes are not noticeably improved</w:t>
      </w:r>
      <w:r w:rsidR="00B9036D">
        <w:t>.</w:t>
      </w:r>
    </w:p>
    <w:p w:rsidR="00BA1D08" w:rsidRDefault="00BA1D08" w:rsidP="00BA1D08">
      <w:pPr>
        <w:jc w:val="both"/>
      </w:pPr>
    </w:p>
    <w:p w:rsidR="00BA1D08" w:rsidRDefault="00BA1D08" w:rsidP="00BA1D08">
      <w:pPr>
        <w:jc w:val="both"/>
      </w:pPr>
      <w:r>
        <w:t>Net enrolments rates for Years 7 plus continue to fall substantially below any measure of universal access to secondary education.</w:t>
      </w:r>
    </w:p>
    <w:p w:rsidR="00BA1D08" w:rsidRDefault="00BA1D08" w:rsidP="00BA1D08">
      <w:pPr>
        <w:jc w:val="both"/>
      </w:pPr>
    </w:p>
    <w:p w:rsidR="00BA1D08" w:rsidRDefault="00BA1D08" w:rsidP="00BA1D08">
      <w:pPr>
        <w:jc w:val="both"/>
      </w:pPr>
      <w:r>
        <w:t xml:space="preserve">Reliable time series data for enrolments in </w:t>
      </w:r>
      <w:proofErr w:type="spellStart"/>
      <w:r>
        <w:t>post secondary</w:t>
      </w:r>
      <w:proofErr w:type="spellEnd"/>
      <w:r>
        <w:t xml:space="preserve"> education are not available.  VEMIS has, however, reported the number of scholarship recipients (not graduates) for the period 2006-2011 - see Table </w:t>
      </w:r>
      <w:r w:rsidR="00571727">
        <w:t>3</w:t>
      </w:r>
      <w:r w:rsidR="00B063B7">
        <w:t>2</w:t>
      </w:r>
      <w:r>
        <w:t xml:space="preserve">. </w:t>
      </w:r>
    </w:p>
    <w:p w:rsidR="00BA1D08" w:rsidRDefault="00BA1D08" w:rsidP="00BA1D08">
      <w:pPr>
        <w:jc w:val="both"/>
      </w:pPr>
    </w:p>
    <w:tbl>
      <w:tblPr>
        <w:tblStyle w:val="TableGrid"/>
        <w:tblW w:w="8505" w:type="dxa"/>
        <w:jc w:val="center"/>
        <w:tblLook w:val="04A0" w:firstRow="1" w:lastRow="0" w:firstColumn="1" w:lastColumn="0" w:noHBand="0" w:noVBand="1"/>
        <w:tblCaption w:val="Table 32: Scholarship recipient numbers"/>
      </w:tblPr>
      <w:tblGrid>
        <w:gridCol w:w="2149"/>
        <w:gridCol w:w="1059"/>
        <w:gridCol w:w="1059"/>
        <w:gridCol w:w="1059"/>
        <w:gridCol w:w="1059"/>
        <w:gridCol w:w="1060"/>
        <w:gridCol w:w="1060"/>
      </w:tblGrid>
      <w:tr w:rsidR="00BA1D08" w:rsidTr="00D061AC">
        <w:trPr>
          <w:tblHeader/>
          <w:jc w:val="center"/>
        </w:trPr>
        <w:tc>
          <w:tcPr>
            <w:tcW w:w="9570" w:type="dxa"/>
            <w:gridSpan w:val="7"/>
            <w:shd w:val="clear" w:color="auto" w:fill="BFBFBF" w:themeFill="background1" w:themeFillShade="BF"/>
          </w:tcPr>
          <w:p w:rsidR="00743573" w:rsidRDefault="00BA1D08">
            <w:pPr>
              <w:jc w:val="both"/>
            </w:pPr>
            <w:r>
              <w:t xml:space="preserve">Table </w:t>
            </w:r>
            <w:r w:rsidR="00571727">
              <w:t>3</w:t>
            </w:r>
            <w:r w:rsidR="00A11254">
              <w:t>2</w:t>
            </w:r>
            <w:r>
              <w:t>: Scholarship recipient numbers</w:t>
            </w:r>
          </w:p>
        </w:tc>
      </w:tr>
      <w:tr w:rsidR="00BA1D08" w:rsidTr="0068799A">
        <w:trPr>
          <w:jc w:val="center"/>
        </w:trPr>
        <w:tc>
          <w:tcPr>
            <w:tcW w:w="2392" w:type="dxa"/>
          </w:tcPr>
          <w:p w:rsidR="00BA1D08" w:rsidRDefault="00BA1D08" w:rsidP="00C05FAA">
            <w:pPr>
              <w:jc w:val="right"/>
            </w:pPr>
            <w:r>
              <w:t>Year</w:t>
            </w:r>
          </w:p>
        </w:tc>
        <w:tc>
          <w:tcPr>
            <w:tcW w:w="1196" w:type="dxa"/>
          </w:tcPr>
          <w:p w:rsidR="00BA1D08" w:rsidRDefault="00BA1D08" w:rsidP="00C05FAA">
            <w:pPr>
              <w:jc w:val="center"/>
            </w:pPr>
            <w:r>
              <w:t>2006</w:t>
            </w:r>
          </w:p>
        </w:tc>
        <w:tc>
          <w:tcPr>
            <w:tcW w:w="1196" w:type="dxa"/>
          </w:tcPr>
          <w:p w:rsidR="00BA1D08" w:rsidRDefault="00BA1D08" w:rsidP="00C05FAA">
            <w:pPr>
              <w:jc w:val="center"/>
            </w:pPr>
            <w:r>
              <w:t>2007</w:t>
            </w:r>
          </w:p>
        </w:tc>
        <w:tc>
          <w:tcPr>
            <w:tcW w:w="1196" w:type="dxa"/>
          </w:tcPr>
          <w:p w:rsidR="00BA1D08" w:rsidRDefault="00BA1D08" w:rsidP="00C05FAA">
            <w:pPr>
              <w:jc w:val="center"/>
            </w:pPr>
            <w:r>
              <w:t>2008</w:t>
            </w:r>
          </w:p>
        </w:tc>
        <w:tc>
          <w:tcPr>
            <w:tcW w:w="1196" w:type="dxa"/>
          </w:tcPr>
          <w:p w:rsidR="00BA1D08" w:rsidRDefault="00BA1D08" w:rsidP="00C05FAA">
            <w:pPr>
              <w:jc w:val="center"/>
            </w:pPr>
            <w:r>
              <w:t>2009</w:t>
            </w:r>
          </w:p>
        </w:tc>
        <w:tc>
          <w:tcPr>
            <w:tcW w:w="1197" w:type="dxa"/>
          </w:tcPr>
          <w:p w:rsidR="00BA1D08" w:rsidRDefault="00BA1D08" w:rsidP="00C05FAA">
            <w:pPr>
              <w:jc w:val="center"/>
            </w:pPr>
            <w:r>
              <w:t>2010</w:t>
            </w:r>
          </w:p>
        </w:tc>
        <w:tc>
          <w:tcPr>
            <w:tcW w:w="1197" w:type="dxa"/>
          </w:tcPr>
          <w:p w:rsidR="00BA1D08" w:rsidRDefault="00BA1D08" w:rsidP="00C05FAA">
            <w:pPr>
              <w:jc w:val="center"/>
            </w:pPr>
            <w:r>
              <w:t>2011</w:t>
            </w:r>
          </w:p>
        </w:tc>
      </w:tr>
      <w:tr w:rsidR="00BA1D08" w:rsidTr="0068799A">
        <w:trPr>
          <w:jc w:val="center"/>
        </w:trPr>
        <w:tc>
          <w:tcPr>
            <w:tcW w:w="2392" w:type="dxa"/>
          </w:tcPr>
          <w:p w:rsidR="00BA1D08" w:rsidRDefault="00BA1D08" w:rsidP="00C05FAA">
            <w:proofErr w:type="spellStart"/>
            <w:r>
              <w:t>GoV</w:t>
            </w:r>
            <w:proofErr w:type="spellEnd"/>
            <w:r>
              <w:t xml:space="preserve">-funded </w:t>
            </w:r>
          </w:p>
        </w:tc>
        <w:tc>
          <w:tcPr>
            <w:tcW w:w="1196" w:type="dxa"/>
          </w:tcPr>
          <w:p w:rsidR="00BA1D08" w:rsidRDefault="00BA1D08" w:rsidP="00C05FAA">
            <w:pPr>
              <w:jc w:val="center"/>
            </w:pPr>
            <w:r>
              <w:t>103</w:t>
            </w:r>
          </w:p>
        </w:tc>
        <w:tc>
          <w:tcPr>
            <w:tcW w:w="1196" w:type="dxa"/>
          </w:tcPr>
          <w:p w:rsidR="00BA1D08" w:rsidRDefault="00BA1D08" w:rsidP="00C05FAA">
            <w:pPr>
              <w:jc w:val="center"/>
            </w:pPr>
            <w:r>
              <w:t>105</w:t>
            </w:r>
          </w:p>
        </w:tc>
        <w:tc>
          <w:tcPr>
            <w:tcW w:w="1196" w:type="dxa"/>
          </w:tcPr>
          <w:p w:rsidR="00BA1D08" w:rsidRDefault="00BA1D08" w:rsidP="00C05FAA">
            <w:pPr>
              <w:jc w:val="center"/>
            </w:pPr>
            <w:r>
              <w:t>120</w:t>
            </w:r>
          </w:p>
        </w:tc>
        <w:tc>
          <w:tcPr>
            <w:tcW w:w="1196" w:type="dxa"/>
          </w:tcPr>
          <w:p w:rsidR="00BA1D08" w:rsidRDefault="00BA1D08" w:rsidP="00C05FAA">
            <w:pPr>
              <w:jc w:val="center"/>
            </w:pPr>
            <w:r>
              <w:t>107</w:t>
            </w:r>
          </w:p>
        </w:tc>
        <w:tc>
          <w:tcPr>
            <w:tcW w:w="1197" w:type="dxa"/>
          </w:tcPr>
          <w:p w:rsidR="00BA1D08" w:rsidRDefault="00BA1D08" w:rsidP="00C05FAA">
            <w:pPr>
              <w:jc w:val="center"/>
            </w:pPr>
            <w:r>
              <w:t>172</w:t>
            </w:r>
          </w:p>
        </w:tc>
        <w:tc>
          <w:tcPr>
            <w:tcW w:w="1197" w:type="dxa"/>
          </w:tcPr>
          <w:p w:rsidR="00BA1D08" w:rsidRDefault="00BA1D08" w:rsidP="00C05FAA">
            <w:pPr>
              <w:jc w:val="center"/>
            </w:pPr>
            <w:r>
              <w:t>326</w:t>
            </w:r>
          </w:p>
        </w:tc>
      </w:tr>
      <w:tr w:rsidR="00BA1D08" w:rsidTr="0068799A">
        <w:trPr>
          <w:jc w:val="center"/>
        </w:trPr>
        <w:tc>
          <w:tcPr>
            <w:tcW w:w="2392" w:type="dxa"/>
          </w:tcPr>
          <w:p w:rsidR="00BA1D08" w:rsidRDefault="00BA1D08" w:rsidP="00C05FAA">
            <w:r>
              <w:t>Development Partner funded</w:t>
            </w:r>
          </w:p>
        </w:tc>
        <w:tc>
          <w:tcPr>
            <w:tcW w:w="1196" w:type="dxa"/>
          </w:tcPr>
          <w:p w:rsidR="00BA1D08" w:rsidRDefault="00BA1D08" w:rsidP="00C05FAA">
            <w:pPr>
              <w:jc w:val="center"/>
            </w:pPr>
            <w:r>
              <w:t>157</w:t>
            </w:r>
          </w:p>
        </w:tc>
        <w:tc>
          <w:tcPr>
            <w:tcW w:w="1196" w:type="dxa"/>
          </w:tcPr>
          <w:p w:rsidR="00BA1D08" w:rsidRDefault="00BA1D08" w:rsidP="00C05FAA">
            <w:pPr>
              <w:jc w:val="center"/>
            </w:pPr>
            <w:r>
              <w:t>151</w:t>
            </w:r>
          </w:p>
        </w:tc>
        <w:tc>
          <w:tcPr>
            <w:tcW w:w="1196" w:type="dxa"/>
          </w:tcPr>
          <w:p w:rsidR="00BA1D08" w:rsidRDefault="00BA1D08" w:rsidP="00C05FAA">
            <w:pPr>
              <w:jc w:val="center"/>
            </w:pPr>
            <w:r>
              <w:t>158</w:t>
            </w:r>
          </w:p>
        </w:tc>
        <w:tc>
          <w:tcPr>
            <w:tcW w:w="1196" w:type="dxa"/>
          </w:tcPr>
          <w:p w:rsidR="00BA1D08" w:rsidRDefault="00BA1D08" w:rsidP="00C05FAA">
            <w:pPr>
              <w:jc w:val="center"/>
            </w:pPr>
            <w:r>
              <w:t>161</w:t>
            </w:r>
          </w:p>
        </w:tc>
        <w:tc>
          <w:tcPr>
            <w:tcW w:w="1197" w:type="dxa"/>
          </w:tcPr>
          <w:p w:rsidR="00BA1D08" w:rsidRDefault="00BA1D08" w:rsidP="00C05FAA">
            <w:pPr>
              <w:jc w:val="center"/>
            </w:pPr>
            <w:r>
              <w:t>251</w:t>
            </w:r>
          </w:p>
        </w:tc>
        <w:tc>
          <w:tcPr>
            <w:tcW w:w="1197" w:type="dxa"/>
          </w:tcPr>
          <w:p w:rsidR="00BA1D08" w:rsidRDefault="00BA1D08" w:rsidP="00C05FAA">
            <w:pPr>
              <w:jc w:val="center"/>
            </w:pPr>
            <w:r>
              <w:t>267</w:t>
            </w:r>
          </w:p>
        </w:tc>
      </w:tr>
      <w:tr w:rsidR="00BA1D08" w:rsidTr="0068799A">
        <w:trPr>
          <w:jc w:val="center"/>
        </w:trPr>
        <w:tc>
          <w:tcPr>
            <w:tcW w:w="9570" w:type="dxa"/>
            <w:gridSpan w:val="7"/>
          </w:tcPr>
          <w:p w:rsidR="00BA1D08" w:rsidRDefault="00BA1D08" w:rsidP="00C05FAA">
            <w:pPr>
              <w:jc w:val="both"/>
            </w:pPr>
            <w:r>
              <w:t xml:space="preserve">Source: Annual Statistical Report 2010-2011, </w:t>
            </w:r>
            <w:proofErr w:type="spellStart"/>
            <w:r>
              <w:t>MoE</w:t>
            </w:r>
            <w:proofErr w:type="spellEnd"/>
            <w:r>
              <w:t>, (June 2012), page 32 Table 1-40.</w:t>
            </w:r>
          </w:p>
        </w:tc>
      </w:tr>
    </w:tbl>
    <w:p w:rsidR="00BA1D08" w:rsidRDefault="00BA1D08" w:rsidP="00BA1D08">
      <w:pPr>
        <w:jc w:val="both"/>
      </w:pPr>
    </w:p>
    <w:p w:rsidR="00BA1D08" w:rsidRDefault="00BA1D08" w:rsidP="00BA1D08">
      <w:pPr>
        <w:jc w:val="both"/>
      </w:pPr>
      <w:r>
        <w:t xml:space="preserve">The substantial percentage increase in recipients of </w:t>
      </w:r>
      <w:proofErr w:type="spellStart"/>
      <w:r>
        <w:t>GoV</w:t>
      </w:r>
      <w:proofErr w:type="spellEnd"/>
      <w:r>
        <w:t xml:space="preserve">-funded scholarships over the period 2006-2011 (+ 316%) is consistent with the expenditure trends documented in Section 2.1.  This has clearly improved ‘access’ to </w:t>
      </w:r>
      <w:proofErr w:type="spellStart"/>
      <w:r>
        <w:t>GoV</w:t>
      </w:r>
      <w:proofErr w:type="spellEnd"/>
      <w:r>
        <w:t xml:space="preserve">-funded scholarships, albeit from a low base and of questionable cost-benefit in </w:t>
      </w:r>
      <w:r w:rsidR="009C3253">
        <w:t xml:space="preserve">social </w:t>
      </w:r>
      <w:r>
        <w:t>terms.  While lesser, the substantial percentage increase in DP-funded scholarship recipients over the same period is - as reported by VEMIS</w:t>
      </w:r>
      <w:r w:rsidR="00B9036D">
        <w:t xml:space="preserve"> -</w:t>
      </w:r>
      <w:r>
        <w:t xml:space="preserve"> primarily attributable to a substantial increase in scholarships funded by New Zealand in 2010 and 2011.</w:t>
      </w:r>
    </w:p>
    <w:p w:rsidR="00BA1D08" w:rsidRPr="007D4728" w:rsidRDefault="00BA1D08" w:rsidP="00160C19">
      <w:pPr>
        <w:pStyle w:val="Heading2"/>
      </w:pPr>
      <w:bookmarkStart w:id="177" w:name="_Toc341210804"/>
      <w:bookmarkStart w:id="178" w:name="_Toc341210923"/>
      <w:bookmarkStart w:id="179" w:name="_Toc341265741"/>
      <w:bookmarkStart w:id="180" w:name="_Toc343257304"/>
      <w:bookmarkStart w:id="181" w:name="_Toc343257418"/>
      <w:bookmarkStart w:id="182" w:name="_Toc348711339"/>
      <w:r>
        <w:t>2.</w:t>
      </w:r>
      <w:r w:rsidRPr="007D4728">
        <w:t>4.2 Impacts on quality</w:t>
      </w:r>
      <w:bookmarkEnd w:id="177"/>
      <w:bookmarkEnd w:id="178"/>
      <w:bookmarkEnd w:id="179"/>
      <w:bookmarkEnd w:id="180"/>
      <w:bookmarkEnd w:id="181"/>
      <w:bookmarkEnd w:id="182"/>
    </w:p>
    <w:p w:rsidR="00BA1D08" w:rsidRDefault="00BA1D08" w:rsidP="00BA1D08">
      <w:pPr>
        <w:jc w:val="both"/>
      </w:pPr>
    </w:p>
    <w:p w:rsidR="00BA1D08" w:rsidRDefault="00BA1D08" w:rsidP="00BA1D08">
      <w:pPr>
        <w:jc w:val="both"/>
        <w:rPr>
          <w:u w:val="single"/>
        </w:rPr>
      </w:pPr>
      <w:r w:rsidRPr="00970E71">
        <w:rPr>
          <w:u w:val="single"/>
        </w:rPr>
        <w:t>Quality of inputs</w:t>
      </w:r>
    </w:p>
    <w:p w:rsidR="00BA1D08" w:rsidRDefault="00BA1D08" w:rsidP="00BA1D08">
      <w:pPr>
        <w:jc w:val="both"/>
      </w:pPr>
    </w:p>
    <w:p w:rsidR="00BA1D08" w:rsidRDefault="00BA1D08" w:rsidP="00BA1D08">
      <w:pPr>
        <w:jc w:val="both"/>
      </w:pPr>
      <w:r>
        <w:t xml:space="preserve">Notwithstanding substantial improvements in the quality and scope of VEMIS data in recent years it remains difficult to assess trends in the ‘quality’ of inputs to Vanuatu’s education system from one year to the next, not least because the presentation of data in the annual reports derived from VEMIS statistics varies from one year to the next.  Table </w:t>
      </w:r>
      <w:r w:rsidR="00571727">
        <w:t>3</w:t>
      </w:r>
      <w:r w:rsidR="00B063B7">
        <w:t>3</w:t>
      </w:r>
      <w:r>
        <w:t xml:space="preserve"> reproduces time series data for </w:t>
      </w:r>
      <w:r w:rsidR="00B063B7">
        <w:t>four</w:t>
      </w:r>
      <w:r>
        <w:t xml:space="preserve"> indicators of input ‘quality’ as recorded by VEMIS.</w:t>
      </w:r>
    </w:p>
    <w:p w:rsidR="00BA1D08" w:rsidRDefault="00BA1D08" w:rsidP="00BA1D08">
      <w:pPr>
        <w:jc w:val="both"/>
      </w:pPr>
    </w:p>
    <w:tbl>
      <w:tblPr>
        <w:tblStyle w:val="TableGrid"/>
        <w:tblW w:w="8505" w:type="dxa"/>
        <w:jc w:val="center"/>
        <w:tblLook w:val="04A0" w:firstRow="1" w:lastRow="0" w:firstColumn="1" w:lastColumn="0" w:noHBand="0" w:noVBand="1"/>
        <w:tblCaption w:val="Table 33: Some ‘input quality’ indicators"/>
      </w:tblPr>
      <w:tblGrid>
        <w:gridCol w:w="2504"/>
        <w:gridCol w:w="1200"/>
        <w:gridCol w:w="1200"/>
        <w:gridCol w:w="1200"/>
        <w:gridCol w:w="1200"/>
        <w:gridCol w:w="1201"/>
      </w:tblGrid>
      <w:tr w:rsidR="00BA1D08" w:rsidTr="00D339A4">
        <w:trPr>
          <w:tblHeader/>
          <w:jc w:val="center"/>
        </w:trPr>
        <w:tc>
          <w:tcPr>
            <w:tcW w:w="9570" w:type="dxa"/>
            <w:gridSpan w:val="6"/>
            <w:shd w:val="clear" w:color="auto" w:fill="BFBFBF" w:themeFill="background1" w:themeFillShade="BF"/>
          </w:tcPr>
          <w:p w:rsidR="00743573" w:rsidRDefault="00BA1D08">
            <w:pPr>
              <w:jc w:val="both"/>
            </w:pPr>
            <w:r>
              <w:t xml:space="preserve">Table </w:t>
            </w:r>
            <w:r w:rsidR="00571727">
              <w:t>3</w:t>
            </w:r>
            <w:r w:rsidR="00A11254">
              <w:t>3</w:t>
            </w:r>
            <w:r>
              <w:t>: Some ‘input quality’ indicators</w:t>
            </w:r>
          </w:p>
        </w:tc>
      </w:tr>
      <w:tr w:rsidR="00BA1D08" w:rsidTr="0068799A">
        <w:trPr>
          <w:jc w:val="center"/>
        </w:trPr>
        <w:tc>
          <w:tcPr>
            <w:tcW w:w="2734" w:type="dxa"/>
          </w:tcPr>
          <w:p w:rsidR="00BA1D08" w:rsidRDefault="00BA1D08" w:rsidP="00C05FAA">
            <w:pPr>
              <w:jc w:val="right"/>
            </w:pPr>
            <w:r>
              <w:t>Year</w:t>
            </w:r>
          </w:p>
        </w:tc>
        <w:tc>
          <w:tcPr>
            <w:tcW w:w="1367" w:type="dxa"/>
          </w:tcPr>
          <w:p w:rsidR="00BA1D08" w:rsidRDefault="00BA1D08" w:rsidP="00C05FAA">
            <w:pPr>
              <w:jc w:val="center"/>
            </w:pPr>
            <w:r>
              <w:t>2007</w:t>
            </w:r>
          </w:p>
        </w:tc>
        <w:tc>
          <w:tcPr>
            <w:tcW w:w="1367" w:type="dxa"/>
          </w:tcPr>
          <w:p w:rsidR="00BA1D08" w:rsidRDefault="00BA1D08" w:rsidP="00C05FAA">
            <w:pPr>
              <w:jc w:val="center"/>
            </w:pPr>
            <w:r>
              <w:t>2008</w:t>
            </w:r>
          </w:p>
        </w:tc>
        <w:tc>
          <w:tcPr>
            <w:tcW w:w="1367" w:type="dxa"/>
          </w:tcPr>
          <w:p w:rsidR="00BA1D08" w:rsidRDefault="00BA1D08" w:rsidP="00C05FAA">
            <w:pPr>
              <w:jc w:val="center"/>
            </w:pPr>
            <w:r>
              <w:t>2009</w:t>
            </w:r>
          </w:p>
        </w:tc>
        <w:tc>
          <w:tcPr>
            <w:tcW w:w="1367" w:type="dxa"/>
          </w:tcPr>
          <w:p w:rsidR="00BA1D08" w:rsidRDefault="00BA1D08" w:rsidP="00C05FAA">
            <w:pPr>
              <w:jc w:val="center"/>
            </w:pPr>
            <w:r>
              <w:t>2010</w:t>
            </w:r>
          </w:p>
        </w:tc>
        <w:tc>
          <w:tcPr>
            <w:tcW w:w="1368" w:type="dxa"/>
          </w:tcPr>
          <w:p w:rsidR="00BA1D08" w:rsidRDefault="00BA1D08" w:rsidP="00C05FAA">
            <w:pPr>
              <w:jc w:val="center"/>
            </w:pPr>
            <w:r>
              <w:t>2011</w:t>
            </w:r>
          </w:p>
        </w:tc>
      </w:tr>
      <w:tr w:rsidR="00BA1D08" w:rsidTr="0068799A">
        <w:trPr>
          <w:jc w:val="center"/>
        </w:trPr>
        <w:tc>
          <w:tcPr>
            <w:tcW w:w="2734" w:type="dxa"/>
          </w:tcPr>
          <w:p w:rsidR="00BA1D08" w:rsidRDefault="00BA1D08" w:rsidP="00C05FAA">
            <w:r>
              <w:t>1. % of Government Primary School Teachers certified</w:t>
            </w:r>
          </w:p>
        </w:tc>
        <w:tc>
          <w:tcPr>
            <w:tcW w:w="1367" w:type="dxa"/>
          </w:tcPr>
          <w:p w:rsidR="00BA1D08" w:rsidRDefault="00BA1D08" w:rsidP="00C05FAA">
            <w:pPr>
              <w:jc w:val="center"/>
            </w:pPr>
          </w:p>
          <w:p w:rsidR="00BA1D08" w:rsidRDefault="00BA1D08" w:rsidP="00C05FAA">
            <w:pPr>
              <w:jc w:val="center"/>
            </w:pPr>
            <w:r>
              <w:t>52.5%</w:t>
            </w:r>
          </w:p>
        </w:tc>
        <w:tc>
          <w:tcPr>
            <w:tcW w:w="1367" w:type="dxa"/>
          </w:tcPr>
          <w:p w:rsidR="00BA1D08" w:rsidRDefault="00BA1D08" w:rsidP="00C05FAA">
            <w:pPr>
              <w:jc w:val="center"/>
            </w:pPr>
          </w:p>
          <w:p w:rsidR="00BA1D08" w:rsidRDefault="00BA1D08" w:rsidP="00C05FAA">
            <w:pPr>
              <w:jc w:val="center"/>
            </w:pPr>
            <w:r>
              <w:t>50.9%</w:t>
            </w:r>
          </w:p>
        </w:tc>
        <w:tc>
          <w:tcPr>
            <w:tcW w:w="1367" w:type="dxa"/>
          </w:tcPr>
          <w:p w:rsidR="00BA1D08" w:rsidRDefault="00BA1D08" w:rsidP="00C05FAA">
            <w:pPr>
              <w:jc w:val="center"/>
            </w:pPr>
          </w:p>
          <w:p w:rsidR="00BA1D08" w:rsidRDefault="00BA1D08" w:rsidP="00C05FAA">
            <w:pPr>
              <w:jc w:val="center"/>
            </w:pPr>
            <w:r>
              <w:t>56.0%</w:t>
            </w:r>
          </w:p>
        </w:tc>
        <w:tc>
          <w:tcPr>
            <w:tcW w:w="1367" w:type="dxa"/>
          </w:tcPr>
          <w:p w:rsidR="00BA1D08" w:rsidRDefault="00BA1D08" w:rsidP="00C05FAA">
            <w:pPr>
              <w:jc w:val="center"/>
            </w:pPr>
          </w:p>
          <w:p w:rsidR="00BA1D08" w:rsidRDefault="00BA1D08" w:rsidP="00C05FAA">
            <w:pPr>
              <w:jc w:val="center"/>
            </w:pPr>
            <w:r>
              <w:t>58.9%</w:t>
            </w:r>
          </w:p>
        </w:tc>
        <w:tc>
          <w:tcPr>
            <w:tcW w:w="1368" w:type="dxa"/>
          </w:tcPr>
          <w:p w:rsidR="00BA1D08" w:rsidRDefault="00BA1D08" w:rsidP="00C05FAA">
            <w:pPr>
              <w:jc w:val="center"/>
            </w:pPr>
          </w:p>
          <w:p w:rsidR="00BA1D08" w:rsidRDefault="00BA1D08" w:rsidP="00C05FAA">
            <w:pPr>
              <w:jc w:val="center"/>
            </w:pPr>
            <w:r>
              <w:t>58.7%</w:t>
            </w:r>
          </w:p>
        </w:tc>
      </w:tr>
      <w:tr w:rsidR="00BA1D08" w:rsidTr="0068799A">
        <w:trPr>
          <w:jc w:val="center"/>
        </w:trPr>
        <w:tc>
          <w:tcPr>
            <w:tcW w:w="2734" w:type="dxa"/>
          </w:tcPr>
          <w:p w:rsidR="00BA1D08" w:rsidRDefault="00BA1D08" w:rsidP="00C05FAA">
            <w:r>
              <w:t>2. % of teachers attending in-service training:</w:t>
            </w:r>
          </w:p>
          <w:p w:rsidR="00BA1D08" w:rsidRDefault="00BA1D08" w:rsidP="00C05FAA">
            <w:pPr>
              <w:jc w:val="right"/>
            </w:pPr>
            <w:r>
              <w:t>ECE</w:t>
            </w:r>
          </w:p>
          <w:p w:rsidR="00BA1D08" w:rsidRDefault="00BA1D08" w:rsidP="00C05FAA">
            <w:pPr>
              <w:jc w:val="right"/>
            </w:pPr>
            <w:r>
              <w:t>Primary</w:t>
            </w:r>
          </w:p>
          <w:p w:rsidR="00BA1D08" w:rsidRDefault="00BA1D08" w:rsidP="00C05FAA">
            <w:pPr>
              <w:jc w:val="right"/>
            </w:pPr>
            <w:r>
              <w:t>Secondary</w:t>
            </w:r>
          </w:p>
        </w:tc>
        <w:tc>
          <w:tcPr>
            <w:tcW w:w="1367" w:type="dxa"/>
          </w:tcPr>
          <w:p w:rsidR="00BA1D08" w:rsidRDefault="00BA1D08" w:rsidP="00C05FAA">
            <w:pPr>
              <w:jc w:val="center"/>
            </w:pPr>
          </w:p>
          <w:p w:rsidR="00B063B7" w:rsidRDefault="00B063B7" w:rsidP="00C05FAA">
            <w:pPr>
              <w:jc w:val="center"/>
            </w:pPr>
          </w:p>
          <w:p w:rsidR="00BA1D08" w:rsidRDefault="00BA1D08" w:rsidP="00C05FAA">
            <w:pPr>
              <w:jc w:val="center"/>
            </w:pPr>
          </w:p>
          <w:p w:rsidR="00BA1D08" w:rsidRDefault="00BA1D08" w:rsidP="00C05FAA">
            <w:pPr>
              <w:jc w:val="center"/>
            </w:pPr>
            <w:r>
              <w:t>46%</w:t>
            </w:r>
          </w:p>
          <w:p w:rsidR="00BA1D08" w:rsidRDefault="00BA1D08" w:rsidP="00C05FAA">
            <w:pPr>
              <w:jc w:val="center"/>
            </w:pPr>
            <w:r>
              <w:t>35%</w:t>
            </w:r>
          </w:p>
          <w:p w:rsidR="00BA1D08" w:rsidRDefault="00BA1D08" w:rsidP="00C05FAA">
            <w:pPr>
              <w:jc w:val="center"/>
            </w:pPr>
            <w:r>
              <w:t>24%</w:t>
            </w:r>
          </w:p>
        </w:tc>
        <w:tc>
          <w:tcPr>
            <w:tcW w:w="1367" w:type="dxa"/>
          </w:tcPr>
          <w:p w:rsidR="00BA1D08" w:rsidRDefault="00BA1D08" w:rsidP="00C05FAA">
            <w:pPr>
              <w:jc w:val="center"/>
            </w:pPr>
          </w:p>
          <w:p w:rsidR="00B063B7" w:rsidRDefault="00B063B7" w:rsidP="00C05FAA">
            <w:pPr>
              <w:jc w:val="center"/>
            </w:pPr>
          </w:p>
          <w:p w:rsidR="00BA1D08" w:rsidRDefault="00BA1D08" w:rsidP="00C05FAA">
            <w:pPr>
              <w:jc w:val="center"/>
            </w:pPr>
          </w:p>
          <w:p w:rsidR="00BA1D08" w:rsidRDefault="00BA1D08" w:rsidP="00C05FAA">
            <w:pPr>
              <w:jc w:val="center"/>
            </w:pPr>
            <w:r>
              <w:t>41%</w:t>
            </w:r>
          </w:p>
          <w:p w:rsidR="00BA1D08" w:rsidRDefault="00BA1D08" w:rsidP="00C05FAA">
            <w:pPr>
              <w:jc w:val="center"/>
            </w:pPr>
            <w:r>
              <w:t>34%</w:t>
            </w:r>
          </w:p>
          <w:p w:rsidR="00BA1D08" w:rsidRDefault="00BA1D08" w:rsidP="00C05FAA">
            <w:pPr>
              <w:jc w:val="center"/>
            </w:pPr>
            <w:r>
              <w:t>17%</w:t>
            </w:r>
          </w:p>
        </w:tc>
        <w:tc>
          <w:tcPr>
            <w:tcW w:w="1367" w:type="dxa"/>
          </w:tcPr>
          <w:p w:rsidR="00BA1D08" w:rsidRDefault="00BA1D08" w:rsidP="00C05FAA">
            <w:pPr>
              <w:jc w:val="center"/>
            </w:pPr>
          </w:p>
          <w:p w:rsidR="00B063B7" w:rsidRDefault="00B063B7" w:rsidP="00C05FAA">
            <w:pPr>
              <w:jc w:val="center"/>
            </w:pPr>
          </w:p>
          <w:p w:rsidR="00BA1D08" w:rsidRDefault="00BA1D08" w:rsidP="00C05FAA">
            <w:pPr>
              <w:jc w:val="center"/>
            </w:pPr>
          </w:p>
          <w:p w:rsidR="00BA1D08" w:rsidRDefault="00BA1D08" w:rsidP="00C05FAA">
            <w:pPr>
              <w:jc w:val="center"/>
            </w:pPr>
            <w:r>
              <w:t>41%</w:t>
            </w:r>
          </w:p>
          <w:p w:rsidR="00BA1D08" w:rsidRDefault="00BA1D08" w:rsidP="00C05FAA">
            <w:pPr>
              <w:jc w:val="center"/>
            </w:pPr>
            <w:r>
              <w:t>36%</w:t>
            </w:r>
          </w:p>
          <w:p w:rsidR="00BA1D08" w:rsidRDefault="00BA1D08" w:rsidP="00C05FAA">
            <w:pPr>
              <w:jc w:val="center"/>
            </w:pPr>
            <w:r>
              <w:t>15%</w:t>
            </w:r>
          </w:p>
        </w:tc>
        <w:tc>
          <w:tcPr>
            <w:tcW w:w="1367" w:type="dxa"/>
          </w:tcPr>
          <w:p w:rsidR="00BA1D08" w:rsidRDefault="00BA1D08" w:rsidP="00C05FAA">
            <w:pPr>
              <w:jc w:val="center"/>
            </w:pPr>
          </w:p>
          <w:p w:rsidR="00B063B7" w:rsidRDefault="00B063B7" w:rsidP="00C05FAA">
            <w:pPr>
              <w:jc w:val="center"/>
            </w:pPr>
          </w:p>
          <w:p w:rsidR="00BA1D08" w:rsidRDefault="00BA1D08" w:rsidP="00C05FAA">
            <w:pPr>
              <w:jc w:val="center"/>
            </w:pPr>
          </w:p>
          <w:p w:rsidR="00BA1D08" w:rsidRDefault="00BA1D08" w:rsidP="00C05FAA">
            <w:pPr>
              <w:jc w:val="center"/>
            </w:pPr>
            <w:r>
              <w:t>38%</w:t>
            </w:r>
          </w:p>
          <w:p w:rsidR="00BA1D08" w:rsidRDefault="00BA1D08" w:rsidP="00C05FAA">
            <w:pPr>
              <w:jc w:val="center"/>
            </w:pPr>
            <w:r>
              <w:t>31%</w:t>
            </w:r>
          </w:p>
          <w:p w:rsidR="00BA1D08" w:rsidRDefault="00BA1D08" w:rsidP="00C05FAA">
            <w:pPr>
              <w:jc w:val="center"/>
            </w:pPr>
            <w:r>
              <w:t>9%</w:t>
            </w:r>
          </w:p>
        </w:tc>
        <w:tc>
          <w:tcPr>
            <w:tcW w:w="1368" w:type="dxa"/>
          </w:tcPr>
          <w:p w:rsidR="00BA1D08" w:rsidRDefault="00BA1D08" w:rsidP="00C05FAA">
            <w:pPr>
              <w:jc w:val="center"/>
            </w:pPr>
          </w:p>
          <w:p w:rsidR="00B063B7" w:rsidRDefault="00B063B7" w:rsidP="00C05FAA">
            <w:pPr>
              <w:jc w:val="center"/>
            </w:pPr>
          </w:p>
          <w:p w:rsidR="00BA1D08" w:rsidRDefault="00BA1D08" w:rsidP="00C05FAA">
            <w:pPr>
              <w:jc w:val="center"/>
            </w:pPr>
          </w:p>
          <w:p w:rsidR="00BA1D08" w:rsidRDefault="00BA1D08" w:rsidP="00C05FAA">
            <w:pPr>
              <w:jc w:val="center"/>
            </w:pPr>
            <w:r>
              <w:t>31%</w:t>
            </w:r>
          </w:p>
          <w:p w:rsidR="00BA1D08" w:rsidRDefault="00BA1D08" w:rsidP="00C05FAA">
            <w:pPr>
              <w:jc w:val="center"/>
            </w:pPr>
            <w:r>
              <w:t>26%</w:t>
            </w:r>
          </w:p>
          <w:p w:rsidR="00BA1D08" w:rsidRDefault="00BA1D08" w:rsidP="00C05FAA">
            <w:pPr>
              <w:jc w:val="center"/>
            </w:pPr>
            <w:r>
              <w:t>6%</w:t>
            </w:r>
          </w:p>
        </w:tc>
      </w:tr>
      <w:tr w:rsidR="00BA1D08" w:rsidTr="0068799A">
        <w:trPr>
          <w:jc w:val="center"/>
        </w:trPr>
        <w:tc>
          <w:tcPr>
            <w:tcW w:w="2734" w:type="dxa"/>
          </w:tcPr>
          <w:p w:rsidR="00BA1D08" w:rsidRDefault="00BA1D08" w:rsidP="00C05FAA">
            <w:r>
              <w:t xml:space="preserve">3. </w:t>
            </w:r>
            <w:proofErr w:type="spellStart"/>
            <w:r>
              <w:t>Student:textbook</w:t>
            </w:r>
            <w:proofErr w:type="spellEnd"/>
            <w:r>
              <w:t xml:space="preserve"> ratio (Primary)</w:t>
            </w:r>
          </w:p>
        </w:tc>
        <w:tc>
          <w:tcPr>
            <w:tcW w:w="1367" w:type="dxa"/>
          </w:tcPr>
          <w:p w:rsidR="00BA1D08" w:rsidRDefault="00BA1D08" w:rsidP="00C05FAA">
            <w:pPr>
              <w:jc w:val="center"/>
            </w:pPr>
            <w:r>
              <w:t>3.1</w:t>
            </w:r>
          </w:p>
        </w:tc>
        <w:tc>
          <w:tcPr>
            <w:tcW w:w="1367" w:type="dxa"/>
          </w:tcPr>
          <w:p w:rsidR="00BA1D08" w:rsidRDefault="00BA1D08" w:rsidP="00C05FAA">
            <w:pPr>
              <w:jc w:val="center"/>
            </w:pPr>
            <w:r>
              <w:t>2.7</w:t>
            </w:r>
          </w:p>
        </w:tc>
        <w:tc>
          <w:tcPr>
            <w:tcW w:w="1367" w:type="dxa"/>
          </w:tcPr>
          <w:p w:rsidR="00BA1D08" w:rsidRDefault="00BA1D08" w:rsidP="00C05FAA">
            <w:pPr>
              <w:jc w:val="center"/>
            </w:pPr>
            <w:r>
              <w:t>2.9</w:t>
            </w:r>
          </w:p>
        </w:tc>
        <w:tc>
          <w:tcPr>
            <w:tcW w:w="1367" w:type="dxa"/>
          </w:tcPr>
          <w:p w:rsidR="00BA1D08" w:rsidRDefault="00BA1D08" w:rsidP="00C05FAA">
            <w:pPr>
              <w:jc w:val="center"/>
            </w:pPr>
            <w:r>
              <w:t>2.5</w:t>
            </w:r>
          </w:p>
        </w:tc>
        <w:tc>
          <w:tcPr>
            <w:tcW w:w="1368" w:type="dxa"/>
          </w:tcPr>
          <w:p w:rsidR="00BA1D08" w:rsidRDefault="00BA1D08" w:rsidP="00C05FAA">
            <w:pPr>
              <w:jc w:val="center"/>
            </w:pPr>
            <w:r>
              <w:t>2.7</w:t>
            </w:r>
          </w:p>
        </w:tc>
      </w:tr>
      <w:tr w:rsidR="00BA1D08" w:rsidTr="0068799A">
        <w:trPr>
          <w:jc w:val="center"/>
        </w:trPr>
        <w:tc>
          <w:tcPr>
            <w:tcW w:w="2734" w:type="dxa"/>
          </w:tcPr>
          <w:p w:rsidR="00BA1D08" w:rsidRDefault="00BA1D08" w:rsidP="00C05FAA">
            <w:r>
              <w:t xml:space="preserve">4. </w:t>
            </w:r>
            <w:proofErr w:type="spellStart"/>
            <w:r>
              <w:t>Classroom:student</w:t>
            </w:r>
            <w:proofErr w:type="spellEnd"/>
            <w:r>
              <w:t xml:space="preserve"> ratio (Primary)</w:t>
            </w:r>
          </w:p>
        </w:tc>
        <w:tc>
          <w:tcPr>
            <w:tcW w:w="1367" w:type="dxa"/>
          </w:tcPr>
          <w:p w:rsidR="00BA1D08" w:rsidRDefault="00BA1D08" w:rsidP="00C05FAA">
            <w:pPr>
              <w:jc w:val="center"/>
            </w:pPr>
            <w:r>
              <w:t>22.8</w:t>
            </w:r>
          </w:p>
        </w:tc>
        <w:tc>
          <w:tcPr>
            <w:tcW w:w="1367" w:type="dxa"/>
          </w:tcPr>
          <w:p w:rsidR="00BA1D08" w:rsidRDefault="00BA1D08" w:rsidP="00C05FAA">
            <w:pPr>
              <w:jc w:val="center"/>
            </w:pPr>
            <w:r>
              <w:t>22.6</w:t>
            </w:r>
          </w:p>
        </w:tc>
        <w:tc>
          <w:tcPr>
            <w:tcW w:w="1367" w:type="dxa"/>
          </w:tcPr>
          <w:p w:rsidR="00BA1D08" w:rsidRDefault="00BA1D08" w:rsidP="00C05FAA">
            <w:pPr>
              <w:jc w:val="center"/>
            </w:pPr>
            <w:r>
              <w:t>22.6</w:t>
            </w:r>
          </w:p>
        </w:tc>
        <w:tc>
          <w:tcPr>
            <w:tcW w:w="1367" w:type="dxa"/>
          </w:tcPr>
          <w:p w:rsidR="00BA1D08" w:rsidRDefault="00BA1D08" w:rsidP="00C05FAA">
            <w:pPr>
              <w:jc w:val="center"/>
            </w:pPr>
            <w:r>
              <w:t>23.0</w:t>
            </w:r>
          </w:p>
        </w:tc>
        <w:tc>
          <w:tcPr>
            <w:tcW w:w="1368" w:type="dxa"/>
          </w:tcPr>
          <w:p w:rsidR="00BA1D08" w:rsidRDefault="00BA1D08" w:rsidP="00C05FAA">
            <w:pPr>
              <w:jc w:val="center"/>
            </w:pPr>
            <w:r>
              <w:t>22.9</w:t>
            </w:r>
          </w:p>
        </w:tc>
      </w:tr>
      <w:tr w:rsidR="00BA1D08" w:rsidTr="0068799A">
        <w:trPr>
          <w:jc w:val="center"/>
        </w:trPr>
        <w:tc>
          <w:tcPr>
            <w:tcW w:w="9570" w:type="dxa"/>
            <w:gridSpan w:val="6"/>
          </w:tcPr>
          <w:p w:rsidR="00C77093" w:rsidRDefault="00BA1D08">
            <w:pPr>
              <w:rPr>
                <w:sz w:val="20"/>
                <w:szCs w:val="20"/>
              </w:rPr>
            </w:pPr>
            <w:r>
              <w:lastRenderedPageBreak/>
              <w:t>Source: Rows 1</w:t>
            </w:r>
            <w:proofErr w:type="gramStart"/>
            <w:r>
              <w:t>,3,4</w:t>
            </w:r>
            <w:proofErr w:type="gramEnd"/>
            <w:r>
              <w:t xml:space="preserve"> reproduced from ‘Annual Statistical Report 2010-2011’, Ministry of Education (June 2012), page 34.  Row 2 derived from VEMIS annual statistics 2009, 2010-2011.</w:t>
            </w:r>
            <w:r w:rsidR="00277FFA">
              <w:t xml:space="preserve">  </w:t>
            </w:r>
            <w:r w:rsidR="00B063B7">
              <w:t xml:space="preserve">Row 1 covers both </w:t>
            </w:r>
            <w:proofErr w:type="spellStart"/>
            <w:r w:rsidR="00B063B7">
              <w:t>GoV</w:t>
            </w:r>
            <w:proofErr w:type="spellEnd"/>
            <w:r w:rsidR="00B063B7">
              <w:t>-paid and unpaid teachers.</w:t>
            </w:r>
            <w:r w:rsidR="00277FFA">
              <w:t xml:space="preserve"> </w:t>
            </w:r>
            <w:r>
              <w:t xml:space="preserve"> </w:t>
            </w:r>
          </w:p>
        </w:tc>
      </w:tr>
    </w:tbl>
    <w:p w:rsidR="00BA1D08" w:rsidRDefault="00BA1D08" w:rsidP="00BA1D08">
      <w:pPr>
        <w:jc w:val="both"/>
      </w:pPr>
    </w:p>
    <w:p w:rsidR="00BA1D08" w:rsidRDefault="00BA1D08" w:rsidP="00BA1D08">
      <w:pPr>
        <w:jc w:val="both"/>
      </w:pPr>
      <w:r>
        <w:t xml:space="preserve">Figure </w:t>
      </w:r>
      <w:r w:rsidR="00571727">
        <w:t>11</w:t>
      </w:r>
      <w:r>
        <w:t xml:space="preserve"> charts trends in </w:t>
      </w:r>
      <w:r w:rsidR="00B063B7">
        <w:t xml:space="preserve">the </w:t>
      </w:r>
      <w:r>
        <w:t xml:space="preserve">certification </w:t>
      </w:r>
      <w:r w:rsidR="00B063B7">
        <w:t xml:space="preserve">of </w:t>
      </w:r>
      <w:proofErr w:type="spellStart"/>
      <w:r w:rsidR="00B063B7">
        <w:t>GoV</w:t>
      </w:r>
      <w:proofErr w:type="spellEnd"/>
      <w:r w:rsidR="00B063B7">
        <w:t xml:space="preserve">-paid teachers (only) </w:t>
      </w:r>
      <w:r>
        <w:t xml:space="preserve">at primary and secondary levels, for </w:t>
      </w:r>
      <w:proofErr w:type="spellStart"/>
      <w:r>
        <w:t>GoV</w:t>
      </w:r>
      <w:proofErr w:type="spellEnd"/>
      <w:r>
        <w:t>-funded and Government Assisted schools respectively</w:t>
      </w:r>
      <w:r w:rsidR="004A6426">
        <w:t>,</w:t>
      </w:r>
    </w:p>
    <w:p w:rsidR="00BA1D08" w:rsidRDefault="00BA1D08" w:rsidP="00BA1D08">
      <w:pPr>
        <w:jc w:val="both"/>
      </w:pPr>
    </w:p>
    <w:tbl>
      <w:tblPr>
        <w:tblStyle w:val="TableGrid"/>
        <w:tblW w:w="0" w:type="auto"/>
        <w:tblLook w:val="04A0" w:firstRow="1" w:lastRow="0" w:firstColumn="1" w:lastColumn="0" w:noHBand="0" w:noVBand="1"/>
        <w:tblCaption w:val="Figure 11: Trends in Teacher Certification"/>
      </w:tblPr>
      <w:tblGrid>
        <w:gridCol w:w="9570"/>
      </w:tblGrid>
      <w:tr w:rsidR="00F364DB" w:rsidRPr="00F364DB" w:rsidTr="00566A2B">
        <w:trPr>
          <w:tblHeader/>
        </w:trPr>
        <w:tc>
          <w:tcPr>
            <w:tcW w:w="9570" w:type="dxa"/>
            <w:shd w:val="clear" w:color="auto" w:fill="BFBFBF" w:themeFill="background1" w:themeFillShade="BF"/>
          </w:tcPr>
          <w:p w:rsidR="00F364DB" w:rsidRPr="00F364DB" w:rsidRDefault="00F364DB" w:rsidP="00617B8E">
            <w:r w:rsidRPr="00F364DB">
              <w:t>Figure 11: Trends in Teacher Certification</w:t>
            </w:r>
          </w:p>
        </w:tc>
      </w:tr>
      <w:tr w:rsidR="00F364DB" w:rsidRPr="00F364DB" w:rsidTr="00F364DB">
        <w:tc>
          <w:tcPr>
            <w:tcW w:w="9570" w:type="dxa"/>
          </w:tcPr>
          <w:p w:rsidR="00F364DB" w:rsidRPr="00F364DB" w:rsidRDefault="00F364DB" w:rsidP="00617B8E">
            <w:r>
              <w:rPr>
                <w:noProof/>
                <w:lang w:eastAsia="en-AU"/>
              </w:rPr>
              <w:drawing>
                <wp:inline distT="0" distB="0" distL="0" distR="0" wp14:anchorId="6723AB0B" wp14:editId="5E65A43A">
                  <wp:extent cx="4591050" cy="2762250"/>
                  <wp:effectExtent l="0" t="0" r="0" b="0"/>
                  <wp:docPr id="1" name="Picture 3" title="Figure 11: Trends in Teacher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tc>
      </w:tr>
      <w:tr w:rsidR="00F364DB" w:rsidRPr="00F364DB" w:rsidTr="00F364DB">
        <w:tc>
          <w:tcPr>
            <w:tcW w:w="9570" w:type="dxa"/>
          </w:tcPr>
          <w:p w:rsidR="00F364DB" w:rsidRDefault="00F364DB" w:rsidP="00F364DB">
            <w:r>
              <w:t xml:space="preserve">Source: ‘Annual Statistical Report 2010-2011’, </w:t>
            </w:r>
            <w:proofErr w:type="spellStart"/>
            <w:r>
              <w:t>MoE</w:t>
            </w:r>
            <w:proofErr w:type="spellEnd"/>
            <w:r>
              <w:t>, pages 45-46.</w:t>
            </w:r>
          </w:p>
        </w:tc>
      </w:tr>
    </w:tbl>
    <w:p w:rsidR="00302BEA" w:rsidRDefault="00302BEA" w:rsidP="00302BEA">
      <w:pPr>
        <w:jc w:val="center"/>
      </w:pPr>
    </w:p>
    <w:p w:rsidR="00BA1D08" w:rsidRDefault="00BA1D08" w:rsidP="00BA1D08">
      <w:pPr>
        <w:jc w:val="both"/>
      </w:pPr>
      <w:r>
        <w:t xml:space="preserve">There appears to have been some improvement over the five years in the proportion of primary school teachers who are certified (i.e. as defined by VEMIS, teachers who have met the requirements for a formal qualification to teach), especially in </w:t>
      </w:r>
      <w:proofErr w:type="spellStart"/>
      <w:r>
        <w:t>GoV</w:t>
      </w:r>
      <w:proofErr w:type="spellEnd"/>
      <w:r>
        <w:t>-funded primary schools.  However, at 58.7% in 2011</w:t>
      </w:r>
      <w:r w:rsidR="00B063B7">
        <w:t xml:space="preserve"> for both </w:t>
      </w:r>
      <w:proofErr w:type="spellStart"/>
      <w:r w:rsidR="00B063B7">
        <w:t>GoV</w:t>
      </w:r>
      <w:proofErr w:type="spellEnd"/>
      <w:r w:rsidR="00B063B7">
        <w:t>-paid and unpaid teachers</w:t>
      </w:r>
      <w:r>
        <w:t xml:space="preserve"> this indicator falls well short of the VERM target of 100% by 2015 while the trend in </w:t>
      </w:r>
      <w:proofErr w:type="spellStart"/>
      <w:r>
        <w:t>GoV</w:t>
      </w:r>
      <w:proofErr w:type="spellEnd"/>
      <w:r>
        <w:t>-funded secondary schools appears to be downwards.</w:t>
      </w:r>
    </w:p>
    <w:p w:rsidR="00BA1D08" w:rsidRDefault="00BA1D08" w:rsidP="00BA1D08">
      <w:pPr>
        <w:jc w:val="both"/>
      </w:pPr>
    </w:p>
    <w:p w:rsidR="00BA1D08" w:rsidRDefault="00BA1D08" w:rsidP="00BA1D08">
      <w:pPr>
        <w:jc w:val="both"/>
      </w:pPr>
      <w:r>
        <w:t xml:space="preserve">The other three indicators of input quality at Table </w:t>
      </w:r>
      <w:r w:rsidR="00EB09DF">
        <w:t>3</w:t>
      </w:r>
      <w:r w:rsidR="00B063B7">
        <w:t>3</w:t>
      </w:r>
      <w:r>
        <w:t xml:space="preserve"> show no obvious improvement and, in the case of attendance at in-service training, a marked regression.  The largely unchanged student to textbook ratio since 2008 is somewhat surprising given the (largely </w:t>
      </w:r>
      <w:r w:rsidR="00581C2B">
        <w:t>d</w:t>
      </w:r>
      <w:r>
        <w:t xml:space="preserve">evelopment </w:t>
      </w:r>
      <w:r w:rsidR="00581C2B">
        <w:t>p</w:t>
      </w:r>
      <w:r>
        <w:t>artner funded) ‘book flood’ initiatives of recent years.</w:t>
      </w:r>
    </w:p>
    <w:p w:rsidR="00BA1D08" w:rsidRPr="00B470A3" w:rsidRDefault="00BA1D08" w:rsidP="00BA1D08">
      <w:pPr>
        <w:jc w:val="both"/>
      </w:pPr>
    </w:p>
    <w:p w:rsidR="00BA1D08" w:rsidRDefault="00BA1D08" w:rsidP="00BA1D08">
      <w:pPr>
        <w:jc w:val="both"/>
        <w:rPr>
          <w:u w:val="single"/>
        </w:rPr>
      </w:pPr>
      <w:r>
        <w:rPr>
          <w:u w:val="single"/>
        </w:rPr>
        <w:t>Quality of outcomes</w:t>
      </w:r>
    </w:p>
    <w:p w:rsidR="00BA1D08" w:rsidRDefault="00BA1D08" w:rsidP="00BA1D08">
      <w:pPr>
        <w:jc w:val="both"/>
      </w:pPr>
    </w:p>
    <w:p w:rsidR="00BA1D08" w:rsidRDefault="00BA1D08" w:rsidP="00BA1D08">
      <w:pPr>
        <w:jc w:val="both"/>
      </w:pPr>
      <w:r>
        <w:t xml:space="preserve">The VERM specified three indicators of outcome quality in relation to early grade reading, the Year 4 literacy level and the Year 4 Numeracy level.  However, in each case both the baseline and the performance target were “to be established by end 2010”.  The PAA Action Plan 2011-2015 specified the following indicators for output/outcome quality.  These are reproduced in Table </w:t>
      </w:r>
      <w:r w:rsidR="00571727">
        <w:t>3</w:t>
      </w:r>
      <w:r w:rsidR="0081646B">
        <w:t>4</w:t>
      </w:r>
      <w:r>
        <w:t xml:space="preserve"> together with this review’s assessment of progress against each.</w:t>
      </w:r>
    </w:p>
    <w:p w:rsidR="00BA1D08" w:rsidRDefault="00BA1D08" w:rsidP="00BA1D08">
      <w:pPr>
        <w:jc w:val="both"/>
      </w:pPr>
    </w:p>
    <w:p w:rsidR="00D339A4" w:rsidRDefault="00D339A4">
      <w:r>
        <w:br w:type="page"/>
      </w:r>
    </w:p>
    <w:tbl>
      <w:tblPr>
        <w:tblStyle w:val="TableGrid"/>
        <w:tblW w:w="0" w:type="auto"/>
        <w:tblLook w:val="04A0" w:firstRow="1" w:lastRow="0" w:firstColumn="1" w:lastColumn="0" w:noHBand="0" w:noVBand="1"/>
        <w:tblCaption w:val="Table 34: ‘Quality’ indicators included in PAA Action Plan 2011-2015"/>
      </w:tblPr>
      <w:tblGrid>
        <w:gridCol w:w="3190"/>
        <w:gridCol w:w="1595"/>
        <w:gridCol w:w="1595"/>
        <w:gridCol w:w="3190"/>
      </w:tblGrid>
      <w:tr w:rsidR="00BA1D08" w:rsidTr="00D339A4">
        <w:trPr>
          <w:tblHeader/>
        </w:trPr>
        <w:tc>
          <w:tcPr>
            <w:tcW w:w="9570" w:type="dxa"/>
            <w:gridSpan w:val="4"/>
            <w:shd w:val="clear" w:color="auto" w:fill="BFBFBF" w:themeFill="background1" w:themeFillShade="BF"/>
          </w:tcPr>
          <w:p w:rsidR="00743573" w:rsidRDefault="00BA1D08">
            <w:pPr>
              <w:jc w:val="both"/>
            </w:pPr>
            <w:r>
              <w:lastRenderedPageBreak/>
              <w:t xml:space="preserve">Table </w:t>
            </w:r>
            <w:r w:rsidR="00571727">
              <w:t>3</w:t>
            </w:r>
            <w:r w:rsidR="00A11254">
              <w:t>4</w:t>
            </w:r>
            <w:r>
              <w:t>: ‘Quality’ indicators included in PAA Action Plan 2011-2015</w:t>
            </w:r>
          </w:p>
        </w:tc>
      </w:tr>
      <w:tr w:rsidR="00BA1D08" w:rsidTr="00C05FAA">
        <w:tc>
          <w:tcPr>
            <w:tcW w:w="3190" w:type="dxa"/>
          </w:tcPr>
          <w:p w:rsidR="00BA1D08" w:rsidRDefault="00BA1D08" w:rsidP="00C05FAA">
            <w:pPr>
              <w:jc w:val="center"/>
            </w:pPr>
            <w:r>
              <w:t>Indicator</w:t>
            </w:r>
          </w:p>
        </w:tc>
        <w:tc>
          <w:tcPr>
            <w:tcW w:w="1595" w:type="dxa"/>
          </w:tcPr>
          <w:p w:rsidR="00BA1D08" w:rsidRDefault="00BA1D08" w:rsidP="00C05FAA">
            <w:pPr>
              <w:jc w:val="center"/>
            </w:pPr>
            <w:r>
              <w:t>Baseline</w:t>
            </w:r>
          </w:p>
        </w:tc>
        <w:tc>
          <w:tcPr>
            <w:tcW w:w="1595" w:type="dxa"/>
          </w:tcPr>
          <w:p w:rsidR="00BA1D08" w:rsidRDefault="00BA1D08" w:rsidP="00C05FAA">
            <w:pPr>
              <w:jc w:val="center"/>
            </w:pPr>
            <w:r>
              <w:t>Target</w:t>
            </w:r>
          </w:p>
        </w:tc>
        <w:tc>
          <w:tcPr>
            <w:tcW w:w="3190" w:type="dxa"/>
          </w:tcPr>
          <w:p w:rsidR="00BA1D08" w:rsidRDefault="00BA1D08" w:rsidP="00C05FAA">
            <w:pPr>
              <w:jc w:val="center"/>
            </w:pPr>
            <w:r>
              <w:t>Comments</w:t>
            </w:r>
          </w:p>
        </w:tc>
      </w:tr>
      <w:tr w:rsidR="00BA1D08" w:rsidTr="00C05FAA">
        <w:tc>
          <w:tcPr>
            <w:tcW w:w="3190" w:type="dxa"/>
          </w:tcPr>
          <w:p w:rsidR="00BA1D08" w:rsidRDefault="00BA1D08" w:rsidP="00C05FAA">
            <w:r>
              <w:t>Primary Completion Rate (% of students starting Year 1 who reach Year 6)</w:t>
            </w:r>
          </w:p>
        </w:tc>
        <w:tc>
          <w:tcPr>
            <w:tcW w:w="1595" w:type="dxa"/>
          </w:tcPr>
          <w:p w:rsidR="00BA1D08" w:rsidRDefault="00BA1D08" w:rsidP="00C05FAA">
            <w:pPr>
              <w:jc w:val="center"/>
            </w:pPr>
            <w:r>
              <w:t>75.8%</w:t>
            </w:r>
          </w:p>
          <w:p w:rsidR="00BA1D08" w:rsidRDefault="00BA1D08" w:rsidP="00C05FAA">
            <w:pPr>
              <w:jc w:val="center"/>
            </w:pPr>
            <w:r>
              <w:t>(Year 2007)</w:t>
            </w:r>
          </w:p>
        </w:tc>
        <w:tc>
          <w:tcPr>
            <w:tcW w:w="1595" w:type="dxa"/>
          </w:tcPr>
          <w:p w:rsidR="00BA1D08" w:rsidRDefault="00BA1D08" w:rsidP="00C05FAA">
            <w:pPr>
              <w:jc w:val="center"/>
            </w:pPr>
            <w:r>
              <w:t>100%</w:t>
            </w:r>
          </w:p>
        </w:tc>
        <w:tc>
          <w:tcPr>
            <w:tcW w:w="3190" w:type="dxa"/>
          </w:tcPr>
          <w:p w:rsidR="00BA1D08" w:rsidRDefault="00BA1D08" w:rsidP="00C05FAA">
            <w:r>
              <w:t>Target year unspecified.  See Note.</w:t>
            </w:r>
          </w:p>
        </w:tc>
      </w:tr>
      <w:tr w:rsidR="00BA1D08" w:rsidTr="00C05FAA">
        <w:tc>
          <w:tcPr>
            <w:tcW w:w="3190" w:type="dxa"/>
          </w:tcPr>
          <w:p w:rsidR="00BA1D08" w:rsidRDefault="00BA1D08" w:rsidP="00C05FAA">
            <w:r>
              <w:t>Repetition Rate Years 1-6</w:t>
            </w:r>
          </w:p>
        </w:tc>
        <w:tc>
          <w:tcPr>
            <w:tcW w:w="1595" w:type="dxa"/>
          </w:tcPr>
          <w:p w:rsidR="00BA1D08" w:rsidRDefault="00BA1D08" w:rsidP="00C05FAA">
            <w:pPr>
              <w:jc w:val="center"/>
            </w:pPr>
            <w:r>
              <w:t>To be determined</w:t>
            </w:r>
          </w:p>
        </w:tc>
        <w:tc>
          <w:tcPr>
            <w:tcW w:w="1595" w:type="dxa"/>
          </w:tcPr>
          <w:p w:rsidR="00BA1D08" w:rsidRDefault="00BA1D08" w:rsidP="00C05FAA">
            <w:pPr>
              <w:jc w:val="center"/>
            </w:pPr>
            <w:r>
              <w:t>To be determined</w:t>
            </w:r>
          </w:p>
        </w:tc>
        <w:tc>
          <w:tcPr>
            <w:tcW w:w="3190" w:type="dxa"/>
          </w:tcPr>
          <w:p w:rsidR="00BA1D08" w:rsidRDefault="00BA1D08" w:rsidP="00C05FAA">
            <w:r>
              <w:t>Over the years 2009-2011 the Drop-out Rate rose (8.0% in 2011) while the Repetition Rate fell marginally (12.1% in 2011).</w:t>
            </w:r>
          </w:p>
        </w:tc>
      </w:tr>
      <w:tr w:rsidR="00BA1D08" w:rsidTr="00C05FAA">
        <w:tc>
          <w:tcPr>
            <w:tcW w:w="3190" w:type="dxa"/>
            <w:tcBorders>
              <w:bottom w:val="single" w:sz="4" w:space="0" w:color="auto"/>
            </w:tcBorders>
          </w:tcPr>
          <w:p w:rsidR="00BA1D08" w:rsidRDefault="00BA1D08" w:rsidP="00C05FAA">
            <w:r>
              <w:t xml:space="preserve">Grade 1-3 students reading at an appropriate grade level </w:t>
            </w:r>
          </w:p>
        </w:tc>
        <w:tc>
          <w:tcPr>
            <w:tcW w:w="1595" w:type="dxa"/>
            <w:tcBorders>
              <w:bottom w:val="single" w:sz="4" w:space="0" w:color="auto"/>
            </w:tcBorders>
          </w:tcPr>
          <w:p w:rsidR="00BA1D08" w:rsidRDefault="00BA1D08" w:rsidP="00C05FAA">
            <w:pPr>
              <w:jc w:val="center"/>
            </w:pPr>
            <w:r>
              <w:t>10% Anglophone</w:t>
            </w:r>
          </w:p>
          <w:p w:rsidR="00BA1D08" w:rsidRDefault="00BA1D08" w:rsidP="00C05FAA">
            <w:pPr>
              <w:jc w:val="center"/>
            </w:pPr>
            <w:r>
              <w:t>8% Francophone</w:t>
            </w:r>
          </w:p>
          <w:p w:rsidR="00BA1D08" w:rsidRDefault="00BA1D08" w:rsidP="00C05FAA">
            <w:pPr>
              <w:jc w:val="center"/>
            </w:pPr>
            <w:r>
              <w:t>(from 2009 EGRA)</w:t>
            </w:r>
          </w:p>
        </w:tc>
        <w:tc>
          <w:tcPr>
            <w:tcW w:w="1595" w:type="dxa"/>
            <w:tcBorders>
              <w:bottom w:val="single" w:sz="4" w:space="0" w:color="auto"/>
            </w:tcBorders>
          </w:tcPr>
          <w:p w:rsidR="00BA1D08" w:rsidRDefault="00BA1D08" w:rsidP="00C05FAA">
            <w:pPr>
              <w:jc w:val="center"/>
            </w:pPr>
            <w:r>
              <w:t>100% by 2015</w:t>
            </w:r>
          </w:p>
        </w:tc>
        <w:tc>
          <w:tcPr>
            <w:tcW w:w="3190" w:type="dxa"/>
            <w:tcBorders>
              <w:bottom w:val="single" w:sz="4" w:space="0" w:color="auto"/>
            </w:tcBorders>
          </w:tcPr>
          <w:p w:rsidR="00BA1D08" w:rsidRDefault="00BA1D08" w:rsidP="00C05FAA">
            <w:r>
              <w:t>No subsequent measurement to date.</w:t>
            </w:r>
          </w:p>
        </w:tc>
      </w:tr>
      <w:tr w:rsidR="00BA1D08" w:rsidTr="00C05FAA">
        <w:tc>
          <w:tcPr>
            <w:tcW w:w="9570" w:type="dxa"/>
            <w:gridSpan w:val="4"/>
            <w:tcBorders>
              <w:bottom w:val="nil"/>
            </w:tcBorders>
          </w:tcPr>
          <w:p w:rsidR="00BA1D08" w:rsidRDefault="00BA1D08" w:rsidP="00C05FAA">
            <w:r>
              <w:t xml:space="preserve">Note:  The data on Year 1-6 survival rates 2009-2011, while said to be sourced from VEMIS in both cases, differ substantially for 2011 as between the (draft) VESP Design and the </w:t>
            </w:r>
            <w:proofErr w:type="spellStart"/>
            <w:r>
              <w:t>MoE</w:t>
            </w:r>
            <w:proofErr w:type="spellEnd"/>
            <w:r>
              <w:t xml:space="preserve"> 2010-2011 Annual Statistical Report: </w:t>
            </w:r>
          </w:p>
        </w:tc>
      </w:tr>
      <w:tr w:rsidR="00BA1D08" w:rsidTr="00C05FAA">
        <w:trPr>
          <w:trHeight w:val="285"/>
        </w:trPr>
        <w:tc>
          <w:tcPr>
            <w:tcW w:w="3190" w:type="dxa"/>
            <w:tcBorders>
              <w:top w:val="nil"/>
              <w:bottom w:val="nil"/>
              <w:right w:val="nil"/>
            </w:tcBorders>
          </w:tcPr>
          <w:p w:rsidR="00BA1D08" w:rsidRDefault="00BA1D08" w:rsidP="00C05FAA"/>
        </w:tc>
        <w:tc>
          <w:tcPr>
            <w:tcW w:w="3190" w:type="dxa"/>
            <w:gridSpan w:val="2"/>
            <w:tcBorders>
              <w:top w:val="nil"/>
              <w:left w:val="nil"/>
              <w:bottom w:val="nil"/>
              <w:right w:val="nil"/>
            </w:tcBorders>
          </w:tcPr>
          <w:p w:rsidR="00BA1D08" w:rsidRDefault="00BA1D08" w:rsidP="00C05FAA">
            <w:pPr>
              <w:jc w:val="center"/>
            </w:pPr>
            <w:r>
              <w:t>Draft Design (page 11)</w:t>
            </w:r>
          </w:p>
        </w:tc>
        <w:tc>
          <w:tcPr>
            <w:tcW w:w="3190" w:type="dxa"/>
            <w:tcBorders>
              <w:top w:val="nil"/>
              <w:left w:val="nil"/>
              <w:bottom w:val="nil"/>
            </w:tcBorders>
          </w:tcPr>
          <w:p w:rsidR="00BA1D08" w:rsidRDefault="00BA1D08" w:rsidP="00C05FAA">
            <w:pPr>
              <w:jc w:val="center"/>
            </w:pPr>
            <w:proofErr w:type="spellStart"/>
            <w:r>
              <w:t>MoE</w:t>
            </w:r>
            <w:proofErr w:type="spellEnd"/>
            <w:r>
              <w:t xml:space="preserve"> Report (page 41)</w:t>
            </w:r>
          </w:p>
        </w:tc>
      </w:tr>
      <w:tr w:rsidR="00BA1D08" w:rsidTr="00C05FAA">
        <w:trPr>
          <w:trHeight w:val="285"/>
        </w:trPr>
        <w:tc>
          <w:tcPr>
            <w:tcW w:w="3190" w:type="dxa"/>
            <w:tcBorders>
              <w:top w:val="nil"/>
              <w:bottom w:val="nil"/>
              <w:right w:val="nil"/>
            </w:tcBorders>
          </w:tcPr>
          <w:p w:rsidR="00BA1D08" w:rsidRDefault="00BA1D08" w:rsidP="00C05FAA">
            <w:pPr>
              <w:jc w:val="right"/>
            </w:pPr>
            <w:r>
              <w:t>2009</w:t>
            </w:r>
          </w:p>
        </w:tc>
        <w:tc>
          <w:tcPr>
            <w:tcW w:w="3190" w:type="dxa"/>
            <w:gridSpan w:val="2"/>
            <w:tcBorders>
              <w:top w:val="nil"/>
              <w:left w:val="nil"/>
              <w:bottom w:val="nil"/>
              <w:right w:val="nil"/>
            </w:tcBorders>
          </w:tcPr>
          <w:p w:rsidR="00BA1D08" w:rsidRDefault="00BA1D08" w:rsidP="00C05FAA">
            <w:pPr>
              <w:jc w:val="center"/>
            </w:pPr>
            <w:r>
              <w:t>96.0%</w:t>
            </w:r>
          </w:p>
        </w:tc>
        <w:tc>
          <w:tcPr>
            <w:tcW w:w="3190" w:type="dxa"/>
            <w:tcBorders>
              <w:top w:val="nil"/>
              <w:left w:val="nil"/>
              <w:bottom w:val="nil"/>
            </w:tcBorders>
          </w:tcPr>
          <w:p w:rsidR="00BA1D08" w:rsidRDefault="00BA1D08" w:rsidP="00C05FAA">
            <w:pPr>
              <w:jc w:val="center"/>
            </w:pPr>
            <w:r>
              <w:t>96.7%</w:t>
            </w:r>
          </w:p>
        </w:tc>
      </w:tr>
      <w:tr w:rsidR="00BA1D08" w:rsidTr="00C05FAA">
        <w:trPr>
          <w:trHeight w:val="285"/>
        </w:trPr>
        <w:tc>
          <w:tcPr>
            <w:tcW w:w="3190" w:type="dxa"/>
            <w:tcBorders>
              <w:top w:val="nil"/>
              <w:bottom w:val="nil"/>
              <w:right w:val="nil"/>
            </w:tcBorders>
          </w:tcPr>
          <w:p w:rsidR="00BA1D08" w:rsidRDefault="00BA1D08" w:rsidP="00C05FAA">
            <w:pPr>
              <w:jc w:val="right"/>
            </w:pPr>
            <w:r>
              <w:t>2010</w:t>
            </w:r>
          </w:p>
        </w:tc>
        <w:tc>
          <w:tcPr>
            <w:tcW w:w="3190" w:type="dxa"/>
            <w:gridSpan w:val="2"/>
            <w:tcBorders>
              <w:top w:val="nil"/>
              <w:left w:val="nil"/>
              <w:bottom w:val="nil"/>
              <w:right w:val="nil"/>
            </w:tcBorders>
          </w:tcPr>
          <w:p w:rsidR="00BA1D08" w:rsidRDefault="00BA1D08" w:rsidP="00C05FAA">
            <w:pPr>
              <w:jc w:val="center"/>
            </w:pPr>
            <w:r>
              <w:t>75.3%</w:t>
            </w:r>
          </w:p>
        </w:tc>
        <w:tc>
          <w:tcPr>
            <w:tcW w:w="3190" w:type="dxa"/>
            <w:tcBorders>
              <w:top w:val="nil"/>
              <w:left w:val="nil"/>
              <w:bottom w:val="nil"/>
            </w:tcBorders>
          </w:tcPr>
          <w:p w:rsidR="00BA1D08" w:rsidRDefault="00BA1D08" w:rsidP="00C05FAA">
            <w:pPr>
              <w:jc w:val="center"/>
            </w:pPr>
            <w:r>
              <w:t>74.6%</w:t>
            </w:r>
          </w:p>
        </w:tc>
      </w:tr>
      <w:tr w:rsidR="00BA1D08" w:rsidTr="00C05FAA">
        <w:trPr>
          <w:trHeight w:val="285"/>
        </w:trPr>
        <w:tc>
          <w:tcPr>
            <w:tcW w:w="3190" w:type="dxa"/>
            <w:tcBorders>
              <w:top w:val="nil"/>
              <w:right w:val="nil"/>
            </w:tcBorders>
          </w:tcPr>
          <w:p w:rsidR="00BA1D08" w:rsidRDefault="00BA1D08" w:rsidP="00C05FAA">
            <w:pPr>
              <w:jc w:val="right"/>
            </w:pPr>
            <w:r>
              <w:t>2011</w:t>
            </w:r>
          </w:p>
        </w:tc>
        <w:tc>
          <w:tcPr>
            <w:tcW w:w="3190" w:type="dxa"/>
            <w:gridSpan w:val="2"/>
            <w:tcBorders>
              <w:top w:val="nil"/>
              <w:left w:val="nil"/>
              <w:right w:val="nil"/>
            </w:tcBorders>
          </w:tcPr>
          <w:p w:rsidR="00BA1D08" w:rsidRDefault="00BA1D08" w:rsidP="00C05FAA">
            <w:pPr>
              <w:jc w:val="center"/>
            </w:pPr>
            <w:r>
              <w:t>82.5%</w:t>
            </w:r>
          </w:p>
        </w:tc>
        <w:tc>
          <w:tcPr>
            <w:tcW w:w="3190" w:type="dxa"/>
            <w:tcBorders>
              <w:top w:val="nil"/>
              <w:left w:val="nil"/>
            </w:tcBorders>
          </w:tcPr>
          <w:p w:rsidR="00BA1D08" w:rsidRDefault="00BA1D08" w:rsidP="00C05FAA">
            <w:pPr>
              <w:jc w:val="center"/>
            </w:pPr>
            <w:r>
              <w:t>69.5%</w:t>
            </w:r>
          </w:p>
        </w:tc>
      </w:tr>
    </w:tbl>
    <w:p w:rsidR="00BA1D08" w:rsidRDefault="00BA1D08" w:rsidP="00BA1D08">
      <w:pPr>
        <w:jc w:val="both"/>
      </w:pPr>
    </w:p>
    <w:p w:rsidR="0068799A" w:rsidRDefault="00BA1D08" w:rsidP="00BA1D08">
      <w:pPr>
        <w:jc w:val="both"/>
      </w:pPr>
      <w:r>
        <w:t xml:space="preserve">Table </w:t>
      </w:r>
      <w:r w:rsidR="00571727">
        <w:t>3</w:t>
      </w:r>
      <w:r w:rsidR="0081646B">
        <w:t>5</w:t>
      </w:r>
      <w:r>
        <w:t xml:space="preserve"> summarises a fuller range of ‘quality’ indicators at primary and secondary levels - insofar as they are suggestive of the education sector’s ‘quality’ in retaining and graduating students.</w:t>
      </w:r>
    </w:p>
    <w:p w:rsidR="00D339A4" w:rsidRDefault="00D339A4" w:rsidP="00BA1D08">
      <w:pPr>
        <w:jc w:val="both"/>
      </w:pPr>
    </w:p>
    <w:tbl>
      <w:tblPr>
        <w:tblStyle w:val="TableGrid"/>
        <w:tblW w:w="0" w:type="auto"/>
        <w:tblLook w:val="04A0" w:firstRow="1" w:lastRow="0" w:firstColumn="1" w:lastColumn="0" w:noHBand="0" w:noVBand="1"/>
        <w:tblCaption w:val="Table 35: Drop-out, Repeater, Promotion and Survival Rates 2009-2011"/>
      </w:tblPr>
      <w:tblGrid>
        <w:gridCol w:w="1367"/>
        <w:gridCol w:w="1367"/>
        <w:gridCol w:w="1367"/>
        <w:gridCol w:w="1367"/>
        <w:gridCol w:w="1367"/>
        <w:gridCol w:w="1367"/>
        <w:gridCol w:w="1368"/>
      </w:tblGrid>
      <w:tr w:rsidR="00BA1D08" w:rsidTr="00D339A4">
        <w:trPr>
          <w:tblHeader/>
        </w:trPr>
        <w:tc>
          <w:tcPr>
            <w:tcW w:w="9570" w:type="dxa"/>
            <w:gridSpan w:val="7"/>
            <w:shd w:val="clear" w:color="auto" w:fill="BFBFBF" w:themeFill="background1" w:themeFillShade="BF"/>
          </w:tcPr>
          <w:p w:rsidR="00743573" w:rsidRDefault="00BA1D08">
            <w:pPr>
              <w:jc w:val="both"/>
            </w:pPr>
            <w:r>
              <w:t xml:space="preserve">Table </w:t>
            </w:r>
            <w:r w:rsidR="00571727">
              <w:t>3</w:t>
            </w:r>
            <w:r w:rsidR="00A11254">
              <w:t>5</w:t>
            </w:r>
            <w:r>
              <w:t>: Drop-out, Repeater, Promotion and Survival Rates 2009-2011</w:t>
            </w:r>
          </w:p>
        </w:tc>
      </w:tr>
      <w:tr w:rsidR="00BA1D08" w:rsidTr="00C05FAA">
        <w:tc>
          <w:tcPr>
            <w:tcW w:w="9570" w:type="dxa"/>
            <w:gridSpan w:val="7"/>
          </w:tcPr>
          <w:p w:rsidR="00BA1D08" w:rsidRDefault="00BA1D08" w:rsidP="00C05FAA">
            <w:pPr>
              <w:jc w:val="center"/>
            </w:pPr>
            <w:r>
              <w:t>Drop-out, Repeater and Promotion Rates</w:t>
            </w:r>
          </w:p>
        </w:tc>
      </w:tr>
      <w:tr w:rsidR="00BA1D08" w:rsidTr="00C05FAA">
        <w:tc>
          <w:tcPr>
            <w:tcW w:w="1367" w:type="dxa"/>
          </w:tcPr>
          <w:p w:rsidR="00BA1D08" w:rsidRDefault="00BA1D08" w:rsidP="00C05FAA">
            <w:pPr>
              <w:jc w:val="both"/>
            </w:pPr>
            <w:r>
              <w:t>Year</w:t>
            </w:r>
          </w:p>
        </w:tc>
        <w:tc>
          <w:tcPr>
            <w:tcW w:w="4101" w:type="dxa"/>
            <w:gridSpan w:val="3"/>
          </w:tcPr>
          <w:p w:rsidR="00BA1D08" w:rsidRDefault="00BA1D08" w:rsidP="00C05FAA">
            <w:pPr>
              <w:jc w:val="center"/>
            </w:pPr>
            <w:r>
              <w:t>Primary, Years 1-6</w:t>
            </w:r>
          </w:p>
        </w:tc>
        <w:tc>
          <w:tcPr>
            <w:tcW w:w="4102" w:type="dxa"/>
            <w:gridSpan w:val="3"/>
          </w:tcPr>
          <w:p w:rsidR="00BA1D08" w:rsidRDefault="00BA1D08" w:rsidP="00C05FAA">
            <w:pPr>
              <w:jc w:val="center"/>
            </w:pPr>
            <w:r>
              <w:t>Secondary, Years 7 plus</w:t>
            </w:r>
          </w:p>
        </w:tc>
      </w:tr>
      <w:tr w:rsidR="00BA1D08" w:rsidTr="00C05FAA">
        <w:tc>
          <w:tcPr>
            <w:tcW w:w="1367" w:type="dxa"/>
          </w:tcPr>
          <w:p w:rsidR="00BA1D08" w:rsidRDefault="00BA1D08" w:rsidP="00C05FAA">
            <w:pPr>
              <w:jc w:val="both"/>
            </w:pPr>
          </w:p>
        </w:tc>
        <w:tc>
          <w:tcPr>
            <w:tcW w:w="1367" w:type="dxa"/>
          </w:tcPr>
          <w:p w:rsidR="00BA1D08" w:rsidRDefault="00BA1D08" w:rsidP="00C05FAA">
            <w:pPr>
              <w:jc w:val="center"/>
            </w:pPr>
            <w:r>
              <w:t>Drop-out Rate</w:t>
            </w:r>
          </w:p>
        </w:tc>
        <w:tc>
          <w:tcPr>
            <w:tcW w:w="1367" w:type="dxa"/>
          </w:tcPr>
          <w:p w:rsidR="00BA1D08" w:rsidRDefault="00BA1D08" w:rsidP="00C05FAA">
            <w:pPr>
              <w:jc w:val="center"/>
            </w:pPr>
            <w:r>
              <w:t>Repeater Rate</w:t>
            </w:r>
          </w:p>
        </w:tc>
        <w:tc>
          <w:tcPr>
            <w:tcW w:w="1367" w:type="dxa"/>
          </w:tcPr>
          <w:p w:rsidR="00BA1D08" w:rsidRDefault="00BA1D08" w:rsidP="00C05FAA">
            <w:pPr>
              <w:jc w:val="center"/>
            </w:pPr>
            <w:r>
              <w:t>Promotion Rate</w:t>
            </w:r>
          </w:p>
        </w:tc>
        <w:tc>
          <w:tcPr>
            <w:tcW w:w="1367" w:type="dxa"/>
          </w:tcPr>
          <w:p w:rsidR="00BA1D08" w:rsidRDefault="00BA1D08" w:rsidP="00C05FAA">
            <w:pPr>
              <w:jc w:val="center"/>
            </w:pPr>
            <w:r>
              <w:t>Drop-out Rate</w:t>
            </w:r>
          </w:p>
        </w:tc>
        <w:tc>
          <w:tcPr>
            <w:tcW w:w="1367" w:type="dxa"/>
          </w:tcPr>
          <w:p w:rsidR="00BA1D08" w:rsidRDefault="00BA1D08" w:rsidP="00C05FAA">
            <w:pPr>
              <w:jc w:val="center"/>
            </w:pPr>
            <w:r>
              <w:t>Repeater Rate</w:t>
            </w:r>
          </w:p>
        </w:tc>
        <w:tc>
          <w:tcPr>
            <w:tcW w:w="1368" w:type="dxa"/>
          </w:tcPr>
          <w:p w:rsidR="00BA1D08" w:rsidRDefault="00BA1D08" w:rsidP="00C05FAA">
            <w:pPr>
              <w:jc w:val="center"/>
            </w:pPr>
            <w:r>
              <w:t>Promotion Rate</w:t>
            </w:r>
          </w:p>
        </w:tc>
      </w:tr>
      <w:tr w:rsidR="00BA1D08" w:rsidTr="00C05FAA">
        <w:tc>
          <w:tcPr>
            <w:tcW w:w="1367" w:type="dxa"/>
          </w:tcPr>
          <w:p w:rsidR="00BA1D08" w:rsidRDefault="00BA1D08" w:rsidP="00C05FAA">
            <w:pPr>
              <w:jc w:val="both"/>
            </w:pPr>
            <w:r>
              <w:t>2009</w:t>
            </w:r>
          </w:p>
        </w:tc>
        <w:tc>
          <w:tcPr>
            <w:tcW w:w="1367" w:type="dxa"/>
          </w:tcPr>
          <w:p w:rsidR="00BA1D08" w:rsidRDefault="00BA1D08" w:rsidP="00C05FAA">
            <w:pPr>
              <w:jc w:val="center"/>
            </w:pPr>
            <w:r>
              <w:t>2.1%</w:t>
            </w:r>
          </w:p>
        </w:tc>
        <w:tc>
          <w:tcPr>
            <w:tcW w:w="1367" w:type="dxa"/>
          </w:tcPr>
          <w:p w:rsidR="00BA1D08" w:rsidRDefault="00BA1D08" w:rsidP="00C05FAA">
            <w:pPr>
              <w:jc w:val="center"/>
            </w:pPr>
            <w:r>
              <w:t>14.4%</w:t>
            </w:r>
          </w:p>
        </w:tc>
        <w:tc>
          <w:tcPr>
            <w:tcW w:w="1367" w:type="dxa"/>
          </w:tcPr>
          <w:p w:rsidR="00BA1D08" w:rsidRDefault="00BA1D08" w:rsidP="00C05FAA">
            <w:pPr>
              <w:jc w:val="center"/>
            </w:pPr>
            <w:r>
              <w:t>83.9%</w:t>
            </w:r>
          </w:p>
        </w:tc>
        <w:tc>
          <w:tcPr>
            <w:tcW w:w="1367" w:type="dxa"/>
          </w:tcPr>
          <w:p w:rsidR="00BA1D08" w:rsidRDefault="00BA1D08" w:rsidP="00C05FAA">
            <w:pPr>
              <w:jc w:val="center"/>
            </w:pPr>
            <w:r>
              <w:t>37.9%</w:t>
            </w:r>
          </w:p>
        </w:tc>
        <w:tc>
          <w:tcPr>
            <w:tcW w:w="1367" w:type="dxa"/>
          </w:tcPr>
          <w:p w:rsidR="00BA1D08" w:rsidRDefault="00BA1D08" w:rsidP="00C05FAA">
            <w:pPr>
              <w:jc w:val="center"/>
            </w:pPr>
            <w:r>
              <w:t>1.9%</w:t>
            </w:r>
          </w:p>
        </w:tc>
        <w:tc>
          <w:tcPr>
            <w:tcW w:w="1368" w:type="dxa"/>
          </w:tcPr>
          <w:p w:rsidR="00BA1D08" w:rsidRDefault="00BA1D08" w:rsidP="00C05FAA">
            <w:pPr>
              <w:jc w:val="center"/>
            </w:pPr>
            <w:r>
              <w:t>60.1%</w:t>
            </w:r>
          </w:p>
        </w:tc>
      </w:tr>
      <w:tr w:rsidR="00BA1D08" w:rsidTr="00C05FAA">
        <w:tc>
          <w:tcPr>
            <w:tcW w:w="1367" w:type="dxa"/>
          </w:tcPr>
          <w:p w:rsidR="00BA1D08" w:rsidRDefault="00BA1D08" w:rsidP="00C05FAA">
            <w:pPr>
              <w:jc w:val="both"/>
            </w:pPr>
            <w:r>
              <w:t>2010</w:t>
            </w:r>
          </w:p>
        </w:tc>
        <w:tc>
          <w:tcPr>
            <w:tcW w:w="1367" w:type="dxa"/>
          </w:tcPr>
          <w:p w:rsidR="00BA1D08" w:rsidRDefault="00BA1D08" w:rsidP="00C05FAA">
            <w:pPr>
              <w:jc w:val="center"/>
            </w:pPr>
            <w:r>
              <w:t>6.0%</w:t>
            </w:r>
          </w:p>
        </w:tc>
        <w:tc>
          <w:tcPr>
            <w:tcW w:w="1367" w:type="dxa"/>
          </w:tcPr>
          <w:p w:rsidR="00BA1D08" w:rsidRDefault="00BA1D08" w:rsidP="00C05FAA">
            <w:pPr>
              <w:jc w:val="center"/>
            </w:pPr>
            <w:r>
              <w:t>15.1%</w:t>
            </w:r>
          </w:p>
        </w:tc>
        <w:tc>
          <w:tcPr>
            <w:tcW w:w="1367" w:type="dxa"/>
          </w:tcPr>
          <w:p w:rsidR="00BA1D08" w:rsidRDefault="00BA1D08" w:rsidP="00C05FAA">
            <w:pPr>
              <w:jc w:val="center"/>
            </w:pPr>
            <w:r>
              <w:t>78.8%</w:t>
            </w:r>
          </w:p>
        </w:tc>
        <w:tc>
          <w:tcPr>
            <w:tcW w:w="1367" w:type="dxa"/>
          </w:tcPr>
          <w:p w:rsidR="00BA1D08" w:rsidRDefault="00BA1D08" w:rsidP="00C05FAA">
            <w:pPr>
              <w:jc w:val="center"/>
            </w:pPr>
            <w:r>
              <w:t>39.9%</w:t>
            </w:r>
          </w:p>
        </w:tc>
        <w:tc>
          <w:tcPr>
            <w:tcW w:w="1367" w:type="dxa"/>
          </w:tcPr>
          <w:p w:rsidR="00BA1D08" w:rsidRDefault="00BA1D08" w:rsidP="00C05FAA">
            <w:pPr>
              <w:jc w:val="center"/>
            </w:pPr>
            <w:r>
              <w:t>2.8%</w:t>
            </w:r>
          </w:p>
        </w:tc>
        <w:tc>
          <w:tcPr>
            <w:tcW w:w="1368" w:type="dxa"/>
          </w:tcPr>
          <w:p w:rsidR="00BA1D08" w:rsidRDefault="00BA1D08" w:rsidP="00C05FAA">
            <w:pPr>
              <w:jc w:val="center"/>
            </w:pPr>
            <w:r>
              <w:t>57.2%</w:t>
            </w:r>
          </w:p>
        </w:tc>
      </w:tr>
      <w:tr w:rsidR="00BA1D08" w:rsidTr="00C05FAA">
        <w:tc>
          <w:tcPr>
            <w:tcW w:w="1367" w:type="dxa"/>
          </w:tcPr>
          <w:p w:rsidR="00BA1D08" w:rsidRDefault="00BA1D08" w:rsidP="00C05FAA">
            <w:pPr>
              <w:jc w:val="both"/>
            </w:pPr>
            <w:r>
              <w:t>2011</w:t>
            </w:r>
          </w:p>
        </w:tc>
        <w:tc>
          <w:tcPr>
            <w:tcW w:w="1367" w:type="dxa"/>
          </w:tcPr>
          <w:p w:rsidR="00BA1D08" w:rsidRDefault="00BA1D08" w:rsidP="00C05FAA">
            <w:pPr>
              <w:jc w:val="center"/>
            </w:pPr>
            <w:r>
              <w:t>8.0%</w:t>
            </w:r>
          </w:p>
        </w:tc>
        <w:tc>
          <w:tcPr>
            <w:tcW w:w="1367" w:type="dxa"/>
          </w:tcPr>
          <w:p w:rsidR="00BA1D08" w:rsidRDefault="00BA1D08" w:rsidP="00C05FAA">
            <w:pPr>
              <w:jc w:val="center"/>
            </w:pPr>
            <w:r>
              <w:t>12.1%</w:t>
            </w:r>
          </w:p>
        </w:tc>
        <w:tc>
          <w:tcPr>
            <w:tcW w:w="1367" w:type="dxa"/>
          </w:tcPr>
          <w:p w:rsidR="00BA1D08" w:rsidRDefault="00BA1D08" w:rsidP="00C05FAA">
            <w:pPr>
              <w:jc w:val="center"/>
            </w:pPr>
            <w:r>
              <w:t>79.9%</w:t>
            </w:r>
          </w:p>
        </w:tc>
        <w:tc>
          <w:tcPr>
            <w:tcW w:w="1367" w:type="dxa"/>
          </w:tcPr>
          <w:p w:rsidR="00BA1D08" w:rsidRDefault="00BA1D08" w:rsidP="00C05FAA">
            <w:pPr>
              <w:jc w:val="center"/>
            </w:pPr>
            <w:r>
              <w:t>44.2%</w:t>
            </w:r>
          </w:p>
        </w:tc>
        <w:tc>
          <w:tcPr>
            <w:tcW w:w="1367" w:type="dxa"/>
          </w:tcPr>
          <w:p w:rsidR="00BA1D08" w:rsidRDefault="00BA1D08" w:rsidP="00C05FAA">
            <w:pPr>
              <w:jc w:val="center"/>
            </w:pPr>
            <w:r>
              <w:t>3.0%</w:t>
            </w:r>
          </w:p>
        </w:tc>
        <w:tc>
          <w:tcPr>
            <w:tcW w:w="1368" w:type="dxa"/>
          </w:tcPr>
          <w:p w:rsidR="00BA1D08" w:rsidRDefault="00BA1D08" w:rsidP="00C05FAA">
            <w:pPr>
              <w:jc w:val="center"/>
            </w:pPr>
            <w:r>
              <w:t>52.9%</w:t>
            </w:r>
          </w:p>
        </w:tc>
      </w:tr>
      <w:tr w:rsidR="00BA1D08" w:rsidTr="00C05FAA">
        <w:tc>
          <w:tcPr>
            <w:tcW w:w="1367" w:type="dxa"/>
          </w:tcPr>
          <w:p w:rsidR="00BA1D08" w:rsidRDefault="00BA1D08" w:rsidP="00142AAB">
            <w:pPr>
              <w:jc w:val="both"/>
            </w:pPr>
            <w:r>
              <w:t>Trend</w:t>
            </w:r>
          </w:p>
        </w:tc>
        <w:tc>
          <w:tcPr>
            <w:tcW w:w="1367" w:type="dxa"/>
          </w:tcPr>
          <w:p w:rsidR="00BA1D08" w:rsidRDefault="00302BEA" w:rsidP="00302BEA">
            <w:pPr>
              <w:jc w:val="center"/>
            </w:pPr>
            <w:r>
              <w:rPr>
                <w:noProof/>
                <w:lang w:eastAsia="en-AU"/>
              </w:rPr>
              <mc:AlternateContent>
                <mc:Choice Requires="wps">
                  <w:drawing>
                    <wp:inline distT="0" distB="0" distL="0" distR="0" wp14:anchorId="121705A0" wp14:editId="183F8FD6">
                      <wp:extent cx="257175" cy="209550"/>
                      <wp:effectExtent l="38100" t="19050" r="9525" b="19050"/>
                      <wp:docPr id="21" name="AutoShape 109" descr="up arrow" title="increa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up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9" o:spid="_x0000_s1026" type="#_x0000_t68" alt="Title: increase - Description: up arrow" style="width:20.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" fillcolor="black [3213]">
                      <v:textbox style="layout-flow:vertical-ideographic"/>
                      <w10:anchorlock/>
                    </v:shape>
                  </w:pict>
                </mc:Fallback>
              </mc:AlternateContent>
            </w:r>
          </w:p>
        </w:tc>
        <w:tc>
          <w:tcPr>
            <w:tcW w:w="1367" w:type="dxa"/>
          </w:tcPr>
          <w:p w:rsidR="00BA1D08" w:rsidRDefault="00302BEA" w:rsidP="00142AAB">
            <w:pPr>
              <w:jc w:val="center"/>
            </w:pPr>
            <w:r>
              <w:rPr>
                <w:noProof/>
                <w:lang w:eastAsia="en-AU"/>
              </w:rPr>
              <mc:AlternateContent>
                <mc:Choice Requires="wps">
                  <w:drawing>
                    <wp:inline distT="0" distB="0" distL="0" distR="0" wp14:anchorId="597DCDDF" wp14:editId="4A4FC8A4">
                      <wp:extent cx="247650" cy="209550"/>
                      <wp:effectExtent l="38100" t="0" r="19050" b="38100"/>
                      <wp:docPr id="20" name="AutoShape 108"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8"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" fillcolor="black [3213]">
                      <v:textbox style="layout-flow:vertical-ideographic"/>
                      <w10:anchorlock/>
                    </v:shape>
                  </w:pict>
                </mc:Fallback>
              </mc:AlternateContent>
            </w:r>
          </w:p>
        </w:tc>
        <w:tc>
          <w:tcPr>
            <w:tcW w:w="1367" w:type="dxa"/>
          </w:tcPr>
          <w:p w:rsidR="00BA1D08" w:rsidRDefault="00302BEA" w:rsidP="00142AAB">
            <w:pPr>
              <w:jc w:val="center"/>
            </w:pPr>
            <w:r>
              <w:rPr>
                <w:noProof/>
                <w:lang w:eastAsia="en-AU"/>
              </w:rPr>
              <mc:AlternateContent>
                <mc:Choice Requires="wps">
                  <w:drawing>
                    <wp:inline distT="0" distB="0" distL="0" distR="0" wp14:anchorId="71D1133E" wp14:editId="7CDC1F4A">
                      <wp:extent cx="247650" cy="209550"/>
                      <wp:effectExtent l="38100" t="0" r="19050" b="38100"/>
                      <wp:docPr id="19" name="AutoShape 112"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2"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" fillcolor="black [3213]">
                      <v:textbox style="layout-flow:vertical-ideographic"/>
                      <w10:anchorlock/>
                    </v:shape>
                  </w:pict>
                </mc:Fallback>
              </mc:AlternateContent>
            </w:r>
          </w:p>
        </w:tc>
        <w:tc>
          <w:tcPr>
            <w:tcW w:w="1367" w:type="dxa"/>
          </w:tcPr>
          <w:p w:rsidR="00BA1D08" w:rsidRDefault="00D56353" w:rsidP="00C05FAA">
            <w:pPr>
              <w:jc w:val="center"/>
            </w:pPr>
            <w:r>
              <w:rPr>
                <w:noProof/>
                <w:lang w:eastAsia="en-AU"/>
              </w:rPr>
              <mc:AlternateContent>
                <mc:Choice Requires="wps">
                  <w:drawing>
                    <wp:inline distT="0" distB="0" distL="0" distR="0" wp14:anchorId="23A95E22" wp14:editId="338D08C2">
                      <wp:extent cx="257175" cy="209550"/>
                      <wp:effectExtent l="38100" t="19050" r="9525" b="19050"/>
                      <wp:docPr id="18" name="AutoShape 110" descr="increase" title="up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up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0" o:spid="_x0000_s1026" type="#_x0000_t68" alt="Title: up arrow - Description: increase" style="width:20.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" fillcolor="black [3213]">
                      <v:textbox style="layout-flow:vertical-ideographic"/>
                      <w10:anchorlock/>
                    </v:shape>
                  </w:pict>
                </mc:Fallback>
              </mc:AlternateContent>
            </w:r>
          </w:p>
        </w:tc>
        <w:tc>
          <w:tcPr>
            <w:tcW w:w="1367" w:type="dxa"/>
          </w:tcPr>
          <w:p w:rsidR="00BA1D08" w:rsidRDefault="00D56353" w:rsidP="00C05FAA">
            <w:pPr>
              <w:jc w:val="center"/>
            </w:pPr>
            <w:r>
              <w:rPr>
                <w:noProof/>
                <w:lang w:eastAsia="en-AU"/>
              </w:rPr>
              <mc:AlternateContent>
                <mc:Choice Requires="wps">
                  <w:drawing>
                    <wp:inline distT="0" distB="0" distL="0" distR="0" wp14:anchorId="4495BC1D" wp14:editId="3F5E82DF">
                      <wp:extent cx="257175" cy="209550"/>
                      <wp:effectExtent l="38100" t="19050" r="9525" b="19050"/>
                      <wp:docPr id="17" name="AutoShape 111" descr="increase" title="up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up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1" o:spid="_x0000_s1026" type="#_x0000_t68" alt="Title: up arrow - Description: increase" style="width:20.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" fillcolor="black [3213]">
                      <v:textbox style="layout-flow:vertical-ideographic"/>
                      <w10:anchorlock/>
                    </v:shape>
                  </w:pict>
                </mc:Fallback>
              </mc:AlternateContent>
            </w:r>
          </w:p>
        </w:tc>
        <w:tc>
          <w:tcPr>
            <w:tcW w:w="1368" w:type="dxa"/>
          </w:tcPr>
          <w:p w:rsidR="00BA1D08" w:rsidRDefault="00D56353" w:rsidP="00C05FAA">
            <w:pPr>
              <w:jc w:val="center"/>
            </w:pPr>
            <w:r>
              <w:rPr>
                <w:noProof/>
                <w:lang w:eastAsia="en-AU"/>
              </w:rPr>
              <mc:AlternateContent>
                <mc:Choice Requires="wps">
                  <w:drawing>
                    <wp:inline distT="0" distB="0" distL="0" distR="0" wp14:anchorId="27CF72CA" wp14:editId="5C7377B0">
                      <wp:extent cx="247650" cy="209550"/>
                      <wp:effectExtent l="38100" t="0" r="19050" b="38100"/>
                      <wp:docPr id="15" name="AutoShape 113"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3"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" fillcolor="black [3213]">
                      <v:textbox style="layout-flow:vertical-ideographic"/>
                      <w10:anchorlock/>
                    </v:shape>
                  </w:pict>
                </mc:Fallback>
              </mc:AlternateContent>
            </w:r>
          </w:p>
        </w:tc>
      </w:tr>
      <w:tr w:rsidR="00BA1D08" w:rsidTr="00C05FAA">
        <w:tc>
          <w:tcPr>
            <w:tcW w:w="9570" w:type="dxa"/>
            <w:gridSpan w:val="7"/>
          </w:tcPr>
          <w:p w:rsidR="00BA1D08" w:rsidRDefault="00BA1D08" w:rsidP="00C05FAA">
            <w:pPr>
              <w:jc w:val="center"/>
            </w:pPr>
            <w:r>
              <w:t>Survival Rates</w:t>
            </w:r>
          </w:p>
        </w:tc>
      </w:tr>
      <w:tr w:rsidR="00BA1D08" w:rsidTr="00C05FAA">
        <w:tc>
          <w:tcPr>
            <w:tcW w:w="1367" w:type="dxa"/>
          </w:tcPr>
          <w:p w:rsidR="00BA1D08" w:rsidRDefault="00BA1D08" w:rsidP="00C05FAA">
            <w:pPr>
              <w:jc w:val="both"/>
            </w:pPr>
            <w:r>
              <w:t>Year</w:t>
            </w:r>
          </w:p>
        </w:tc>
        <w:tc>
          <w:tcPr>
            <w:tcW w:w="2734" w:type="dxa"/>
            <w:gridSpan w:val="2"/>
          </w:tcPr>
          <w:p w:rsidR="00BA1D08" w:rsidRDefault="00BA1D08" w:rsidP="00C05FAA">
            <w:pPr>
              <w:jc w:val="center"/>
            </w:pPr>
            <w:r>
              <w:t>To Year 6</w:t>
            </w:r>
          </w:p>
        </w:tc>
        <w:tc>
          <w:tcPr>
            <w:tcW w:w="2734" w:type="dxa"/>
            <w:gridSpan w:val="2"/>
          </w:tcPr>
          <w:p w:rsidR="00BA1D08" w:rsidRDefault="00BA1D08" w:rsidP="00C05FAA">
            <w:pPr>
              <w:jc w:val="center"/>
            </w:pPr>
            <w:r>
              <w:t>To Year 10</w:t>
            </w:r>
          </w:p>
        </w:tc>
        <w:tc>
          <w:tcPr>
            <w:tcW w:w="2735" w:type="dxa"/>
            <w:gridSpan w:val="2"/>
          </w:tcPr>
          <w:p w:rsidR="00BA1D08" w:rsidRDefault="00BA1D08" w:rsidP="00C05FAA">
            <w:pPr>
              <w:jc w:val="center"/>
            </w:pPr>
            <w:r>
              <w:t>To Year 13</w:t>
            </w:r>
          </w:p>
        </w:tc>
      </w:tr>
      <w:tr w:rsidR="00BA1D08" w:rsidTr="00C05FAA">
        <w:tc>
          <w:tcPr>
            <w:tcW w:w="1367" w:type="dxa"/>
          </w:tcPr>
          <w:p w:rsidR="00BA1D08" w:rsidRDefault="00BA1D08" w:rsidP="00C05FAA">
            <w:pPr>
              <w:jc w:val="both"/>
            </w:pPr>
            <w:r>
              <w:t>2009</w:t>
            </w:r>
          </w:p>
        </w:tc>
        <w:tc>
          <w:tcPr>
            <w:tcW w:w="2734" w:type="dxa"/>
            <w:gridSpan w:val="2"/>
          </w:tcPr>
          <w:p w:rsidR="00BA1D08" w:rsidRDefault="00BA1D08" w:rsidP="00C05FAA">
            <w:pPr>
              <w:jc w:val="center"/>
            </w:pPr>
            <w:r>
              <w:t>96.7%</w:t>
            </w:r>
          </w:p>
        </w:tc>
        <w:tc>
          <w:tcPr>
            <w:tcW w:w="2734" w:type="dxa"/>
            <w:gridSpan w:val="2"/>
          </w:tcPr>
          <w:p w:rsidR="00BA1D08" w:rsidRDefault="00BA1D08" w:rsidP="00C05FAA">
            <w:pPr>
              <w:jc w:val="center"/>
            </w:pPr>
            <w:r>
              <w:t>61.3%</w:t>
            </w:r>
          </w:p>
        </w:tc>
        <w:tc>
          <w:tcPr>
            <w:tcW w:w="2735" w:type="dxa"/>
            <w:gridSpan w:val="2"/>
          </w:tcPr>
          <w:p w:rsidR="00BA1D08" w:rsidRDefault="00BA1D08" w:rsidP="00C05FAA">
            <w:pPr>
              <w:jc w:val="center"/>
            </w:pPr>
            <w:r>
              <w:t>16.0%</w:t>
            </w:r>
          </w:p>
        </w:tc>
      </w:tr>
      <w:tr w:rsidR="00BA1D08" w:rsidTr="00C05FAA">
        <w:tc>
          <w:tcPr>
            <w:tcW w:w="1367" w:type="dxa"/>
          </w:tcPr>
          <w:p w:rsidR="00BA1D08" w:rsidRDefault="00BA1D08" w:rsidP="00C05FAA">
            <w:pPr>
              <w:jc w:val="both"/>
            </w:pPr>
            <w:r>
              <w:t>2010</w:t>
            </w:r>
          </w:p>
        </w:tc>
        <w:tc>
          <w:tcPr>
            <w:tcW w:w="2734" w:type="dxa"/>
            <w:gridSpan w:val="2"/>
          </w:tcPr>
          <w:p w:rsidR="00BA1D08" w:rsidRDefault="00BA1D08" w:rsidP="00C05FAA">
            <w:pPr>
              <w:jc w:val="center"/>
            </w:pPr>
            <w:r>
              <w:t>74.6%</w:t>
            </w:r>
          </w:p>
        </w:tc>
        <w:tc>
          <w:tcPr>
            <w:tcW w:w="2734" w:type="dxa"/>
            <w:gridSpan w:val="2"/>
          </w:tcPr>
          <w:p w:rsidR="00BA1D08" w:rsidRDefault="00BA1D08" w:rsidP="00C05FAA">
            <w:pPr>
              <w:jc w:val="center"/>
            </w:pPr>
            <w:r>
              <w:t>39.4%</w:t>
            </w:r>
          </w:p>
        </w:tc>
        <w:tc>
          <w:tcPr>
            <w:tcW w:w="2735" w:type="dxa"/>
            <w:gridSpan w:val="2"/>
          </w:tcPr>
          <w:p w:rsidR="00BA1D08" w:rsidRDefault="00BA1D08" w:rsidP="00C05FAA">
            <w:pPr>
              <w:jc w:val="center"/>
            </w:pPr>
            <w:r>
              <w:t>9.7%</w:t>
            </w:r>
          </w:p>
        </w:tc>
      </w:tr>
      <w:tr w:rsidR="00BA1D08" w:rsidTr="00C05FAA">
        <w:tc>
          <w:tcPr>
            <w:tcW w:w="1367" w:type="dxa"/>
          </w:tcPr>
          <w:p w:rsidR="00BA1D08" w:rsidRDefault="00BA1D08" w:rsidP="00C05FAA">
            <w:pPr>
              <w:jc w:val="both"/>
            </w:pPr>
            <w:r>
              <w:t>2011</w:t>
            </w:r>
          </w:p>
        </w:tc>
        <w:tc>
          <w:tcPr>
            <w:tcW w:w="2734" w:type="dxa"/>
            <w:gridSpan w:val="2"/>
          </w:tcPr>
          <w:p w:rsidR="00BA1D08" w:rsidRDefault="00BA1D08" w:rsidP="00C05FAA">
            <w:pPr>
              <w:jc w:val="center"/>
            </w:pPr>
            <w:r>
              <w:t>69.5%</w:t>
            </w:r>
          </w:p>
        </w:tc>
        <w:tc>
          <w:tcPr>
            <w:tcW w:w="2734" w:type="dxa"/>
            <w:gridSpan w:val="2"/>
          </w:tcPr>
          <w:p w:rsidR="00BA1D08" w:rsidRDefault="00BA1D08" w:rsidP="00C05FAA">
            <w:pPr>
              <w:jc w:val="center"/>
            </w:pPr>
            <w:r>
              <w:t>33.7%</w:t>
            </w:r>
          </w:p>
        </w:tc>
        <w:tc>
          <w:tcPr>
            <w:tcW w:w="2735" w:type="dxa"/>
            <w:gridSpan w:val="2"/>
          </w:tcPr>
          <w:p w:rsidR="00BA1D08" w:rsidRDefault="00BA1D08" w:rsidP="00C05FAA">
            <w:pPr>
              <w:jc w:val="center"/>
            </w:pPr>
            <w:r>
              <w:t>5.1%</w:t>
            </w:r>
          </w:p>
        </w:tc>
      </w:tr>
      <w:tr w:rsidR="00BA1D08" w:rsidTr="00142AAB">
        <w:trPr>
          <w:trHeight w:val="256"/>
        </w:trPr>
        <w:tc>
          <w:tcPr>
            <w:tcW w:w="1367" w:type="dxa"/>
          </w:tcPr>
          <w:p w:rsidR="00BA1D08" w:rsidRDefault="00BA1D08" w:rsidP="00142AAB">
            <w:pPr>
              <w:jc w:val="both"/>
            </w:pPr>
            <w:r>
              <w:t>Trend</w:t>
            </w:r>
          </w:p>
        </w:tc>
        <w:tc>
          <w:tcPr>
            <w:tcW w:w="2734" w:type="dxa"/>
            <w:gridSpan w:val="2"/>
          </w:tcPr>
          <w:p w:rsidR="00BA1D08" w:rsidRDefault="00D56353" w:rsidP="00C05FAA">
            <w:pPr>
              <w:jc w:val="center"/>
            </w:pPr>
            <w:r>
              <w:rPr>
                <w:noProof/>
                <w:lang w:eastAsia="en-AU"/>
              </w:rPr>
              <mc:AlternateContent>
                <mc:Choice Requires="wps">
                  <w:drawing>
                    <wp:inline distT="0" distB="0" distL="0" distR="0" wp14:anchorId="021391E2" wp14:editId="43D02DDE">
                      <wp:extent cx="247650" cy="209550"/>
                      <wp:effectExtent l="38100" t="0" r="19050" b="38100"/>
                      <wp:docPr id="14" name="AutoShape 114"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4"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" fillcolor="black [3213]">
                      <v:textbox style="layout-flow:vertical-ideographic"/>
                      <w10:anchorlock/>
                    </v:shape>
                  </w:pict>
                </mc:Fallback>
              </mc:AlternateContent>
            </w:r>
          </w:p>
        </w:tc>
        <w:tc>
          <w:tcPr>
            <w:tcW w:w="2734" w:type="dxa"/>
            <w:gridSpan w:val="2"/>
          </w:tcPr>
          <w:p w:rsidR="00BA1D08" w:rsidRDefault="00D56353" w:rsidP="00C05FAA">
            <w:pPr>
              <w:jc w:val="center"/>
            </w:pPr>
            <w:r>
              <w:rPr>
                <w:noProof/>
                <w:lang w:eastAsia="en-AU"/>
              </w:rPr>
              <mc:AlternateContent>
                <mc:Choice Requires="wps">
                  <w:drawing>
                    <wp:inline distT="0" distB="0" distL="0" distR="0" wp14:anchorId="247C8248" wp14:editId="579ECC76">
                      <wp:extent cx="247650" cy="209550"/>
                      <wp:effectExtent l="38100" t="0" r="19050" b="38100"/>
                      <wp:docPr id="13" name="AutoShape 115"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5"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" fillcolor="black [3213]">
                      <v:textbox style="layout-flow:vertical-ideographic"/>
                      <w10:anchorlock/>
                    </v:shape>
                  </w:pict>
                </mc:Fallback>
              </mc:AlternateContent>
            </w:r>
          </w:p>
        </w:tc>
        <w:tc>
          <w:tcPr>
            <w:tcW w:w="2735" w:type="dxa"/>
            <w:gridSpan w:val="2"/>
          </w:tcPr>
          <w:p w:rsidR="00BA1D08" w:rsidRDefault="00D56353" w:rsidP="00C05FAA">
            <w:pPr>
              <w:jc w:val="center"/>
            </w:pPr>
            <w:r>
              <w:rPr>
                <w:noProof/>
                <w:lang w:eastAsia="en-AU"/>
              </w:rPr>
              <mc:AlternateContent>
                <mc:Choice Requires="wps">
                  <w:drawing>
                    <wp:inline distT="0" distB="0" distL="0" distR="0" wp14:anchorId="0216AF93" wp14:editId="3B5A52AD">
                      <wp:extent cx="247650" cy="209550"/>
                      <wp:effectExtent l="38100" t="0" r="19050" b="38100"/>
                      <wp:docPr id="10" name="AutoShape 116" descr="decrease"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id="AutoShape 116" o:spid="_x0000_s1026" type="#_x0000_t67" alt="Title: down arrow - Description: decrease" style="width:19.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" fillcolor="black [3213]">
                      <v:textbox style="layout-flow:vertical-ideographic"/>
                      <w10:anchorlock/>
                    </v:shape>
                  </w:pict>
                </mc:Fallback>
              </mc:AlternateContent>
            </w:r>
          </w:p>
        </w:tc>
      </w:tr>
      <w:tr w:rsidR="00BA1D08" w:rsidTr="00C05FAA">
        <w:tc>
          <w:tcPr>
            <w:tcW w:w="9570" w:type="dxa"/>
            <w:gridSpan w:val="7"/>
          </w:tcPr>
          <w:p w:rsidR="00BA1D08" w:rsidRDefault="00BA1D08" w:rsidP="00C05FAA">
            <w:r>
              <w:t xml:space="preserve">Source: ‘Annual Statistical Report 2010-2011’, Ministry of Education (June 2012), various tables. </w:t>
            </w:r>
          </w:p>
        </w:tc>
      </w:tr>
    </w:tbl>
    <w:p w:rsidR="00BA1D08" w:rsidRDefault="00BA1D08" w:rsidP="00BA1D08">
      <w:pPr>
        <w:jc w:val="both"/>
      </w:pPr>
    </w:p>
    <w:p w:rsidR="0081646B" w:rsidRDefault="0081646B" w:rsidP="0081646B">
      <w:pPr>
        <w:jc w:val="both"/>
      </w:pPr>
      <w:r>
        <w:t xml:space="preserve">The </w:t>
      </w:r>
      <w:proofErr w:type="spellStart"/>
      <w:r>
        <w:t>MoE’s</w:t>
      </w:r>
      <w:proofErr w:type="spellEnd"/>
      <w:r>
        <w:t xml:space="preserve"> Analysis Report in relation to the Education for All Goals also addressed the issue of outcome quality by reference to literacy and numeracy.  With reference to the results of the 2009 VANSTA survey of literacy and numeracy capabilities at the end of Grade 4 it concluded:</w:t>
      </w:r>
    </w:p>
    <w:p w:rsidR="0081646B" w:rsidRDefault="0081646B" w:rsidP="0081646B">
      <w:pPr>
        <w:jc w:val="both"/>
      </w:pPr>
    </w:p>
    <w:p w:rsidR="0081646B" w:rsidRDefault="0081646B" w:rsidP="0081646B">
      <w:pPr>
        <w:ind w:left="720"/>
        <w:jc w:val="both"/>
      </w:pPr>
      <w:r>
        <w:lastRenderedPageBreak/>
        <w:t>“</w:t>
      </w:r>
      <w:r w:rsidRPr="002F58B7">
        <w:t>From a cursory review of available literacy data, there remains a significant</w:t>
      </w:r>
      <w:r>
        <w:t xml:space="preserve"> </w:t>
      </w:r>
      <w:r w:rsidRPr="002F58B7">
        <w:t xml:space="preserve">proportion of the adult population that lack basic literacy skills. </w:t>
      </w:r>
      <w:r>
        <w:t xml:space="preserve">... </w:t>
      </w:r>
      <w:r w:rsidRPr="002F58B7">
        <w:t>To assess the achievement of this goal</w:t>
      </w:r>
      <w:r>
        <w:t xml:space="preserve"> </w:t>
      </w:r>
      <w:r w:rsidRPr="002F58B7">
        <w:t xml:space="preserve">accurately, the </w:t>
      </w:r>
      <w:proofErr w:type="spellStart"/>
      <w:r w:rsidRPr="002F58B7">
        <w:t>MoE</w:t>
      </w:r>
      <w:proofErr w:type="spellEnd"/>
      <w:r w:rsidRPr="002F58B7">
        <w:t xml:space="preserve"> would need to refer to available baseline data (2000 or</w:t>
      </w:r>
      <w:r>
        <w:t xml:space="preserve"> </w:t>
      </w:r>
      <w:r w:rsidRPr="002F58B7">
        <w:t>nearest possible data) and calculate improvements to date.</w:t>
      </w:r>
      <w:r>
        <w:t xml:space="preserve"> ... </w:t>
      </w:r>
      <w:r w:rsidRPr="002F58B7">
        <w:t>EFA Goal 4 is often interpreted to cover both literacy and numeracy.</w:t>
      </w:r>
      <w:r>
        <w:t xml:space="preserve"> </w:t>
      </w:r>
      <w:r w:rsidRPr="002F58B7">
        <w:t>Formal, in-school learning assessments suggest that students are failing in</w:t>
      </w:r>
      <w:r>
        <w:t xml:space="preserve"> </w:t>
      </w:r>
      <w:r w:rsidRPr="002F58B7">
        <w:t>large numbers to achieve basic skills in both areas.</w:t>
      </w:r>
      <w:r>
        <w:t>”</w:t>
      </w:r>
      <w:r>
        <w:rPr>
          <w:rStyle w:val="FootnoteReference"/>
        </w:rPr>
        <w:footnoteReference w:id="52"/>
      </w:r>
    </w:p>
    <w:p w:rsidR="0081646B" w:rsidRDefault="0081646B" w:rsidP="00BA1D08">
      <w:pPr>
        <w:jc w:val="both"/>
      </w:pPr>
    </w:p>
    <w:p w:rsidR="00BA1D08" w:rsidRDefault="00BA1D08" w:rsidP="00BA1D08">
      <w:pPr>
        <w:jc w:val="both"/>
      </w:pPr>
      <w:r>
        <w:t xml:space="preserve">It is not possible to draw evidence-based conclusions regarding the impacts of public expenditure on the quality of education outcomes in Vanuatu pending the establishment of robust time series data in relation to literacy and numeracy in particular.  The limited data available do suggest, however, that increased </w:t>
      </w:r>
      <w:r w:rsidRPr="00933862">
        <w:rPr>
          <w:u w:val="single"/>
        </w:rPr>
        <w:t>access</w:t>
      </w:r>
      <w:r>
        <w:t xml:space="preserve"> to primary and secondary education in recent years may have been at the expense of improved </w:t>
      </w:r>
      <w:r w:rsidRPr="00933862">
        <w:rPr>
          <w:u w:val="single"/>
        </w:rPr>
        <w:t>quality</w:t>
      </w:r>
      <w:r>
        <w:t xml:space="preserve">. </w:t>
      </w:r>
    </w:p>
    <w:p w:rsidR="00BA1D08" w:rsidRDefault="00BA1D08" w:rsidP="00160C19">
      <w:pPr>
        <w:pStyle w:val="Heading2"/>
      </w:pPr>
      <w:bookmarkStart w:id="183" w:name="_Toc341210805"/>
      <w:bookmarkStart w:id="184" w:name="_Toc341210924"/>
      <w:bookmarkStart w:id="185" w:name="_Toc341265742"/>
      <w:bookmarkStart w:id="186" w:name="_Toc343257305"/>
      <w:bookmarkStart w:id="187" w:name="_Toc343257419"/>
      <w:bookmarkStart w:id="188" w:name="_Toc348711340"/>
      <w:r w:rsidRPr="006C3340">
        <w:t>2.4.3 Impacts on management performance</w:t>
      </w:r>
      <w:bookmarkEnd w:id="183"/>
      <w:bookmarkEnd w:id="184"/>
      <w:bookmarkEnd w:id="185"/>
      <w:bookmarkEnd w:id="186"/>
      <w:bookmarkEnd w:id="187"/>
      <w:bookmarkEnd w:id="188"/>
      <w:r>
        <w:t xml:space="preserve"> </w:t>
      </w:r>
    </w:p>
    <w:p w:rsidR="00BA1D08" w:rsidRDefault="00BA1D08" w:rsidP="00BA1D08">
      <w:pPr>
        <w:jc w:val="both"/>
      </w:pPr>
    </w:p>
    <w:p w:rsidR="00BA1D08" w:rsidRDefault="00BA1D08" w:rsidP="00BA1D08">
      <w:pPr>
        <w:jc w:val="both"/>
      </w:pPr>
      <w:r>
        <w:t xml:space="preserve">The VERM set the following indicators for management performance of the education system while the PAA Action Plan 2011-2015 supplemented these with a variety of performance targets.   The VERM indicators are summarised in Table </w:t>
      </w:r>
      <w:r w:rsidR="00571727">
        <w:t>3</w:t>
      </w:r>
      <w:r w:rsidR="0081646B">
        <w:t>6</w:t>
      </w:r>
      <w:r>
        <w:t xml:space="preserve"> along with this review’s comments against each.  The PAA’s indicators were wholly task-related, not output/outcome-related and have therefore been omitted.</w:t>
      </w:r>
    </w:p>
    <w:p w:rsidR="00695673" w:rsidRDefault="00695673" w:rsidP="00BA1D08">
      <w:pPr>
        <w:jc w:val="both"/>
      </w:pPr>
    </w:p>
    <w:tbl>
      <w:tblPr>
        <w:tblStyle w:val="TableGrid"/>
        <w:tblW w:w="0" w:type="auto"/>
        <w:tblLook w:val="04A0" w:firstRow="1" w:lastRow="0" w:firstColumn="1" w:lastColumn="0" w:noHBand="0" w:noVBand="1"/>
        <w:tblCaption w:val="Table 36:  VERM performance indicators for strengthened management of the education system "/>
      </w:tblPr>
      <w:tblGrid>
        <w:gridCol w:w="2734"/>
        <w:gridCol w:w="1367"/>
        <w:gridCol w:w="1367"/>
        <w:gridCol w:w="1367"/>
        <w:gridCol w:w="2735"/>
      </w:tblGrid>
      <w:tr w:rsidR="00BA1D08" w:rsidTr="00D339A4">
        <w:trPr>
          <w:tblHeader/>
        </w:trPr>
        <w:tc>
          <w:tcPr>
            <w:tcW w:w="9570" w:type="dxa"/>
            <w:gridSpan w:val="5"/>
            <w:shd w:val="clear" w:color="auto" w:fill="BFBFBF" w:themeFill="background1" w:themeFillShade="BF"/>
          </w:tcPr>
          <w:p w:rsidR="00743573" w:rsidRDefault="00BA1D08">
            <w:pPr>
              <w:jc w:val="both"/>
            </w:pPr>
            <w:r>
              <w:t xml:space="preserve">Table </w:t>
            </w:r>
            <w:r w:rsidR="00571727">
              <w:t>3</w:t>
            </w:r>
            <w:r w:rsidR="00A11254">
              <w:t>6</w:t>
            </w:r>
            <w:r>
              <w:t xml:space="preserve">:  VERM performance indicators for strengthened management of the education system </w:t>
            </w:r>
          </w:p>
        </w:tc>
      </w:tr>
      <w:tr w:rsidR="00BA1D08" w:rsidTr="00C05FAA">
        <w:tc>
          <w:tcPr>
            <w:tcW w:w="2734" w:type="dxa"/>
          </w:tcPr>
          <w:p w:rsidR="00BA1D08" w:rsidRDefault="00BA1D08" w:rsidP="00C05FAA">
            <w:pPr>
              <w:jc w:val="both"/>
            </w:pPr>
          </w:p>
        </w:tc>
        <w:tc>
          <w:tcPr>
            <w:tcW w:w="1367" w:type="dxa"/>
          </w:tcPr>
          <w:p w:rsidR="00BA1D08" w:rsidRDefault="00BA1D08" w:rsidP="00C05FAA">
            <w:pPr>
              <w:jc w:val="center"/>
            </w:pPr>
            <w:r>
              <w:t>Baseline</w:t>
            </w:r>
          </w:p>
          <w:p w:rsidR="00BA1D08" w:rsidRDefault="00BA1D08" w:rsidP="00C05FAA">
            <w:pPr>
              <w:jc w:val="center"/>
            </w:pPr>
            <w:r>
              <w:t>(year)</w:t>
            </w:r>
          </w:p>
        </w:tc>
        <w:tc>
          <w:tcPr>
            <w:tcW w:w="1367" w:type="dxa"/>
          </w:tcPr>
          <w:p w:rsidR="00BA1D08" w:rsidRDefault="00BA1D08" w:rsidP="00C05FAA">
            <w:pPr>
              <w:jc w:val="center"/>
            </w:pPr>
            <w:r>
              <w:t>Interim target</w:t>
            </w:r>
          </w:p>
          <w:p w:rsidR="00BA1D08" w:rsidRDefault="00BA1D08" w:rsidP="00C05FAA">
            <w:pPr>
              <w:jc w:val="center"/>
            </w:pPr>
            <w:r>
              <w:t>(year)</w:t>
            </w:r>
          </w:p>
        </w:tc>
        <w:tc>
          <w:tcPr>
            <w:tcW w:w="1367" w:type="dxa"/>
          </w:tcPr>
          <w:p w:rsidR="00BA1D08" w:rsidRDefault="00BA1D08" w:rsidP="00C05FAA">
            <w:pPr>
              <w:jc w:val="center"/>
            </w:pPr>
            <w:r>
              <w:t>Program target</w:t>
            </w:r>
          </w:p>
          <w:p w:rsidR="00BA1D08" w:rsidRDefault="00BA1D08" w:rsidP="00C05FAA">
            <w:pPr>
              <w:jc w:val="center"/>
            </w:pPr>
            <w:r>
              <w:t>(2015)</w:t>
            </w:r>
          </w:p>
        </w:tc>
        <w:tc>
          <w:tcPr>
            <w:tcW w:w="2735" w:type="dxa"/>
          </w:tcPr>
          <w:p w:rsidR="00BA1D08" w:rsidRDefault="00BA1D08" w:rsidP="00C05FAA">
            <w:pPr>
              <w:jc w:val="center"/>
            </w:pPr>
            <w:r>
              <w:t>Comment</w:t>
            </w:r>
          </w:p>
        </w:tc>
      </w:tr>
      <w:tr w:rsidR="00BA1D08" w:rsidTr="00C05FAA">
        <w:tc>
          <w:tcPr>
            <w:tcW w:w="2734" w:type="dxa"/>
          </w:tcPr>
          <w:p w:rsidR="00BA1D08" w:rsidRDefault="00BA1D08" w:rsidP="00C05FAA">
            <w:r>
              <w:t xml:space="preserve">Primary schools using Government-approved bank accounts (%) </w:t>
            </w:r>
          </w:p>
        </w:tc>
        <w:tc>
          <w:tcPr>
            <w:tcW w:w="1367" w:type="dxa"/>
          </w:tcPr>
          <w:p w:rsidR="00BA1D08" w:rsidRDefault="00BA1D08" w:rsidP="00C05FAA">
            <w:pPr>
              <w:jc w:val="center"/>
            </w:pPr>
            <w:r>
              <w:t>0</w:t>
            </w:r>
          </w:p>
          <w:p w:rsidR="00BA1D08" w:rsidRDefault="00BA1D08" w:rsidP="00C05FAA">
            <w:pPr>
              <w:jc w:val="center"/>
            </w:pPr>
            <w:r>
              <w:t>(year not specified)</w:t>
            </w:r>
          </w:p>
        </w:tc>
        <w:tc>
          <w:tcPr>
            <w:tcW w:w="1367" w:type="dxa"/>
          </w:tcPr>
          <w:p w:rsidR="00BA1D08" w:rsidRDefault="00BA1D08" w:rsidP="00C05FAA">
            <w:pPr>
              <w:jc w:val="center"/>
            </w:pPr>
            <w:r>
              <w:t>100%</w:t>
            </w:r>
          </w:p>
        </w:tc>
        <w:tc>
          <w:tcPr>
            <w:tcW w:w="1367" w:type="dxa"/>
          </w:tcPr>
          <w:p w:rsidR="00BA1D08" w:rsidRDefault="00BA1D08" w:rsidP="00C05FAA">
            <w:pPr>
              <w:jc w:val="center"/>
            </w:pPr>
            <w:r>
              <w:t>100%</w:t>
            </w:r>
          </w:p>
        </w:tc>
        <w:tc>
          <w:tcPr>
            <w:tcW w:w="2735" w:type="dxa"/>
          </w:tcPr>
          <w:p w:rsidR="00BA1D08" w:rsidRDefault="00BA1D08" w:rsidP="00C05FAA">
            <w:r>
              <w:t xml:space="preserve">Percentage 2012 not precisely assessed but clearly close to 100%.  A major achievement (largely thanks to MFEM). </w:t>
            </w:r>
          </w:p>
        </w:tc>
      </w:tr>
      <w:tr w:rsidR="00BA1D08" w:rsidTr="00C05FAA">
        <w:tc>
          <w:tcPr>
            <w:tcW w:w="2734" w:type="dxa"/>
          </w:tcPr>
          <w:p w:rsidR="00BA1D08" w:rsidRDefault="00BA1D08" w:rsidP="00C05FAA">
            <w:r>
              <w:t>Non-payroll share of the education budget (%)</w:t>
            </w:r>
          </w:p>
        </w:tc>
        <w:tc>
          <w:tcPr>
            <w:tcW w:w="1367" w:type="dxa"/>
          </w:tcPr>
          <w:p w:rsidR="00BA1D08" w:rsidRDefault="00BA1D08" w:rsidP="00C05FAA">
            <w:pPr>
              <w:jc w:val="center"/>
            </w:pPr>
            <w:r>
              <w:t>12%</w:t>
            </w:r>
          </w:p>
          <w:p w:rsidR="00BA1D08" w:rsidRDefault="00BA1D08" w:rsidP="00C05FAA">
            <w:pPr>
              <w:jc w:val="center"/>
            </w:pPr>
            <w:r>
              <w:t>(2009)</w:t>
            </w:r>
          </w:p>
        </w:tc>
        <w:tc>
          <w:tcPr>
            <w:tcW w:w="1367" w:type="dxa"/>
          </w:tcPr>
          <w:p w:rsidR="00BA1D08" w:rsidRDefault="00BA1D08" w:rsidP="00C05FAA">
            <w:pPr>
              <w:jc w:val="center"/>
            </w:pPr>
            <w:r>
              <w:t>Increase</w:t>
            </w:r>
          </w:p>
        </w:tc>
        <w:tc>
          <w:tcPr>
            <w:tcW w:w="1367" w:type="dxa"/>
          </w:tcPr>
          <w:p w:rsidR="00BA1D08" w:rsidRDefault="00BA1D08" w:rsidP="00C05FAA">
            <w:pPr>
              <w:jc w:val="center"/>
            </w:pPr>
            <w:r>
              <w:t xml:space="preserve">Increase </w:t>
            </w:r>
          </w:p>
        </w:tc>
        <w:tc>
          <w:tcPr>
            <w:tcW w:w="2735" w:type="dxa"/>
          </w:tcPr>
          <w:p w:rsidR="00BA1D08" w:rsidRDefault="00BA1D08" w:rsidP="00C05FAA">
            <w:r>
              <w:t xml:space="preserve">20% in 2012 based on original </w:t>
            </w:r>
            <w:proofErr w:type="spellStart"/>
            <w:r>
              <w:t>MoE</w:t>
            </w:r>
            <w:proofErr w:type="spellEnd"/>
            <w:r>
              <w:t xml:space="preserve"> Budget</w:t>
            </w:r>
          </w:p>
          <w:p w:rsidR="00BA1D08" w:rsidRDefault="00BA1D08" w:rsidP="00C05FAA">
            <w:r>
              <w:t>(but see Section 2.1.3)</w:t>
            </w:r>
          </w:p>
        </w:tc>
      </w:tr>
      <w:tr w:rsidR="00BA1D08" w:rsidTr="00C05FAA">
        <w:tc>
          <w:tcPr>
            <w:tcW w:w="2734" w:type="dxa"/>
          </w:tcPr>
          <w:p w:rsidR="00BA1D08" w:rsidRDefault="00BA1D08" w:rsidP="00C05FAA">
            <w:r>
              <w:t>Approved sub-sector policy statements</w:t>
            </w:r>
          </w:p>
        </w:tc>
        <w:tc>
          <w:tcPr>
            <w:tcW w:w="1367" w:type="dxa"/>
          </w:tcPr>
          <w:p w:rsidR="00BA1D08" w:rsidRDefault="00BA1D08" w:rsidP="00C05FAA">
            <w:pPr>
              <w:jc w:val="center"/>
            </w:pPr>
            <w:r>
              <w:t>Not specified</w:t>
            </w:r>
          </w:p>
        </w:tc>
        <w:tc>
          <w:tcPr>
            <w:tcW w:w="1367" w:type="dxa"/>
          </w:tcPr>
          <w:p w:rsidR="00BA1D08" w:rsidRDefault="00BA1D08" w:rsidP="00C05FAA">
            <w:pPr>
              <w:jc w:val="center"/>
            </w:pPr>
            <w:r>
              <w:t>5 (2012)</w:t>
            </w:r>
          </w:p>
        </w:tc>
        <w:tc>
          <w:tcPr>
            <w:tcW w:w="1367" w:type="dxa"/>
          </w:tcPr>
          <w:p w:rsidR="00BA1D08" w:rsidRDefault="00BA1D08" w:rsidP="00C05FAA">
            <w:pPr>
              <w:jc w:val="center"/>
            </w:pPr>
            <w:r>
              <w:t>9</w:t>
            </w:r>
          </w:p>
        </w:tc>
        <w:tc>
          <w:tcPr>
            <w:tcW w:w="2735" w:type="dxa"/>
          </w:tcPr>
          <w:p w:rsidR="00C77093" w:rsidRDefault="0081646B">
            <w:r>
              <w:t xml:space="preserve">Not a meaningful </w:t>
            </w:r>
            <w:r w:rsidR="00BA1D08">
              <w:t>target - impact not assessed</w:t>
            </w:r>
          </w:p>
        </w:tc>
      </w:tr>
      <w:tr w:rsidR="00BA1D08" w:rsidTr="00C05FAA">
        <w:tc>
          <w:tcPr>
            <w:tcW w:w="2734" w:type="dxa"/>
          </w:tcPr>
          <w:p w:rsidR="00BA1D08" w:rsidRDefault="00BA1D08" w:rsidP="00C05FAA">
            <w:r>
              <w:t>Annual work plan developed</w:t>
            </w:r>
          </w:p>
        </w:tc>
        <w:tc>
          <w:tcPr>
            <w:tcW w:w="1367" w:type="dxa"/>
          </w:tcPr>
          <w:p w:rsidR="00BA1D08" w:rsidRDefault="00BA1D08" w:rsidP="00C05FAA">
            <w:pPr>
              <w:jc w:val="center"/>
            </w:pPr>
            <w:r>
              <w:t>Not specified</w:t>
            </w:r>
          </w:p>
        </w:tc>
        <w:tc>
          <w:tcPr>
            <w:tcW w:w="1367" w:type="dxa"/>
          </w:tcPr>
          <w:p w:rsidR="00BA1D08" w:rsidRDefault="00BA1D08" w:rsidP="00C05FAA">
            <w:pPr>
              <w:jc w:val="center"/>
            </w:pPr>
            <w:r>
              <w:t>By 31 December</w:t>
            </w:r>
          </w:p>
        </w:tc>
        <w:tc>
          <w:tcPr>
            <w:tcW w:w="1367" w:type="dxa"/>
          </w:tcPr>
          <w:p w:rsidR="00BA1D08" w:rsidRDefault="00BA1D08" w:rsidP="00C05FAA">
            <w:pPr>
              <w:jc w:val="center"/>
            </w:pPr>
            <w:r>
              <w:t>By 31 December</w:t>
            </w:r>
          </w:p>
        </w:tc>
        <w:tc>
          <w:tcPr>
            <w:tcW w:w="2735" w:type="dxa"/>
          </w:tcPr>
          <w:p w:rsidR="00C77093" w:rsidRDefault="0081646B">
            <w:r>
              <w:t xml:space="preserve">Not a meaningful target </w:t>
            </w:r>
            <w:r w:rsidR="00BA1D08">
              <w:t>- impact not assessed</w:t>
            </w:r>
          </w:p>
        </w:tc>
      </w:tr>
    </w:tbl>
    <w:p w:rsidR="00BA1D08" w:rsidRDefault="00BA1D08" w:rsidP="00BA1D08">
      <w:pPr>
        <w:jc w:val="both"/>
      </w:pPr>
      <w:r>
        <w:t xml:space="preserve">  </w:t>
      </w:r>
    </w:p>
    <w:p w:rsidR="00BA1D08" w:rsidRDefault="00BA1D08" w:rsidP="00BA1D08">
      <w:pPr>
        <w:jc w:val="both"/>
      </w:pPr>
      <w:r>
        <w:t xml:space="preserve">More broadly, the impacts of </w:t>
      </w:r>
      <w:proofErr w:type="spellStart"/>
      <w:r>
        <w:t>GoV</w:t>
      </w:r>
      <w:proofErr w:type="spellEnd"/>
      <w:r>
        <w:t xml:space="preserve"> and </w:t>
      </w:r>
      <w:r w:rsidR="00AA2515">
        <w:t>d</w:t>
      </w:r>
      <w:r>
        <w:t xml:space="preserve">evelopment </w:t>
      </w:r>
      <w:r w:rsidR="00AA2515">
        <w:t>p</w:t>
      </w:r>
      <w:r>
        <w:t xml:space="preserve">artner funding on </w:t>
      </w:r>
      <w:proofErr w:type="spellStart"/>
      <w:r>
        <w:t>MoE’s</w:t>
      </w:r>
      <w:proofErr w:type="spellEnd"/>
      <w:r>
        <w:t xml:space="preserve"> management performance in recent years present a mixed picture.</w:t>
      </w:r>
    </w:p>
    <w:p w:rsidR="00BA1D08" w:rsidRDefault="00BA1D08" w:rsidP="00BA1D08">
      <w:pPr>
        <w:jc w:val="both"/>
      </w:pPr>
    </w:p>
    <w:p w:rsidR="00BA1D08" w:rsidRDefault="00BA1D08" w:rsidP="00BA1D08">
      <w:pPr>
        <w:jc w:val="both"/>
      </w:pPr>
      <w:r>
        <w:t>On the one hand:</w:t>
      </w:r>
    </w:p>
    <w:p w:rsidR="00BA1D08" w:rsidRDefault="00BA1D08" w:rsidP="00BA1D08">
      <w:pPr>
        <w:jc w:val="both"/>
      </w:pPr>
    </w:p>
    <w:p w:rsidR="00BA1D08" w:rsidRDefault="00BA1D08" w:rsidP="00D34AA0">
      <w:pPr>
        <w:pStyle w:val="ListParagraph"/>
        <w:numPr>
          <w:ilvl w:val="0"/>
          <w:numId w:val="55"/>
        </w:numPr>
        <w:jc w:val="both"/>
      </w:pPr>
      <w:r>
        <w:t>The introduction of increased grants for primary school students and associated rationalisation of school bank accounts w</w:t>
      </w:r>
      <w:r w:rsidR="0081646B">
        <w:t>ere</w:t>
      </w:r>
      <w:r>
        <w:t xml:space="preserve"> successfully accomplished (with substantial input by MFEM).</w:t>
      </w:r>
    </w:p>
    <w:p w:rsidR="00BA1D08" w:rsidRDefault="00BA1D08" w:rsidP="00D34AA0">
      <w:pPr>
        <w:pStyle w:val="ListParagraph"/>
        <w:numPr>
          <w:ilvl w:val="0"/>
          <w:numId w:val="55"/>
        </w:numPr>
        <w:jc w:val="both"/>
      </w:pPr>
      <w:r>
        <w:t>A training program for school principals and bursars in basic financial management and record keeping has been initiated, albeit that implementation fell in abeyance in 2011.</w:t>
      </w:r>
    </w:p>
    <w:p w:rsidR="00BA1D08" w:rsidRDefault="00BA1D08" w:rsidP="00D34AA0">
      <w:pPr>
        <w:pStyle w:val="ListParagraph"/>
        <w:numPr>
          <w:ilvl w:val="0"/>
          <w:numId w:val="55"/>
        </w:numPr>
        <w:jc w:val="both"/>
      </w:pPr>
      <w:proofErr w:type="spellStart"/>
      <w:r>
        <w:lastRenderedPageBreak/>
        <w:t>MoE’s</w:t>
      </w:r>
      <w:proofErr w:type="spellEnd"/>
      <w:r>
        <w:t xml:space="preserve"> internal audit capacity has undoubtedly been strengthened.</w:t>
      </w:r>
    </w:p>
    <w:p w:rsidR="00BA1D08" w:rsidRDefault="00BA1D08" w:rsidP="00D34AA0">
      <w:pPr>
        <w:pStyle w:val="ListParagraph"/>
        <w:numPr>
          <w:ilvl w:val="0"/>
          <w:numId w:val="55"/>
        </w:numPr>
        <w:jc w:val="both"/>
      </w:pPr>
      <w:r>
        <w:t>Staffing of the Ministry’s Finance Unit has been significantly increased.</w:t>
      </w:r>
    </w:p>
    <w:p w:rsidR="00BA1D08" w:rsidRDefault="00BA1D08" w:rsidP="00D34AA0">
      <w:pPr>
        <w:pStyle w:val="ListParagraph"/>
        <w:numPr>
          <w:ilvl w:val="0"/>
          <w:numId w:val="55"/>
        </w:numPr>
        <w:jc w:val="both"/>
      </w:pPr>
      <w:r>
        <w:t>While much remains to be done, the quality of data gathered by VEMIS and of the reports it generates is improving.</w:t>
      </w:r>
    </w:p>
    <w:p w:rsidR="00BA1D08" w:rsidRDefault="00BA1D08" w:rsidP="00D34AA0">
      <w:pPr>
        <w:pStyle w:val="ListParagraph"/>
        <w:numPr>
          <w:ilvl w:val="0"/>
          <w:numId w:val="55"/>
        </w:numPr>
        <w:jc w:val="both"/>
      </w:pPr>
      <w:r>
        <w:t>With technical assistance, the supply and distribution of school textbooks and other supplies is improving.</w:t>
      </w:r>
    </w:p>
    <w:p w:rsidR="00BA1D08" w:rsidRDefault="00BA1D08" w:rsidP="00BA1D08">
      <w:pPr>
        <w:jc w:val="both"/>
      </w:pPr>
    </w:p>
    <w:p w:rsidR="00BA1D08" w:rsidRDefault="00BA1D08" w:rsidP="00BA1D08">
      <w:pPr>
        <w:jc w:val="both"/>
      </w:pPr>
      <w:r>
        <w:t>On the other hand:</w:t>
      </w:r>
    </w:p>
    <w:p w:rsidR="00BA1D08" w:rsidRDefault="00BA1D08" w:rsidP="00BA1D08">
      <w:pPr>
        <w:jc w:val="both"/>
      </w:pPr>
    </w:p>
    <w:p w:rsidR="00BA1D08" w:rsidRDefault="00BA1D08" w:rsidP="00D34AA0">
      <w:pPr>
        <w:pStyle w:val="ListParagraph"/>
        <w:numPr>
          <w:ilvl w:val="0"/>
          <w:numId w:val="56"/>
        </w:numPr>
        <w:jc w:val="both"/>
      </w:pPr>
      <w:r>
        <w:t xml:space="preserve">Implementation of the annual work plans agreed between </w:t>
      </w:r>
      <w:proofErr w:type="spellStart"/>
      <w:r>
        <w:t>MoE</w:t>
      </w:r>
      <w:proofErr w:type="spellEnd"/>
      <w:r>
        <w:t xml:space="preserve"> and the Pool Partners in support of the VERM has, in overall terms, consistently lagged behind work planning targets.</w:t>
      </w:r>
    </w:p>
    <w:p w:rsidR="00BA1D08" w:rsidRDefault="00BA1D08" w:rsidP="00D34AA0">
      <w:pPr>
        <w:pStyle w:val="ListParagraph"/>
        <w:numPr>
          <w:ilvl w:val="0"/>
          <w:numId w:val="56"/>
        </w:numPr>
        <w:jc w:val="both"/>
      </w:pPr>
      <w:r>
        <w:t xml:space="preserve">Policy statements for components of the education sector continue to be (almost invariably) </w:t>
      </w:r>
      <w:proofErr w:type="spellStart"/>
      <w:r>
        <w:t>uncosted</w:t>
      </w:r>
      <w:proofErr w:type="spellEnd"/>
      <w:r>
        <w:t xml:space="preserve">.  Related to this, there is virtually no linkage between strategic objectives on the one hand and the determination of annual budgets for </w:t>
      </w:r>
      <w:proofErr w:type="spellStart"/>
      <w:r>
        <w:t>MoE</w:t>
      </w:r>
      <w:proofErr w:type="spellEnd"/>
      <w:r>
        <w:t xml:space="preserve"> (let alone the education sector as a whole) on the other.  Medium-term budgeting for the education sector </w:t>
      </w:r>
      <w:proofErr w:type="gramStart"/>
      <w:r>
        <w:t>as a whole or major components</w:t>
      </w:r>
      <w:proofErr w:type="gramEnd"/>
      <w:r>
        <w:t xml:space="preserve"> within it is non-existent (see also Section 2.5).</w:t>
      </w:r>
    </w:p>
    <w:p w:rsidR="00BA1D08" w:rsidRDefault="00BA1D08" w:rsidP="00D34AA0">
      <w:pPr>
        <w:pStyle w:val="ListParagraph"/>
        <w:numPr>
          <w:ilvl w:val="0"/>
          <w:numId w:val="56"/>
        </w:numPr>
        <w:jc w:val="both"/>
      </w:pPr>
      <w:r>
        <w:t xml:space="preserve">Most concerning of all, from a public financial management perspective, the substantial divergences between annual budgets and expenditure outcomes at the Program </w:t>
      </w:r>
      <w:r w:rsidR="0081646B">
        <w:t xml:space="preserve">and cost centre </w:t>
      </w:r>
      <w:r>
        <w:t>level</w:t>
      </w:r>
      <w:r w:rsidR="0081646B">
        <w:t xml:space="preserve">s </w:t>
      </w:r>
      <w:r>
        <w:t xml:space="preserve">strongly suggest that </w:t>
      </w:r>
      <w:proofErr w:type="spellStart"/>
      <w:r>
        <w:t>MoE’s</w:t>
      </w:r>
      <w:proofErr w:type="spellEnd"/>
      <w:r>
        <w:t xml:space="preserve"> internal budget planning and expenditure control remain weak.</w:t>
      </w:r>
    </w:p>
    <w:p w:rsidR="00BA1D08" w:rsidRDefault="00BA1D08" w:rsidP="00BA1D08">
      <w:pPr>
        <w:jc w:val="both"/>
      </w:pPr>
    </w:p>
    <w:p w:rsidR="00BA1D08" w:rsidRDefault="00BA1D08" w:rsidP="00BA1D08">
      <w:pPr>
        <w:jc w:val="both"/>
      </w:pPr>
      <w:r>
        <w:t xml:space="preserve">The findings of earlier reviews to the effect that annual </w:t>
      </w:r>
      <w:proofErr w:type="spellStart"/>
      <w:r>
        <w:t>GoV</w:t>
      </w:r>
      <w:proofErr w:type="spellEnd"/>
      <w:r>
        <w:t>-funding of the education sector essentially rolls on from one year to the next ‘treading water’</w:t>
      </w:r>
      <w:r w:rsidR="0081646B">
        <w:t xml:space="preserve"> and </w:t>
      </w:r>
      <w:r>
        <w:t>divorced from stated ‘priorities’, remain the case.</w:t>
      </w:r>
      <w:r>
        <w:rPr>
          <w:rStyle w:val="FootnoteReference"/>
        </w:rPr>
        <w:footnoteReference w:id="53"/>
      </w:r>
      <w:r>
        <w:t xml:space="preserve"> </w:t>
      </w:r>
    </w:p>
    <w:p w:rsidR="00BA1D08" w:rsidRPr="0071574D" w:rsidRDefault="00BA1D08" w:rsidP="00160C19">
      <w:pPr>
        <w:pStyle w:val="Heading2"/>
      </w:pPr>
      <w:bookmarkStart w:id="189" w:name="_Toc341210806"/>
      <w:bookmarkStart w:id="190" w:name="_Toc341210925"/>
      <w:bookmarkStart w:id="191" w:name="_Toc341265743"/>
      <w:bookmarkStart w:id="192" w:name="_Toc343257306"/>
      <w:bookmarkStart w:id="193" w:name="_Toc343257420"/>
      <w:bookmarkStart w:id="194" w:name="_Toc348711341"/>
      <w:r w:rsidRPr="0071574D">
        <w:t xml:space="preserve">2.4.4 Progress towards MDG/EFA </w:t>
      </w:r>
      <w:r>
        <w:t>Goals 2</w:t>
      </w:r>
      <w:bookmarkEnd w:id="189"/>
      <w:bookmarkEnd w:id="190"/>
      <w:bookmarkEnd w:id="191"/>
      <w:bookmarkEnd w:id="192"/>
      <w:bookmarkEnd w:id="193"/>
      <w:bookmarkEnd w:id="194"/>
    </w:p>
    <w:p w:rsidR="00BA1D08" w:rsidRDefault="00BA1D08" w:rsidP="00BA1D08">
      <w:pPr>
        <w:jc w:val="both"/>
      </w:pPr>
    </w:p>
    <w:p w:rsidR="00BA1D08" w:rsidRDefault="00BA1D08" w:rsidP="00BA1D08">
      <w:pPr>
        <w:jc w:val="both"/>
      </w:pPr>
      <w:r>
        <w:t>The MDG/EFA Goals 2 are essentially the same, both aiming for the achievement of universal primary education by 2015:</w:t>
      </w:r>
    </w:p>
    <w:p w:rsidR="00BA1D08" w:rsidRDefault="00BA1D08" w:rsidP="00BA1D08">
      <w:pPr>
        <w:jc w:val="both"/>
      </w:pPr>
    </w:p>
    <w:p w:rsidR="00BA1D08" w:rsidRDefault="00BA1D08" w:rsidP="00D34AA0">
      <w:pPr>
        <w:pStyle w:val="ListParagraph"/>
        <w:numPr>
          <w:ilvl w:val="0"/>
          <w:numId w:val="57"/>
        </w:numPr>
        <w:jc w:val="both"/>
      </w:pPr>
      <w:r>
        <w:t>MDG Goal 2A: Ensure that, by 2015, children everywhere, boys and girls alike, will be able to complete a full course of primary schooling.</w:t>
      </w:r>
    </w:p>
    <w:p w:rsidR="00BA1D08" w:rsidRDefault="00BA1D08" w:rsidP="00D34AA0">
      <w:pPr>
        <w:pStyle w:val="ListParagraph"/>
        <w:numPr>
          <w:ilvl w:val="0"/>
          <w:numId w:val="57"/>
        </w:numPr>
        <w:jc w:val="both"/>
      </w:pPr>
      <w:r>
        <w:t xml:space="preserve">EFA Goal 2: </w:t>
      </w:r>
      <w:r w:rsidRPr="00337542">
        <w:t>Ensure that by 2015 all children, particularly girls, those in difficult</w:t>
      </w:r>
      <w:r>
        <w:t xml:space="preserve"> </w:t>
      </w:r>
      <w:r w:rsidRPr="00337542">
        <w:t>circumstances, and those belonging to ethnic minorities, have access to</w:t>
      </w:r>
      <w:r>
        <w:t xml:space="preserve"> </w:t>
      </w:r>
      <w:r w:rsidRPr="00337542">
        <w:t xml:space="preserve">and complete, </w:t>
      </w:r>
      <w:r w:rsidRPr="008A2D81">
        <w:rPr>
          <w:bCs/>
        </w:rPr>
        <w:t>free</w:t>
      </w:r>
      <w:r w:rsidRPr="00337542">
        <w:t xml:space="preserve">, and </w:t>
      </w:r>
      <w:r w:rsidRPr="008A2D81">
        <w:rPr>
          <w:bCs/>
        </w:rPr>
        <w:t>compulsory primary education</w:t>
      </w:r>
      <w:r w:rsidRPr="00337542">
        <w:rPr>
          <w:b/>
          <w:bCs/>
        </w:rPr>
        <w:t xml:space="preserve"> </w:t>
      </w:r>
      <w:r w:rsidRPr="00337542">
        <w:t>of good quality.</w:t>
      </w:r>
    </w:p>
    <w:p w:rsidR="0068799A" w:rsidRDefault="0068799A" w:rsidP="00BA1D08">
      <w:pPr>
        <w:jc w:val="both"/>
      </w:pPr>
    </w:p>
    <w:p w:rsidR="00BA1D08" w:rsidRDefault="00BA1D08" w:rsidP="00BA1D08">
      <w:pPr>
        <w:jc w:val="both"/>
      </w:pPr>
      <w:r>
        <w:t>Vanuatu has formally adopted this Goal 2 in both its forms.</w:t>
      </w:r>
      <w:r>
        <w:rPr>
          <w:rStyle w:val="FootnoteReference"/>
        </w:rPr>
        <w:footnoteReference w:id="54"/>
      </w:r>
      <w:r>
        <w:t xml:space="preserve"> </w:t>
      </w:r>
    </w:p>
    <w:p w:rsidR="00BA1D08" w:rsidRDefault="00BA1D08" w:rsidP="00BA1D08">
      <w:pPr>
        <w:jc w:val="both"/>
      </w:pPr>
    </w:p>
    <w:p w:rsidR="00BA1D08" w:rsidRDefault="00BA1D08" w:rsidP="00BA1D08">
      <w:pPr>
        <w:jc w:val="both"/>
      </w:pPr>
      <w:r>
        <w:t>Vanuatu’s 2010 report on progress towards achievement of the MDG Goals reported that “</w:t>
      </w:r>
      <w:r w:rsidRPr="00C64243">
        <w:t>Considerable progress has been made towards achieving universal primary education through integration of the</w:t>
      </w:r>
      <w:r>
        <w:t xml:space="preserve"> </w:t>
      </w:r>
      <w:r w:rsidRPr="00C64243">
        <w:t>MDGs into education policy and the coordinated effort of development partners and the Ministry of Education.</w:t>
      </w:r>
      <w:r>
        <w:t>”  While noting considerable challenges and the need for ongoing commitment to the Goal the report concluded that Vanuatu would “probably” achieve the Goal by 2015.</w:t>
      </w:r>
      <w:r>
        <w:rPr>
          <w:rStyle w:val="FootnoteReference"/>
        </w:rPr>
        <w:footnoteReference w:id="55"/>
      </w:r>
      <w:r w:rsidR="002529B7">
        <w:t xml:space="preserve">  However, t</w:t>
      </w:r>
      <w:r>
        <w:t>his conclusion was not altogether supported by the report’s accompanying data.</w:t>
      </w:r>
      <w:r w:rsidR="002529B7">
        <w:t xml:space="preserve">  </w:t>
      </w:r>
      <w:r>
        <w:t xml:space="preserve">The Ministry of Education’s more recent report on progress towards </w:t>
      </w:r>
      <w:r>
        <w:lastRenderedPageBreak/>
        <w:t>achievement of the EFA Goals presents a more realistic assessment of prospects for achieving EFA Goal 2:</w:t>
      </w:r>
    </w:p>
    <w:p w:rsidR="00BA1D08" w:rsidRDefault="00BA1D08" w:rsidP="00BA1D08">
      <w:pPr>
        <w:jc w:val="both"/>
      </w:pPr>
    </w:p>
    <w:p w:rsidR="00BA1D08" w:rsidRDefault="00BA1D08" w:rsidP="00BA1D08">
      <w:pPr>
        <w:ind w:left="720"/>
        <w:jc w:val="both"/>
      </w:pPr>
      <w:r>
        <w:t>“</w:t>
      </w:r>
      <w:r w:rsidRPr="00C64243">
        <w:t>In terms of access to and completion of primary education, there remains a</w:t>
      </w:r>
      <w:r>
        <w:t xml:space="preserve"> </w:t>
      </w:r>
      <w:r w:rsidRPr="00C64243">
        <w:t>gap in achievement of 100% net enrolment rates at the national level and in</w:t>
      </w:r>
      <w:r>
        <w:t xml:space="preserve"> </w:t>
      </w:r>
      <w:r w:rsidRPr="00C64243">
        <w:t>all provinces. It is a concern that no discern</w:t>
      </w:r>
      <w:r>
        <w:t>i</w:t>
      </w:r>
      <w:r w:rsidRPr="00C64243">
        <w:t>ble progress can be seen from</w:t>
      </w:r>
      <w:r>
        <w:t xml:space="preserve"> </w:t>
      </w:r>
      <w:r w:rsidRPr="00C64243">
        <w:t>2007-2011 in increasing net enrolment rates at the national level.</w:t>
      </w:r>
      <w:r>
        <w:t>”</w:t>
      </w:r>
      <w:r>
        <w:rPr>
          <w:rStyle w:val="FootnoteReference"/>
        </w:rPr>
        <w:footnoteReference w:id="56"/>
      </w:r>
    </w:p>
    <w:p w:rsidR="00BA1D08" w:rsidRDefault="00BA1D08" w:rsidP="00BA1D08">
      <w:pPr>
        <w:ind w:left="720"/>
        <w:jc w:val="both"/>
      </w:pPr>
    </w:p>
    <w:p w:rsidR="00BA1D08" w:rsidRDefault="00BA1D08" w:rsidP="00BA1D08">
      <w:pPr>
        <w:jc w:val="both"/>
      </w:pPr>
      <w:r>
        <w:t xml:space="preserve">It now seems highly improbable that Vanuatu will </w:t>
      </w:r>
      <w:r w:rsidR="002529B7">
        <w:t>achieve the MDG/EFA Goals 2 by 2015.</w:t>
      </w:r>
    </w:p>
    <w:p w:rsidR="00BA1D08" w:rsidRDefault="00BA1D08" w:rsidP="00160C19">
      <w:pPr>
        <w:pStyle w:val="Heading2"/>
      </w:pPr>
      <w:bookmarkStart w:id="195" w:name="_Toc341210807"/>
      <w:bookmarkStart w:id="196" w:name="_Toc341210926"/>
      <w:bookmarkStart w:id="197" w:name="_Toc341265744"/>
      <w:bookmarkStart w:id="198" w:name="_Toc343257307"/>
      <w:bookmarkStart w:id="199" w:name="_Toc343257421"/>
      <w:bookmarkStart w:id="200" w:name="_Toc348711342"/>
      <w:r w:rsidRPr="00B73151">
        <w:t xml:space="preserve">2.4.5 </w:t>
      </w:r>
      <w:r w:rsidR="00345779">
        <w:t>H</w:t>
      </w:r>
      <w:r w:rsidRPr="00B73151">
        <w:t>as public expenditure had its intended impacts?</w:t>
      </w:r>
      <w:bookmarkEnd w:id="195"/>
      <w:bookmarkEnd w:id="196"/>
      <w:bookmarkEnd w:id="197"/>
      <w:bookmarkEnd w:id="198"/>
      <w:bookmarkEnd w:id="199"/>
      <w:bookmarkEnd w:id="200"/>
    </w:p>
    <w:p w:rsidR="00BA1D08" w:rsidRDefault="00BA1D08" w:rsidP="00BA1D08">
      <w:pPr>
        <w:jc w:val="both"/>
      </w:pPr>
    </w:p>
    <w:p w:rsidR="00BA1D08" w:rsidRDefault="00BA1D08" w:rsidP="00BA1D08">
      <w:pPr>
        <w:jc w:val="both"/>
      </w:pPr>
      <w:r>
        <w:t>In this review’s assessment, confined to the primary and secondary sub-sectors</w:t>
      </w:r>
      <w:r w:rsidR="002529B7">
        <w:t>,</w:t>
      </w:r>
      <w:r>
        <w:t xml:space="preserve"> the answers in terms of </w:t>
      </w:r>
      <w:proofErr w:type="spellStart"/>
      <w:r>
        <w:t>GoV</w:t>
      </w:r>
      <w:proofErr w:type="spellEnd"/>
      <w:r>
        <w:t xml:space="preserve"> and Development Partner funding of education are:</w:t>
      </w:r>
    </w:p>
    <w:p w:rsidR="00BA1D08" w:rsidRDefault="00BA1D08" w:rsidP="00BA1D08">
      <w:pPr>
        <w:jc w:val="both"/>
      </w:pPr>
    </w:p>
    <w:p w:rsidR="00BA1D08" w:rsidRDefault="00BA1D08" w:rsidP="00D34AA0">
      <w:pPr>
        <w:pStyle w:val="ListParagraph"/>
        <w:numPr>
          <w:ilvl w:val="0"/>
          <w:numId w:val="58"/>
        </w:numPr>
        <w:jc w:val="both"/>
      </w:pPr>
      <w:r>
        <w:t>Access: yes in terms of Gross Enrolment Rates, no in terms of Net Intake and Net Enrolment rates.</w:t>
      </w:r>
    </w:p>
    <w:p w:rsidR="00BA1D08" w:rsidRDefault="00BA1D08" w:rsidP="00D34AA0">
      <w:pPr>
        <w:pStyle w:val="ListParagraph"/>
        <w:numPr>
          <w:ilvl w:val="0"/>
          <w:numId w:val="58"/>
        </w:numPr>
        <w:jc w:val="both"/>
      </w:pPr>
      <w:r>
        <w:t>Quality: few indications of improvements in input quality; no indications of improvement in output/outcome quality.</w:t>
      </w:r>
    </w:p>
    <w:p w:rsidR="00695673" w:rsidRDefault="00BA1D08" w:rsidP="00D34AA0">
      <w:pPr>
        <w:pStyle w:val="ListParagraph"/>
        <w:numPr>
          <w:ilvl w:val="0"/>
          <w:numId w:val="58"/>
        </w:numPr>
        <w:jc w:val="both"/>
      </w:pPr>
      <w:r>
        <w:t>Management performance: some indications of improved performance, substantially out-weighed by negative assessments of progress towards improved public financial management in particular.</w:t>
      </w:r>
    </w:p>
    <w:p w:rsidR="00656D87" w:rsidRPr="0068799A" w:rsidRDefault="00656D87" w:rsidP="00160C19">
      <w:pPr>
        <w:pStyle w:val="Heading2"/>
      </w:pPr>
      <w:bookmarkStart w:id="201" w:name="_Toc341210808"/>
      <w:bookmarkStart w:id="202" w:name="_Toc341210927"/>
      <w:bookmarkStart w:id="203" w:name="_Toc341265745"/>
      <w:bookmarkStart w:id="204" w:name="_Toc343257308"/>
      <w:bookmarkStart w:id="205" w:name="_Toc343257422"/>
      <w:bookmarkStart w:id="206" w:name="_Toc348711343"/>
      <w:r w:rsidRPr="0068799A">
        <w:t>2.5 Financial projections</w:t>
      </w:r>
      <w:bookmarkEnd w:id="201"/>
      <w:bookmarkEnd w:id="202"/>
      <w:bookmarkEnd w:id="203"/>
      <w:bookmarkEnd w:id="204"/>
      <w:bookmarkEnd w:id="205"/>
      <w:bookmarkEnd w:id="206"/>
    </w:p>
    <w:p w:rsidR="00656D87" w:rsidRPr="00D14A25" w:rsidRDefault="00656D87" w:rsidP="00160C19">
      <w:pPr>
        <w:pStyle w:val="Heading2"/>
      </w:pPr>
      <w:bookmarkStart w:id="207" w:name="_Toc341210809"/>
      <w:bookmarkStart w:id="208" w:name="_Toc341210928"/>
      <w:bookmarkStart w:id="209" w:name="_Toc341265746"/>
      <w:bookmarkStart w:id="210" w:name="_Toc343257309"/>
      <w:bookmarkStart w:id="211" w:name="_Toc343257423"/>
      <w:bookmarkStart w:id="212" w:name="_Toc348711344"/>
      <w:r w:rsidRPr="00D14A25">
        <w:t>2.5.1 Introduction</w:t>
      </w:r>
      <w:bookmarkEnd w:id="207"/>
      <w:bookmarkEnd w:id="208"/>
      <w:bookmarkEnd w:id="209"/>
      <w:bookmarkEnd w:id="210"/>
      <w:bookmarkEnd w:id="211"/>
      <w:bookmarkEnd w:id="212"/>
    </w:p>
    <w:p w:rsidR="00656D87" w:rsidRDefault="00656D87" w:rsidP="00656D87"/>
    <w:p w:rsidR="00656D87" w:rsidRDefault="00656D87" w:rsidP="00656D87">
      <w:pPr>
        <w:jc w:val="both"/>
      </w:pPr>
      <w:r>
        <w:t xml:space="preserve">This Section seeks to address the question ‘can the </w:t>
      </w:r>
      <w:proofErr w:type="spellStart"/>
      <w:r>
        <w:t>GoV</w:t>
      </w:r>
      <w:proofErr w:type="spellEnd"/>
      <w:r>
        <w:t xml:space="preserve"> afford to meet the goals of Universal Primary and Basic Education’?  The review addresses this with reference to the five-year period 2013 to 2017.  Projections are presented for individual components of </w:t>
      </w:r>
      <w:proofErr w:type="spellStart"/>
      <w:r>
        <w:t>MoE</w:t>
      </w:r>
      <w:proofErr w:type="spellEnd"/>
      <w:r>
        <w:t xml:space="preserve"> spending (Sections 2.5.2 to 2.5.6) then drawn together in Section 2.5.7</w:t>
      </w:r>
      <w:r w:rsidR="00A165DA">
        <w:t>.</w:t>
      </w:r>
    </w:p>
    <w:p w:rsidR="00656D87" w:rsidRDefault="00656D87" w:rsidP="00656D87">
      <w:pPr>
        <w:jc w:val="both"/>
      </w:pPr>
    </w:p>
    <w:p w:rsidR="00656D87" w:rsidRDefault="00656D87" w:rsidP="00656D87">
      <w:pPr>
        <w:jc w:val="both"/>
      </w:pPr>
      <w:r>
        <w:t xml:space="preserve">Primary and secondary teacher numbers and costs are and will remain by far the largest component of </w:t>
      </w:r>
      <w:proofErr w:type="spellStart"/>
      <w:r>
        <w:t>MoE’s</w:t>
      </w:r>
      <w:proofErr w:type="spellEnd"/>
      <w:r>
        <w:t xml:space="preserve"> overall expenditure.  The projections of </w:t>
      </w:r>
      <w:proofErr w:type="gramStart"/>
      <w:r>
        <w:t>these,</w:t>
      </w:r>
      <w:proofErr w:type="gramEnd"/>
      <w:r>
        <w:t xml:space="preserve"> and costs related to them, are presented for two scenarios modelled by the recent study of teacher demand and supply for the primary and secondary sub-sectors: ‘status quo’ and ‘constrained UPE/UBE targets’.</w:t>
      </w:r>
      <w:r>
        <w:rPr>
          <w:rStyle w:val="FootnoteReference"/>
        </w:rPr>
        <w:footnoteReference w:id="57"/>
      </w:r>
      <w:r>
        <w:t xml:space="preserve">  The study in fact modelled three scenarios with key parameters as follows.</w:t>
      </w:r>
    </w:p>
    <w:p w:rsidR="00D339A4" w:rsidRDefault="00D339A4"/>
    <w:p w:rsidR="00F364DB" w:rsidRDefault="00F364DB">
      <w:r>
        <w:br w:type="page"/>
      </w:r>
    </w:p>
    <w:tbl>
      <w:tblPr>
        <w:tblStyle w:val="TableGrid"/>
        <w:tblW w:w="0" w:type="auto"/>
        <w:tblLook w:val="04A0" w:firstRow="1" w:lastRow="0" w:firstColumn="1" w:lastColumn="0" w:noHBand="0" w:noVBand="1"/>
        <w:tblCaption w:val="Table 37: Status quo and target enrolment scenario parameters"/>
      </w:tblPr>
      <w:tblGrid>
        <w:gridCol w:w="2123"/>
        <w:gridCol w:w="1063"/>
        <w:gridCol w:w="1064"/>
        <w:gridCol w:w="1064"/>
        <w:gridCol w:w="1064"/>
        <w:gridCol w:w="1064"/>
        <w:gridCol w:w="1064"/>
        <w:gridCol w:w="1064"/>
      </w:tblGrid>
      <w:tr w:rsidR="00656D87" w:rsidTr="00D339A4">
        <w:trPr>
          <w:tblHeader/>
        </w:trPr>
        <w:tc>
          <w:tcPr>
            <w:tcW w:w="9570" w:type="dxa"/>
            <w:gridSpan w:val="8"/>
            <w:shd w:val="clear" w:color="auto" w:fill="BFBFBF" w:themeFill="background1" w:themeFillShade="BF"/>
          </w:tcPr>
          <w:p w:rsidR="00743573" w:rsidRDefault="00656D87">
            <w:pPr>
              <w:pStyle w:val="Default"/>
              <w:rPr>
                <w:rFonts w:ascii="Times New Roman" w:hAnsi="Times New Roman" w:cs="Times New Roman"/>
                <w:color w:val="auto"/>
              </w:rPr>
            </w:pPr>
            <w:r w:rsidRPr="0053687E">
              <w:rPr>
                <w:rFonts w:ascii="Times New Roman" w:hAnsi="Times New Roman" w:cs="Times New Roman"/>
                <w:color w:val="auto"/>
              </w:rPr>
              <w:lastRenderedPageBreak/>
              <w:t xml:space="preserve">Table </w:t>
            </w:r>
            <w:r w:rsidR="00571727">
              <w:rPr>
                <w:rFonts w:ascii="Times New Roman" w:hAnsi="Times New Roman" w:cs="Times New Roman"/>
                <w:color w:val="auto"/>
              </w:rPr>
              <w:t>3</w:t>
            </w:r>
            <w:r w:rsidR="00A11254">
              <w:rPr>
                <w:rFonts w:ascii="Times New Roman" w:hAnsi="Times New Roman" w:cs="Times New Roman"/>
                <w:color w:val="auto"/>
              </w:rPr>
              <w:t>7</w:t>
            </w:r>
            <w:r>
              <w:rPr>
                <w:rFonts w:ascii="Times New Roman" w:hAnsi="Times New Roman" w:cs="Times New Roman"/>
                <w:color w:val="auto"/>
              </w:rPr>
              <w:t>: Status quo and target enrolment scenario parameters</w:t>
            </w:r>
          </w:p>
        </w:tc>
      </w:tr>
      <w:tr w:rsidR="00656D87" w:rsidTr="00C05FAA">
        <w:tc>
          <w:tcPr>
            <w:tcW w:w="2123" w:type="dxa"/>
          </w:tcPr>
          <w:p w:rsidR="00656D87" w:rsidRDefault="00656D87" w:rsidP="00C05FAA"/>
        </w:tc>
        <w:tc>
          <w:tcPr>
            <w:tcW w:w="3191" w:type="dxa"/>
            <w:gridSpan w:val="3"/>
          </w:tcPr>
          <w:p w:rsidR="00656D87" w:rsidRDefault="00656D87" w:rsidP="00C05FAA">
            <w:pPr>
              <w:jc w:val="center"/>
            </w:pPr>
            <w:r>
              <w:t>Intake rate</w:t>
            </w:r>
          </w:p>
        </w:tc>
        <w:tc>
          <w:tcPr>
            <w:tcW w:w="2128" w:type="dxa"/>
            <w:gridSpan w:val="2"/>
          </w:tcPr>
          <w:p w:rsidR="00656D87" w:rsidRDefault="00656D87" w:rsidP="00C05FAA">
            <w:pPr>
              <w:jc w:val="center"/>
            </w:pPr>
            <w:r>
              <w:t>Repetition rate</w:t>
            </w:r>
          </w:p>
        </w:tc>
        <w:tc>
          <w:tcPr>
            <w:tcW w:w="2128" w:type="dxa"/>
            <w:gridSpan w:val="2"/>
          </w:tcPr>
          <w:p w:rsidR="00656D87" w:rsidRDefault="00656D87" w:rsidP="00C05FAA">
            <w:pPr>
              <w:jc w:val="center"/>
            </w:pPr>
            <w:r>
              <w:t>Drop-out rate</w:t>
            </w:r>
          </w:p>
        </w:tc>
      </w:tr>
      <w:tr w:rsidR="00656D87" w:rsidTr="00C05FAA">
        <w:tc>
          <w:tcPr>
            <w:tcW w:w="2123" w:type="dxa"/>
          </w:tcPr>
          <w:p w:rsidR="00656D87" w:rsidRDefault="00656D87" w:rsidP="00C05FAA"/>
        </w:tc>
        <w:tc>
          <w:tcPr>
            <w:tcW w:w="1063" w:type="dxa"/>
          </w:tcPr>
          <w:p w:rsidR="00656D87" w:rsidRDefault="00656D87" w:rsidP="00C05FAA">
            <w:pPr>
              <w:jc w:val="center"/>
            </w:pPr>
            <w:r>
              <w:t>2011</w:t>
            </w:r>
          </w:p>
        </w:tc>
        <w:tc>
          <w:tcPr>
            <w:tcW w:w="1064" w:type="dxa"/>
          </w:tcPr>
          <w:p w:rsidR="00656D87" w:rsidRDefault="00656D87" w:rsidP="00C05FAA">
            <w:pPr>
              <w:jc w:val="center"/>
            </w:pPr>
            <w:r>
              <w:t>2015</w:t>
            </w:r>
          </w:p>
        </w:tc>
        <w:tc>
          <w:tcPr>
            <w:tcW w:w="1064" w:type="dxa"/>
          </w:tcPr>
          <w:p w:rsidR="00656D87" w:rsidRDefault="00656D87" w:rsidP="00C05FAA">
            <w:pPr>
              <w:jc w:val="center"/>
            </w:pPr>
            <w:r>
              <w:t>2020</w:t>
            </w:r>
          </w:p>
        </w:tc>
        <w:tc>
          <w:tcPr>
            <w:tcW w:w="1064" w:type="dxa"/>
          </w:tcPr>
          <w:p w:rsidR="00656D87" w:rsidRDefault="00656D87" w:rsidP="00C05FAA">
            <w:pPr>
              <w:jc w:val="center"/>
            </w:pPr>
            <w:r>
              <w:t>2015</w:t>
            </w:r>
          </w:p>
        </w:tc>
        <w:tc>
          <w:tcPr>
            <w:tcW w:w="1064" w:type="dxa"/>
          </w:tcPr>
          <w:p w:rsidR="00656D87" w:rsidRDefault="00656D87" w:rsidP="00C05FAA">
            <w:pPr>
              <w:jc w:val="center"/>
            </w:pPr>
            <w:r>
              <w:t>2020</w:t>
            </w:r>
          </w:p>
        </w:tc>
        <w:tc>
          <w:tcPr>
            <w:tcW w:w="1064" w:type="dxa"/>
          </w:tcPr>
          <w:p w:rsidR="00656D87" w:rsidRDefault="00656D87" w:rsidP="00C05FAA">
            <w:pPr>
              <w:jc w:val="center"/>
            </w:pPr>
            <w:r>
              <w:t>2015</w:t>
            </w:r>
          </w:p>
        </w:tc>
        <w:tc>
          <w:tcPr>
            <w:tcW w:w="1064" w:type="dxa"/>
          </w:tcPr>
          <w:p w:rsidR="00656D87" w:rsidRDefault="00656D87" w:rsidP="00C05FAA">
            <w:pPr>
              <w:jc w:val="center"/>
            </w:pPr>
            <w:r>
              <w:t>2020</w:t>
            </w:r>
          </w:p>
        </w:tc>
      </w:tr>
      <w:tr w:rsidR="00656D87" w:rsidTr="00C05FAA">
        <w:tc>
          <w:tcPr>
            <w:tcW w:w="2123" w:type="dxa"/>
            <w:shd w:val="clear" w:color="auto" w:fill="BFBFBF" w:themeFill="background1" w:themeFillShade="BF"/>
          </w:tcPr>
          <w:p w:rsidR="00656D87" w:rsidRPr="0053687E" w:rsidRDefault="00656D87" w:rsidP="00C05FAA">
            <w:pPr>
              <w:rPr>
                <w:b/>
              </w:rPr>
            </w:pPr>
            <w:r w:rsidRPr="0053687E">
              <w:rPr>
                <w:b/>
              </w:rPr>
              <w:t>Primary</w:t>
            </w:r>
          </w:p>
        </w:tc>
        <w:tc>
          <w:tcPr>
            <w:tcW w:w="1063"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r>
      <w:tr w:rsidR="00656D87" w:rsidTr="00C05FAA">
        <w:tc>
          <w:tcPr>
            <w:tcW w:w="2123" w:type="dxa"/>
          </w:tcPr>
          <w:p w:rsidR="00656D87" w:rsidRDefault="00656D87" w:rsidP="00C05FAA">
            <w:r>
              <w:t>Status quo</w:t>
            </w:r>
          </w:p>
        </w:tc>
        <w:tc>
          <w:tcPr>
            <w:tcW w:w="1063" w:type="dxa"/>
          </w:tcPr>
          <w:p w:rsidR="00656D87" w:rsidRDefault="00656D87" w:rsidP="00C05FAA">
            <w:pPr>
              <w:jc w:val="center"/>
            </w:pPr>
            <w:r>
              <w:t>117</w:t>
            </w:r>
          </w:p>
        </w:tc>
        <w:tc>
          <w:tcPr>
            <w:tcW w:w="1064" w:type="dxa"/>
          </w:tcPr>
          <w:p w:rsidR="00656D87" w:rsidRDefault="00656D87" w:rsidP="00C05FAA">
            <w:pPr>
              <w:jc w:val="center"/>
            </w:pPr>
            <w:r>
              <w:t>117</w:t>
            </w:r>
          </w:p>
        </w:tc>
        <w:tc>
          <w:tcPr>
            <w:tcW w:w="1064" w:type="dxa"/>
          </w:tcPr>
          <w:p w:rsidR="00656D87" w:rsidRDefault="00656D87" w:rsidP="00C05FAA">
            <w:pPr>
              <w:jc w:val="center"/>
            </w:pPr>
            <w:r>
              <w:t>117</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r>
      <w:tr w:rsidR="00656D87" w:rsidTr="00C05FAA">
        <w:tc>
          <w:tcPr>
            <w:tcW w:w="2123" w:type="dxa"/>
          </w:tcPr>
          <w:p w:rsidR="00656D87" w:rsidRDefault="00656D87" w:rsidP="00C05FAA">
            <w:r>
              <w:t>UPE target</w:t>
            </w:r>
          </w:p>
        </w:tc>
        <w:tc>
          <w:tcPr>
            <w:tcW w:w="1063" w:type="dxa"/>
          </w:tcPr>
          <w:p w:rsidR="00656D87" w:rsidRDefault="00656D87" w:rsidP="00C05FAA">
            <w:pPr>
              <w:jc w:val="center"/>
            </w:pPr>
            <w:r>
              <w:t>117</w:t>
            </w:r>
          </w:p>
        </w:tc>
        <w:tc>
          <w:tcPr>
            <w:tcW w:w="1064" w:type="dxa"/>
          </w:tcPr>
          <w:p w:rsidR="00656D87" w:rsidRDefault="00656D87" w:rsidP="00C05FAA">
            <w:pPr>
              <w:jc w:val="center"/>
            </w:pPr>
            <w:r>
              <w:t>100</w:t>
            </w:r>
          </w:p>
        </w:tc>
        <w:tc>
          <w:tcPr>
            <w:tcW w:w="1064" w:type="dxa"/>
          </w:tcPr>
          <w:p w:rsidR="00656D87" w:rsidRDefault="00656D87" w:rsidP="00C05FAA">
            <w:pPr>
              <w:jc w:val="center"/>
            </w:pPr>
            <w:r>
              <w:t>100</w:t>
            </w:r>
          </w:p>
        </w:tc>
        <w:tc>
          <w:tcPr>
            <w:tcW w:w="1064" w:type="dxa"/>
          </w:tcPr>
          <w:p w:rsidR="00656D87" w:rsidRDefault="00656D87" w:rsidP="00C05FAA">
            <w:pPr>
              <w:jc w:val="center"/>
            </w:pPr>
            <w:r>
              <w:t>0</w:t>
            </w:r>
          </w:p>
        </w:tc>
        <w:tc>
          <w:tcPr>
            <w:tcW w:w="1064" w:type="dxa"/>
          </w:tcPr>
          <w:p w:rsidR="00656D87" w:rsidRDefault="00656D87" w:rsidP="00C05FAA">
            <w:pPr>
              <w:jc w:val="center"/>
            </w:pPr>
            <w:r>
              <w:t>0</w:t>
            </w:r>
          </w:p>
        </w:tc>
        <w:tc>
          <w:tcPr>
            <w:tcW w:w="1064" w:type="dxa"/>
          </w:tcPr>
          <w:p w:rsidR="00656D87" w:rsidRDefault="00656D87" w:rsidP="00C05FAA">
            <w:pPr>
              <w:jc w:val="center"/>
            </w:pPr>
            <w:r>
              <w:t>0</w:t>
            </w:r>
          </w:p>
        </w:tc>
        <w:tc>
          <w:tcPr>
            <w:tcW w:w="1064" w:type="dxa"/>
          </w:tcPr>
          <w:p w:rsidR="00656D87" w:rsidRDefault="00656D87" w:rsidP="00C05FAA">
            <w:pPr>
              <w:jc w:val="center"/>
            </w:pPr>
            <w:r>
              <w:t>0</w:t>
            </w:r>
          </w:p>
        </w:tc>
      </w:tr>
      <w:tr w:rsidR="00656D87" w:rsidTr="00C05FAA">
        <w:tc>
          <w:tcPr>
            <w:tcW w:w="2123" w:type="dxa"/>
          </w:tcPr>
          <w:p w:rsidR="00656D87" w:rsidRDefault="00656D87" w:rsidP="00C05FAA">
            <w:r>
              <w:t>Constrained</w:t>
            </w:r>
          </w:p>
        </w:tc>
        <w:tc>
          <w:tcPr>
            <w:tcW w:w="1063" w:type="dxa"/>
          </w:tcPr>
          <w:p w:rsidR="00656D87" w:rsidRDefault="00656D87" w:rsidP="00C05FAA">
            <w:pPr>
              <w:jc w:val="center"/>
            </w:pPr>
            <w:r>
              <w:t>117</w:t>
            </w:r>
          </w:p>
        </w:tc>
        <w:tc>
          <w:tcPr>
            <w:tcW w:w="1064" w:type="dxa"/>
          </w:tcPr>
          <w:p w:rsidR="00656D87" w:rsidRDefault="00656D87" w:rsidP="00C05FAA">
            <w:pPr>
              <w:jc w:val="center"/>
            </w:pPr>
            <w:r>
              <w:t>106.5</w:t>
            </w:r>
          </w:p>
        </w:tc>
        <w:tc>
          <w:tcPr>
            <w:tcW w:w="1064" w:type="dxa"/>
          </w:tcPr>
          <w:p w:rsidR="00656D87" w:rsidRDefault="00656D87" w:rsidP="00C05FAA">
            <w:pPr>
              <w:jc w:val="center"/>
            </w:pPr>
            <w:r>
              <w:t>100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r>
      <w:tr w:rsidR="00656D87" w:rsidTr="00C05FAA">
        <w:tc>
          <w:tcPr>
            <w:tcW w:w="2123" w:type="dxa"/>
            <w:shd w:val="clear" w:color="auto" w:fill="BFBFBF" w:themeFill="background1" w:themeFillShade="BF"/>
          </w:tcPr>
          <w:p w:rsidR="00656D87" w:rsidRPr="0053687E" w:rsidRDefault="00656D87" w:rsidP="00C05FAA">
            <w:pPr>
              <w:rPr>
                <w:b/>
              </w:rPr>
            </w:pPr>
            <w:r w:rsidRPr="0053687E">
              <w:rPr>
                <w:b/>
              </w:rPr>
              <w:t>Junior Secondary</w:t>
            </w:r>
          </w:p>
        </w:tc>
        <w:tc>
          <w:tcPr>
            <w:tcW w:w="1063"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r>
      <w:tr w:rsidR="00656D87" w:rsidTr="00C05FAA">
        <w:tc>
          <w:tcPr>
            <w:tcW w:w="2123" w:type="dxa"/>
          </w:tcPr>
          <w:p w:rsidR="00656D87" w:rsidRDefault="00656D87" w:rsidP="00C05FAA">
            <w:r>
              <w:t>Status quo</w:t>
            </w:r>
          </w:p>
        </w:tc>
        <w:tc>
          <w:tcPr>
            <w:tcW w:w="1063" w:type="dxa"/>
          </w:tcPr>
          <w:p w:rsidR="00656D87" w:rsidRDefault="00656D87" w:rsidP="00C05FAA">
            <w:pPr>
              <w:jc w:val="center"/>
            </w:pPr>
            <w:r>
              <w:t>76</w:t>
            </w:r>
          </w:p>
        </w:tc>
        <w:tc>
          <w:tcPr>
            <w:tcW w:w="1064" w:type="dxa"/>
          </w:tcPr>
          <w:p w:rsidR="00656D87" w:rsidRDefault="00656D87" w:rsidP="00C05FAA">
            <w:pPr>
              <w:jc w:val="center"/>
            </w:pPr>
            <w:r>
              <w:t>76</w:t>
            </w:r>
          </w:p>
        </w:tc>
        <w:tc>
          <w:tcPr>
            <w:tcW w:w="1064" w:type="dxa"/>
          </w:tcPr>
          <w:p w:rsidR="00656D87" w:rsidRDefault="00656D87" w:rsidP="00C05FAA">
            <w:pPr>
              <w:jc w:val="center"/>
            </w:pPr>
            <w:r>
              <w:t>76</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r>
      <w:tr w:rsidR="00656D87" w:rsidTr="00C05FAA">
        <w:tc>
          <w:tcPr>
            <w:tcW w:w="2123" w:type="dxa"/>
          </w:tcPr>
          <w:p w:rsidR="00656D87" w:rsidRDefault="00656D87" w:rsidP="00C05FAA">
            <w:r>
              <w:t>UPE target</w:t>
            </w:r>
          </w:p>
        </w:tc>
        <w:tc>
          <w:tcPr>
            <w:tcW w:w="1063" w:type="dxa"/>
          </w:tcPr>
          <w:p w:rsidR="00656D87" w:rsidRDefault="00656D87" w:rsidP="00C05FAA">
            <w:pPr>
              <w:jc w:val="center"/>
            </w:pPr>
            <w:r>
              <w:t>76</w:t>
            </w:r>
          </w:p>
        </w:tc>
        <w:tc>
          <w:tcPr>
            <w:tcW w:w="1064" w:type="dxa"/>
          </w:tcPr>
          <w:p w:rsidR="00656D87" w:rsidRDefault="00656D87" w:rsidP="00C05FAA">
            <w:pPr>
              <w:jc w:val="center"/>
            </w:pPr>
            <w:r>
              <w:t>100</w:t>
            </w:r>
          </w:p>
        </w:tc>
        <w:tc>
          <w:tcPr>
            <w:tcW w:w="1064" w:type="dxa"/>
          </w:tcPr>
          <w:p w:rsidR="00656D87" w:rsidRDefault="00656D87" w:rsidP="00C05FAA">
            <w:pPr>
              <w:jc w:val="center"/>
            </w:pPr>
            <w:r>
              <w:t>100</w:t>
            </w:r>
          </w:p>
        </w:tc>
        <w:tc>
          <w:tcPr>
            <w:tcW w:w="1064" w:type="dxa"/>
          </w:tcPr>
          <w:p w:rsidR="00656D87" w:rsidRDefault="00656D87" w:rsidP="00C05FAA">
            <w:pPr>
              <w:jc w:val="center"/>
            </w:pPr>
            <w:r>
              <w:t>0</w:t>
            </w:r>
          </w:p>
        </w:tc>
        <w:tc>
          <w:tcPr>
            <w:tcW w:w="1064" w:type="dxa"/>
          </w:tcPr>
          <w:p w:rsidR="00656D87" w:rsidRDefault="00656D87" w:rsidP="00C05FAA">
            <w:pPr>
              <w:jc w:val="center"/>
            </w:pPr>
            <w:r>
              <w:t>0</w:t>
            </w:r>
          </w:p>
        </w:tc>
        <w:tc>
          <w:tcPr>
            <w:tcW w:w="1064" w:type="dxa"/>
          </w:tcPr>
          <w:p w:rsidR="00656D87" w:rsidRDefault="00656D87" w:rsidP="00C05FAA">
            <w:pPr>
              <w:jc w:val="center"/>
            </w:pPr>
            <w:r>
              <w:t>5</w:t>
            </w:r>
          </w:p>
        </w:tc>
        <w:tc>
          <w:tcPr>
            <w:tcW w:w="1064" w:type="dxa"/>
          </w:tcPr>
          <w:p w:rsidR="00656D87" w:rsidRDefault="00656D87" w:rsidP="00C05FAA">
            <w:pPr>
              <w:jc w:val="center"/>
            </w:pPr>
            <w:r>
              <w:t>2.5</w:t>
            </w:r>
          </w:p>
        </w:tc>
      </w:tr>
      <w:tr w:rsidR="00656D87" w:rsidTr="00C05FAA">
        <w:tc>
          <w:tcPr>
            <w:tcW w:w="2123" w:type="dxa"/>
          </w:tcPr>
          <w:p w:rsidR="00656D87" w:rsidRDefault="00656D87" w:rsidP="00C05FAA">
            <w:r>
              <w:t>Constrained</w:t>
            </w:r>
          </w:p>
        </w:tc>
        <w:tc>
          <w:tcPr>
            <w:tcW w:w="1063" w:type="dxa"/>
          </w:tcPr>
          <w:p w:rsidR="00656D87" w:rsidRDefault="00656D87" w:rsidP="00C05FAA">
            <w:pPr>
              <w:jc w:val="center"/>
            </w:pPr>
            <w:r>
              <w:t>76</w:t>
            </w:r>
          </w:p>
        </w:tc>
        <w:tc>
          <w:tcPr>
            <w:tcW w:w="1064" w:type="dxa"/>
          </w:tcPr>
          <w:p w:rsidR="00656D87" w:rsidRDefault="00656D87" w:rsidP="00C05FAA">
            <w:pPr>
              <w:jc w:val="center"/>
            </w:pPr>
            <w:r>
              <w:t>88</w:t>
            </w:r>
          </w:p>
        </w:tc>
        <w:tc>
          <w:tcPr>
            <w:tcW w:w="1064" w:type="dxa"/>
          </w:tcPr>
          <w:p w:rsidR="00656D87" w:rsidRDefault="00656D87" w:rsidP="00C05FAA">
            <w:pPr>
              <w:jc w:val="center"/>
            </w:pPr>
            <w:r>
              <w:t>100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r>
      <w:tr w:rsidR="00656D87" w:rsidTr="00C05FAA">
        <w:tc>
          <w:tcPr>
            <w:tcW w:w="2123" w:type="dxa"/>
            <w:shd w:val="clear" w:color="auto" w:fill="BFBFBF" w:themeFill="background1" w:themeFillShade="BF"/>
          </w:tcPr>
          <w:p w:rsidR="00656D87" w:rsidRPr="0053687E" w:rsidRDefault="00656D87" w:rsidP="00C05FAA">
            <w:pPr>
              <w:rPr>
                <w:b/>
              </w:rPr>
            </w:pPr>
            <w:r w:rsidRPr="0053687E">
              <w:rPr>
                <w:b/>
              </w:rPr>
              <w:t>Senior Secondary</w:t>
            </w:r>
          </w:p>
        </w:tc>
        <w:tc>
          <w:tcPr>
            <w:tcW w:w="1063"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c>
          <w:tcPr>
            <w:tcW w:w="1064" w:type="dxa"/>
            <w:shd w:val="clear" w:color="auto" w:fill="BFBFBF" w:themeFill="background1" w:themeFillShade="BF"/>
          </w:tcPr>
          <w:p w:rsidR="00656D87" w:rsidRDefault="00656D87" w:rsidP="00C05FAA">
            <w:pPr>
              <w:jc w:val="center"/>
            </w:pPr>
          </w:p>
        </w:tc>
      </w:tr>
      <w:tr w:rsidR="00656D87" w:rsidTr="00C05FAA">
        <w:tc>
          <w:tcPr>
            <w:tcW w:w="2123" w:type="dxa"/>
          </w:tcPr>
          <w:p w:rsidR="00656D87" w:rsidRDefault="00656D87" w:rsidP="00C05FAA">
            <w:r>
              <w:t>Status quo</w:t>
            </w:r>
          </w:p>
        </w:tc>
        <w:tc>
          <w:tcPr>
            <w:tcW w:w="1063" w:type="dxa"/>
          </w:tcPr>
          <w:p w:rsidR="00656D87" w:rsidRDefault="00656D87" w:rsidP="00C05FAA">
            <w:pPr>
              <w:jc w:val="center"/>
            </w:pPr>
            <w:r>
              <w:t>60</w:t>
            </w:r>
          </w:p>
        </w:tc>
        <w:tc>
          <w:tcPr>
            <w:tcW w:w="1064" w:type="dxa"/>
          </w:tcPr>
          <w:p w:rsidR="00656D87" w:rsidRDefault="00656D87" w:rsidP="00C05FAA">
            <w:pPr>
              <w:jc w:val="center"/>
            </w:pPr>
            <w:r>
              <w:t>60</w:t>
            </w:r>
          </w:p>
        </w:tc>
        <w:tc>
          <w:tcPr>
            <w:tcW w:w="1064" w:type="dxa"/>
          </w:tcPr>
          <w:p w:rsidR="00656D87" w:rsidRDefault="00656D87" w:rsidP="00C05FAA">
            <w:pPr>
              <w:jc w:val="center"/>
            </w:pPr>
            <w:r>
              <w:t>60</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c>
          <w:tcPr>
            <w:tcW w:w="1064" w:type="dxa"/>
          </w:tcPr>
          <w:p w:rsidR="00656D87" w:rsidRDefault="00656D87" w:rsidP="00C05FAA">
            <w:pPr>
              <w:jc w:val="center"/>
            </w:pPr>
            <w:r>
              <w:t>No change</w:t>
            </w:r>
          </w:p>
        </w:tc>
      </w:tr>
      <w:tr w:rsidR="00656D87" w:rsidTr="00C05FAA">
        <w:tc>
          <w:tcPr>
            <w:tcW w:w="2123" w:type="dxa"/>
          </w:tcPr>
          <w:p w:rsidR="00656D87" w:rsidRDefault="00656D87" w:rsidP="00C05FAA">
            <w:r>
              <w:t>UPE target</w:t>
            </w:r>
          </w:p>
        </w:tc>
        <w:tc>
          <w:tcPr>
            <w:tcW w:w="1063" w:type="dxa"/>
          </w:tcPr>
          <w:p w:rsidR="00656D87" w:rsidRDefault="00656D87" w:rsidP="00C05FAA">
            <w:pPr>
              <w:jc w:val="center"/>
            </w:pPr>
            <w:r>
              <w:t>60</w:t>
            </w:r>
          </w:p>
        </w:tc>
        <w:tc>
          <w:tcPr>
            <w:tcW w:w="1064" w:type="dxa"/>
          </w:tcPr>
          <w:p w:rsidR="00656D87" w:rsidRDefault="00656D87" w:rsidP="00C05FAA">
            <w:pPr>
              <w:jc w:val="center"/>
            </w:pPr>
            <w:r>
              <w:t>75</w:t>
            </w:r>
          </w:p>
        </w:tc>
        <w:tc>
          <w:tcPr>
            <w:tcW w:w="1064" w:type="dxa"/>
          </w:tcPr>
          <w:p w:rsidR="00656D87" w:rsidRDefault="00656D87" w:rsidP="00C05FAA">
            <w:pPr>
              <w:jc w:val="center"/>
            </w:pPr>
            <w:r>
              <w:t>75</w:t>
            </w:r>
          </w:p>
        </w:tc>
        <w:tc>
          <w:tcPr>
            <w:tcW w:w="1064" w:type="dxa"/>
          </w:tcPr>
          <w:p w:rsidR="00656D87" w:rsidRDefault="00656D87" w:rsidP="00C05FAA">
            <w:pPr>
              <w:jc w:val="center"/>
            </w:pPr>
            <w:r>
              <w:t>0</w:t>
            </w:r>
          </w:p>
        </w:tc>
        <w:tc>
          <w:tcPr>
            <w:tcW w:w="1064" w:type="dxa"/>
          </w:tcPr>
          <w:p w:rsidR="00656D87" w:rsidRDefault="00656D87" w:rsidP="00C05FAA">
            <w:pPr>
              <w:jc w:val="center"/>
            </w:pPr>
            <w:r>
              <w:t>0</w:t>
            </w:r>
          </w:p>
        </w:tc>
        <w:tc>
          <w:tcPr>
            <w:tcW w:w="1064" w:type="dxa"/>
          </w:tcPr>
          <w:p w:rsidR="00656D87" w:rsidRDefault="00656D87" w:rsidP="00C05FAA">
            <w:pPr>
              <w:jc w:val="center"/>
            </w:pPr>
            <w:r>
              <w:t>5</w:t>
            </w:r>
          </w:p>
        </w:tc>
        <w:tc>
          <w:tcPr>
            <w:tcW w:w="1064" w:type="dxa"/>
          </w:tcPr>
          <w:p w:rsidR="00656D87" w:rsidRDefault="00656D87" w:rsidP="00C05FAA">
            <w:pPr>
              <w:jc w:val="center"/>
            </w:pPr>
            <w:r>
              <w:t>2.5</w:t>
            </w:r>
          </w:p>
        </w:tc>
      </w:tr>
      <w:tr w:rsidR="00656D87" w:rsidTr="00C05FAA">
        <w:tc>
          <w:tcPr>
            <w:tcW w:w="2123" w:type="dxa"/>
          </w:tcPr>
          <w:p w:rsidR="00656D87" w:rsidRDefault="00656D87" w:rsidP="00C05FAA">
            <w:r>
              <w:t>Constrained</w:t>
            </w:r>
          </w:p>
        </w:tc>
        <w:tc>
          <w:tcPr>
            <w:tcW w:w="1063" w:type="dxa"/>
          </w:tcPr>
          <w:p w:rsidR="00656D87" w:rsidRDefault="00656D87" w:rsidP="00C05FAA">
            <w:pPr>
              <w:jc w:val="center"/>
            </w:pPr>
            <w:r>
              <w:t>60</w:t>
            </w:r>
          </w:p>
        </w:tc>
        <w:tc>
          <w:tcPr>
            <w:tcW w:w="1064" w:type="dxa"/>
          </w:tcPr>
          <w:p w:rsidR="00656D87" w:rsidRDefault="00656D87" w:rsidP="00C05FAA">
            <w:pPr>
              <w:jc w:val="center"/>
            </w:pPr>
            <w:r>
              <w:t>70</w:t>
            </w:r>
          </w:p>
        </w:tc>
        <w:tc>
          <w:tcPr>
            <w:tcW w:w="1064" w:type="dxa"/>
          </w:tcPr>
          <w:p w:rsidR="00656D87" w:rsidRDefault="00656D87" w:rsidP="00C05FAA">
            <w:pPr>
              <w:jc w:val="center"/>
            </w:pPr>
            <w:r>
              <w:t>80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c>
          <w:tcPr>
            <w:tcW w:w="1064" w:type="dxa"/>
          </w:tcPr>
          <w:p w:rsidR="00656D87" w:rsidRDefault="00656D87" w:rsidP="00C05FAA">
            <w:pPr>
              <w:jc w:val="center"/>
            </w:pPr>
            <w:r>
              <w:t>Half 2011</w:t>
            </w:r>
          </w:p>
        </w:tc>
        <w:tc>
          <w:tcPr>
            <w:tcW w:w="1064" w:type="dxa"/>
          </w:tcPr>
          <w:p w:rsidR="00656D87" w:rsidRDefault="00656D87" w:rsidP="00C05FAA">
            <w:pPr>
              <w:jc w:val="center"/>
            </w:pPr>
            <w:r>
              <w:t>0</w:t>
            </w:r>
          </w:p>
        </w:tc>
      </w:tr>
      <w:tr w:rsidR="00656D87" w:rsidTr="00C05FAA">
        <w:tc>
          <w:tcPr>
            <w:tcW w:w="9570" w:type="dxa"/>
            <w:gridSpan w:val="8"/>
          </w:tcPr>
          <w:p w:rsidR="00656D87" w:rsidRDefault="00656D87" w:rsidP="00C05FAA">
            <w:r>
              <w:t xml:space="preserve">Source: Reproduced from </w:t>
            </w:r>
            <w:proofErr w:type="spellStart"/>
            <w:r>
              <w:t>Bennell</w:t>
            </w:r>
            <w:proofErr w:type="spellEnd"/>
            <w:r>
              <w:t>, page 19</w:t>
            </w:r>
          </w:p>
        </w:tc>
      </w:tr>
    </w:tbl>
    <w:p w:rsidR="00656D87" w:rsidRDefault="00656D87" w:rsidP="00656D87"/>
    <w:p w:rsidR="00656D87" w:rsidRDefault="00656D87" w:rsidP="00656D87">
      <w:pPr>
        <w:jc w:val="both"/>
      </w:pPr>
      <w:r>
        <w:t xml:space="preserve">Projections for the ‘UPE target’ scenario, which essentially equates to the MDG/EFA goals for 2015, have not been prepared since they are most unlikely to be achieved (see Section 2.4).  It was for this reason that, sharing this view, the </w:t>
      </w:r>
      <w:proofErr w:type="spellStart"/>
      <w:r>
        <w:t>Bennell</w:t>
      </w:r>
      <w:proofErr w:type="spellEnd"/>
      <w:r>
        <w:t xml:space="preserve"> study introduced its ‘constrained’ scenario incorporating more moderate progress towards the UPE targets.</w:t>
      </w:r>
    </w:p>
    <w:p w:rsidR="00656D87" w:rsidRDefault="00656D87" w:rsidP="00656D87">
      <w:pPr>
        <w:jc w:val="both"/>
      </w:pPr>
    </w:p>
    <w:p w:rsidR="00656D87" w:rsidRDefault="00656D87" w:rsidP="00656D87">
      <w:pPr>
        <w:jc w:val="both"/>
      </w:pPr>
      <w:r>
        <w:t xml:space="preserve">It should be noted that the following projections focus on expenditure to be funded by the </w:t>
      </w:r>
      <w:proofErr w:type="spellStart"/>
      <w:r>
        <w:t>GoV</w:t>
      </w:r>
      <w:proofErr w:type="spellEnd"/>
      <w:r>
        <w:t xml:space="preserve"> through </w:t>
      </w:r>
      <w:proofErr w:type="spellStart"/>
      <w:r>
        <w:t>MoE</w:t>
      </w:r>
      <w:proofErr w:type="spellEnd"/>
      <w:r>
        <w:t xml:space="preserve">.  It will become apparent (Section 2.5.7) that the </w:t>
      </w:r>
      <w:proofErr w:type="spellStart"/>
      <w:r>
        <w:t>GoV</w:t>
      </w:r>
      <w:proofErr w:type="spellEnd"/>
      <w:r>
        <w:t xml:space="preserve"> is likely to have limited if any capacity to fund significant ‘development’ expenditures over the period to 2017 and therefore assumed that these will continue to be funded by </w:t>
      </w:r>
      <w:r w:rsidR="007F3B85">
        <w:t>d</w:t>
      </w:r>
      <w:r>
        <w:t xml:space="preserve">evelopment </w:t>
      </w:r>
      <w:r w:rsidR="007F3B85">
        <w:t>p</w:t>
      </w:r>
      <w:r>
        <w:t xml:space="preserve">artners, notably via Pool Partner funding of the VESP. </w:t>
      </w:r>
    </w:p>
    <w:p w:rsidR="00656D87" w:rsidRPr="00D14A25" w:rsidRDefault="00656D87" w:rsidP="00160C19">
      <w:pPr>
        <w:pStyle w:val="Heading2"/>
      </w:pPr>
      <w:bookmarkStart w:id="213" w:name="_Toc341210810"/>
      <w:bookmarkStart w:id="214" w:name="_Toc341210929"/>
      <w:bookmarkStart w:id="215" w:name="_Toc341265747"/>
      <w:bookmarkStart w:id="216" w:name="_Toc343257310"/>
      <w:bookmarkStart w:id="217" w:name="_Toc343257424"/>
      <w:bookmarkStart w:id="218" w:name="_Toc348711345"/>
      <w:r w:rsidRPr="00D14A25">
        <w:t>2.5.2 Teacher numbers and emoluments</w:t>
      </w:r>
      <w:bookmarkEnd w:id="213"/>
      <w:bookmarkEnd w:id="214"/>
      <w:bookmarkEnd w:id="215"/>
      <w:bookmarkEnd w:id="216"/>
      <w:bookmarkEnd w:id="217"/>
      <w:bookmarkEnd w:id="218"/>
    </w:p>
    <w:p w:rsidR="00656D87" w:rsidRDefault="00656D87" w:rsidP="00656D87">
      <w:pPr>
        <w:jc w:val="both"/>
      </w:pPr>
    </w:p>
    <w:p w:rsidR="00656D87" w:rsidRDefault="00656D87" w:rsidP="00656D87">
      <w:pPr>
        <w:jc w:val="both"/>
      </w:pPr>
      <w:r>
        <w:t xml:space="preserve">Table </w:t>
      </w:r>
      <w:r w:rsidR="00571727">
        <w:t>3</w:t>
      </w:r>
      <w:r w:rsidR="00A165DA">
        <w:t>8</w:t>
      </w:r>
      <w:r>
        <w:t xml:space="preserve"> presents projections of teacher numbers and personal emoluments in </w:t>
      </w:r>
      <w:proofErr w:type="spellStart"/>
      <w:r>
        <w:t>GoV</w:t>
      </w:r>
      <w:proofErr w:type="spellEnd"/>
      <w:r>
        <w:t>-funded and Government Assisted schools, 2013 to 2017, for the ‘status quo’ and ‘constrained UPE’ scenarios.</w:t>
      </w:r>
    </w:p>
    <w:p w:rsidR="00656D87" w:rsidRDefault="00656D87" w:rsidP="00656D87">
      <w:pPr>
        <w:jc w:val="both"/>
      </w:pPr>
    </w:p>
    <w:p w:rsidR="00D339A4" w:rsidRDefault="00D339A4">
      <w:r>
        <w:br w:type="page"/>
      </w:r>
    </w:p>
    <w:tbl>
      <w:tblPr>
        <w:tblStyle w:val="TableGrid"/>
        <w:tblW w:w="0" w:type="auto"/>
        <w:tblLook w:val="04A0" w:firstRow="1" w:lastRow="0" w:firstColumn="1" w:lastColumn="0" w:noHBand="0" w:noVBand="1"/>
        <w:tblCaption w:val="Table 38: Projections of primary/secondary teacher numbers and personal emoluments, GoV and Government Assisted schools, constant (2012) prices"/>
      </w:tblPr>
      <w:tblGrid>
        <w:gridCol w:w="3588"/>
        <w:gridCol w:w="1196"/>
        <w:gridCol w:w="1196"/>
        <w:gridCol w:w="1196"/>
        <w:gridCol w:w="1197"/>
        <w:gridCol w:w="1197"/>
      </w:tblGrid>
      <w:tr w:rsidR="00656D87" w:rsidTr="00D339A4">
        <w:trPr>
          <w:tblHeader/>
        </w:trPr>
        <w:tc>
          <w:tcPr>
            <w:tcW w:w="9570" w:type="dxa"/>
            <w:gridSpan w:val="6"/>
            <w:shd w:val="clear" w:color="auto" w:fill="BFBFBF" w:themeFill="background1" w:themeFillShade="BF"/>
          </w:tcPr>
          <w:p w:rsidR="00743573" w:rsidRDefault="00656D87">
            <w:pPr>
              <w:jc w:val="both"/>
            </w:pPr>
            <w:r>
              <w:lastRenderedPageBreak/>
              <w:t xml:space="preserve">Table </w:t>
            </w:r>
            <w:r w:rsidR="00571727">
              <w:t>3</w:t>
            </w:r>
            <w:r w:rsidR="00A11254">
              <w:t>8</w:t>
            </w:r>
            <w:r>
              <w:t xml:space="preserve">: Projections of primary/secondary teacher numbers and personal emoluments, </w:t>
            </w:r>
            <w:proofErr w:type="spellStart"/>
            <w:r>
              <w:t>GoV</w:t>
            </w:r>
            <w:proofErr w:type="spellEnd"/>
            <w:r>
              <w:t xml:space="preserve"> and Government Assisted schools, constant (2012) prices</w:t>
            </w:r>
          </w:p>
        </w:tc>
      </w:tr>
      <w:tr w:rsidR="00656D87" w:rsidTr="00C05FAA">
        <w:tc>
          <w:tcPr>
            <w:tcW w:w="3588" w:type="dxa"/>
          </w:tcPr>
          <w:p w:rsidR="00656D87" w:rsidRDefault="00656D87" w:rsidP="00C05FAA">
            <w:pPr>
              <w:jc w:val="both"/>
            </w:pPr>
          </w:p>
        </w:tc>
        <w:tc>
          <w:tcPr>
            <w:tcW w:w="1196" w:type="dxa"/>
          </w:tcPr>
          <w:p w:rsidR="00656D87" w:rsidRDefault="00656D87" w:rsidP="00C05FAA">
            <w:pPr>
              <w:jc w:val="center"/>
            </w:pPr>
            <w:r>
              <w:t>2013</w:t>
            </w:r>
          </w:p>
        </w:tc>
        <w:tc>
          <w:tcPr>
            <w:tcW w:w="1196" w:type="dxa"/>
          </w:tcPr>
          <w:p w:rsidR="00656D87" w:rsidRDefault="00656D87" w:rsidP="00C05FAA">
            <w:pPr>
              <w:jc w:val="center"/>
            </w:pPr>
            <w:r>
              <w:t>2014</w:t>
            </w:r>
          </w:p>
        </w:tc>
        <w:tc>
          <w:tcPr>
            <w:tcW w:w="1196" w:type="dxa"/>
          </w:tcPr>
          <w:p w:rsidR="00656D87" w:rsidRDefault="00656D87" w:rsidP="00C05FAA">
            <w:pPr>
              <w:jc w:val="center"/>
            </w:pPr>
            <w:r>
              <w:t>2015</w:t>
            </w:r>
          </w:p>
        </w:tc>
        <w:tc>
          <w:tcPr>
            <w:tcW w:w="1197" w:type="dxa"/>
          </w:tcPr>
          <w:p w:rsidR="00656D87" w:rsidRDefault="00656D87" w:rsidP="00C05FAA">
            <w:pPr>
              <w:jc w:val="center"/>
            </w:pPr>
            <w:r>
              <w:t>2016</w:t>
            </w:r>
          </w:p>
        </w:tc>
        <w:tc>
          <w:tcPr>
            <w:tcW w:w="1197" w:type="dxa"/>
          </w:tcPr>
          <w:p w:rsidR="00656D87" w:rsidRDefault="00656D87" w:rsidP="00C05FAA">
            <w:pPr>
              <w:jc w:val="center"/>
            </w:pPr>
            <w:r>
              <w:t>2017</w:t>
            </w:r>
          </w:p>
        </w:tc>
      </w:tr>
      <w:tr w:rsidR="00656D87" w:rsidTr="00C05FAA">
        <w:tc>
          <w:tcPr>
            <w:tcW w:w="3588" w:type="dxa"/>
            <w:shd w:val="clear" w:color="auto" w:fill="BFBFBF" w:themeFill="background1" w:themeFillShade="BF"/>
          </w:tcPr>
          <w:p w:rsidR="00656D87" w:rsidRPr="00D55633" w:rsidRDefault="00656D87" w:rsidP="00C05FAA">
            <w:pPr>
              <w:jc w:val="both"/>
              <w:rPr>
                <w:b/>
              </w:rPr>
            </w:pPr>
            <w:r w:rsidRPr="00D55633">
              <w:rPr>
                <w:b/>
              </w:rPr>
              <w:t>Primary teacher numbers</w:t>
            </w: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r>
      <w:tr w:rsidR="00656D87" w:rsidTr="00C05FAA">
        <w:tc>
          <w:tcPr>
            <w:tcW w:w="3588" w:type="dxa"/>
          </w:tcPr>
          <w:p w:rsidR="00656D87" w:rsidRDefault="00656D87" w:rsidP="00C05FAA">
            <w:pPr>
              <w:jc w:val="both"/>
            </w:pPr>
            <w:r>
              <w:t>- status quo (number)</w:t>
            </w:r>
          </w:p>
        </w:tc>
        <w:tc>
          <w:tcPr>
            <w:tcW w:w="1196" w:type="dxa"/>
          </w:tcPr>
          <w:p w:rsidR="00656D87" w:rsidRDefault="00656D87" w:rsidP="00C05FAA">
            <w:pPr>
              <w:jc w:val="center"/>
            </w:pPr>
            <w:r>
              <w:t>1,461</w:t>
            </w:r>
          </w:p>
        </w:tc>
        <w:tc>
          <w:tcPr>
            <w:tcW w:w="1196" w:type="dxa"/>
          </w:tcPr>
          <w:p w:rsidR="00656D87" w:rsidRDefault="00656D87" w:rsidP="00C05FAA">
            <w:pPr>
              <w:jc w:val="center"/>
            </w:pPr>
            <w:r>
              <w:t>1,492</w:t>
            </w:r>
          </w:p>
        </w:tc>
        <w:tc>
          <w:tcPr>
            <w:tcW w:w="1196" w:type="dxa"/>
          </w:tcPr>
          <w:p w:rsidR="00656D87" w:rsidRDefault="00656D87" w:rsidP="00C05FAA">
            <w:pPr>
              <w:jc w:val="center"/>
            </w:pPr>
            <w:r>
              <w:t>1,531</w:t>
            </w:r>
          </w:p>
        </w:tc>
        <w:tc>
          <w:tcPr>
            <w:tcW w:w="1197" w:type="dxa"/>
          </w:tcPr>
          <w:p w:rsidR="00656D87" w:rsidRDefault="00656D87" w:rsidP="00C05FAA">
            <w:pPr>
              <w:jc w:val="center"/>
            </w:pPr>
            <w:r>
              <w:t>1,569</w:t>
            </w:r>
          </w:p>
        </w:tc>
        <w:tc>
          <w:tcPr>
            <w:tcW w:w="1197" w:type="dxa"/>
          </w:tcPr>
          <w:p w:rsidR="00656D87" w:rsidRDefault="00656D87" w:rsidP="00C05FAA">
            <w:pPr>
              <w:jc w:val="center"/>
            </w:pPr>
            <w:r>
              <w:t>1,611</w:t>
            </w:r>
          </w:p>
        </w:tc>
      </w:tr>
      <w:tr w:rsidR="00656D87" w:rsidTr="00C05FAA">
        <w:tc>
          <w:tcPr>
            <w:tcW w:w="3588" w:type="dxa"/>
          </w:tcPr>
          <w:p w:rsidR="00656D87" w:rsidRDefault="00656D87" w:rsidP="00C05FAA">
            <w:pPr>
              <w:jc w:val="both"/>
            </w:pPr>
            <w:r>
              <w:t>- constrained UPE (number)</w:t>
            </w:r>
          </w:p>
        </w:tc>
        <w:tc>
          <w:tcPr>
            <w:tcW w:w="1196" w:type="dxa"/>
          </w:tcPr>
          <w:p w:rsidR="00656D87" w:rsidRDefault="00656D87" w:rsidP="00C05FAA">
            <w:pPr>
              <w:jc w:val="center"/>
            </w:pPr>
            <w:r>
              <w:t>1,440</w:t>
            </w:r>
          </w:p>
        </w:tc>
        <w:tc>
          <w:tcPr>
            <w:tcW w:w="1196" w:type="dxa"/>
          </w:tcPr>
          <w:p w:rsidR="00656D87" w:rsidRDefault="00656D87" w:rsidP="00C05FAA">
            <w:pPr>
              <w:jc w:val="center"/>
            </w:pPr>
            <w:r>
              <w:t>1,456</w:t>
            </w:r>
          </w:p>
        </w:tc>
        <w:tc>
          <w:tcPr>
            <w:tcW w:w="1196" w:type="dxa"/>
          </w:tcPr>
          <w:p w:rsidR="00656D87" w:rsidRDefault="00656D87" w:rsidP="00C05FAA">
            <w:pPr>
              <w:jc w:val="center"/>
            </w:pPr>
            <w:r>
              <w:t>1,483</w:t>
            </w:r>
          </w:p>
        </w:tc>
        <w:tc>
          <w:tcPr>
            <w:tcW w:w="1197" w:type="dxa"/>
          </w:tcPr>
          <w:p w:rsidR="00656D87" w:rsidRDefault="00656D87" w:rsidP="00C05FAA">
            <w:pPr>
              <w:jc w:val="center"/>
            </w:pPr>
            <w:r>
              <w:t>1,508</w:t>
            </w:r>
          </w:p>
        </w:tc>
        <w:tc>
          <w:tcPr>
            <w:tcW w:w="1197" w:type="dxa"/>
          </w:tcPr>
          <w:p w:rsidR="00C77093" w:rsidRDefault="00656D87">
            <w:pPr>
              <w:jc w:val="center"/>
            </w:pPr>
            <w:r>
              <w:t>1,4</w:t>
            </w:r>
            <w:r w:rsidR="00A165DA">
              <w:t>49</w:t>
            </w:r>
          </w:p>
        </w:tc>
      </w:tr>
      <w:tr w:rsidR="00656D87" w:rsidTr="00C05FAA">
        <w:tc>
          <w:tcPr>
            <w:tcW w:w="3588" w:type="dxa"/>
            <w:shd w:val="clear" w:color="auto" w:fill="BFBFBF" w:themeFill="background1" w:themeFillShade="BF"/>
          </w:tcPr>
          <w:p w:rsidR="00656D87" w:rsidRPr="00D55633" w:rsidRDefault="00656D87" w:rsidP="00C05FAA">
            <w:pPr>
              <w:jc w:val="both"/>
              <w:rPr>
                <w:b/>
              </w:rPr>
            </w:pPr>
            <w:r w:rsidRPr="00D55633">
              <w:rPr>
                <w:b/>
              </w:rPr>
              <w:t>Primary teacher emoluments</w:t>
            </w: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r>
      <w:tr w:rsidR="00656D87" w:rsidTr="00C05FAA">
        <w:tc>
          <w:tcPr>
            <w:tcW w:w="3588" w:type="dxa"/>
          </w:tcPr>
          <w:p w:rsidR="00656D87" w:rsidRDefault="00656D87" w:rsidP="00C05FAA">
            <w:pPr>
              <w:jc w:val="both"/>
            </w:pPr>
            <w:r>
              <w:t>- status quo (total Vatu million)</w:t>
            </w:r>
          </w:p>
        </w:tc>
        <w:tc>
          <w:tcPr>
            <w:tcW w:w="1196" w:type="dxa"/>
          </w:tcPr>
          <w:p w:rsidR="00656D87" w:rsidRDefault="00656D87" w:rsidP="00C05FAA">
            <w:pPr>
              <w:jc w:val="center"/>
            </w:pPr>
            <w:r>
              <w:t>1,558.0</w:t>
            </w:r>
          </w:p>
        </w:tc>
        <w:tc>
          <w:tcPr>
            <w:tcW w:w="1196" w:type="dxa"/>
          </w:tcPr>
          <w:p w:rsidR="00656D87" w:rsidRDefault="00656D87" w:rsidP="00C05FAA">
            <w:pPr>
              <w:jc w:val="center"/>
            </w:pPr>
            <w:r>
              <w:t>1,591.0</w:t>
            </w:r>
          </w:p>
        </w:tc>
        <w:tc>
          <w:tcPr>
            <w:tcW w:w="1196" w:type="dxa"/>
          </w:tcPr>
          <w:p w:rsidR="00656D87" w:rsidRDefault="00656D87" w:rsidP="00C05FAA">
            <w:pPr>
              <w:jc w:val="center"/>
            </w:pPr>
            <w:r>
              <w:t>1,632.6</w:t>
            </w:r>
          </w:p>
        </w:tc>
        <w:tc>
          <w:tcPr>
            <w:tcW w:w="1197" w:type="dxa"/>
          </w:tcPr>
          <w:p w:rsidR="00656D87" w:rsidRDefault="00656D87" w:rsidP="00C05FAA">
            <w:pPr>
              <w:jc w:val="center"/>
            </w:pPr>
            <w:r>
              <w:t>1,673.2</w:t>
            </w:r>
          </w:p>
        </w:tc>
        <w:tc>
          <w:tcPr>
            <w:tcW w:w="1197" w:type="dxa"/>
          </w:tcPr>
          <w:p w:rsidR="00656D87" w:rsidRDefault="00656D87" w:rsidP="00C05FAA">
            <w:pPr>
              <w:jc w:val="center"/>
            </w:pPr>
            <w:r>
              <w:t>1,717.9</w:t>
            </w:r>
          </w:p>
        </w:tc>
      </w:tr>
      <w:tr w:rsidR="00656D87" w:rsidTr="00C05FAA">
        <w:tc>
          <w:tcPr>
            <w:tcW w:w="3588" w:type="dxa"/>
          </w:tcPr>
          <w:p w:rsidR="00656D87" w:rsidRDefault="00656D87" w:rsidP="00C05FAA">
            <w:pPr>
              <w:jc w:val="both"/>
            </w:pPr>
            <w:r>
              <w:t>- constrained UPE (Vatu million)</w:t>
            </w:r>
          </w:p>
        </w:tc>
        <w:tc>
          <w:tcPr>
            <w:tcW w:w="1196" w:type="dxa"/>
          </w:tcPr>
          <w:p w:rsidR="00656D87" w:rsidRDefault="00656D87" w:rsidP="00C05FAA">
            <w:pPr>
              <w:jc w:val="center"/>
            </w:pPr>
            <w:r>
              <w:t>1,535.6</w:t>
            </w:r>
          </w:p>
        </w:tc>
        <w:tc>
          <w:tcPr>
            <w:tcW w:w="1196" w:type="dxa"/>
          </w:tcPr>
          <w:p w:rsidR="00656D87" w:rsidRDefault="00656D87" w:rsidP="00C05FAA">
            <w:pPr>
              <w:jc w:val="center"/>
            </w:pPr>
            <w:r>
              <w:t>1,552.7</w:t>
            </w:r>
          </w:p>
        </w:tc>
        <w:tc>
          <w:tcPr>
            <w:tcW w:w="1196" w:type="dxa"/>
          </w:tcPr>
          <w:p w:rsidR="00656D87" w:rsidRDefault="00656D87" w:rsidP="00C05FAA">
            <w:pPr>
              <w:jc w:val="center"/>
            </w:pPr>
            <w:r>
              <w:t>1,581.4</w:t>
            </w:r>
          </w:p>
        </w:tc>
        <w:tc>
          <w:tcPr>
            <w:tcW w:w="1197" w:type="dxa"/>
          </w:tcPr>
          <w:p w:rsidR="00656D87" w:rsidRDefault="00656D87" w:rsidP="00C05FAA">
            <w:pPr>
              <w:jc w:val="center"/>
            </w:pPr>
            <w:r>
              <w:t>1,608.1</w:t>
            </w:r>
          </w:p>
        </w:tc>
        <w:tc>
          <w:tcPr>
            <w:tcW w:w="1197" w:type="dxa"/>
          </w:tcPr>
          <w:p w:rsidR="00656D87" w:rsidRDefault="00656D87" w:rsidP="00C05FAA">
            <w:pPr>
              <w:jc w:val="center"/>
            </w:pPr>
            <w:r>
              <w:t>1,545.2</w:t>
            </w:r>
          </w:p>
        </w:tc>
      </w:tr>
      <w:tr w:rsidR="00656D87" w:rsidTr="00C05FAA">
        <w:tc>
          <w:tcPr>
            <w:tcW w:w="3588" w:type="dxa"/>
            <w:shd w:val="clear" w:color="auto" w:fill="BFBFBF" w:themeFill="background1" w:themeFillShade="BF"/>
          </w:tcPr>
          <w:p w:rsidR="00656D87" w:rsidRPr="00D55633" w:rsidRDefault="00656D87" w:rsidP="00C05FAA">
            <w:pPr>
              <w:jc w:val="both"/>
              <w:rPr>
                <w:b/>
              </w:rPr>
            </w:pPr>
            <w:r w:rsidRPr="00D55633">
              <w:rPr>
                <w:b/>
              </w:rPr>
              <w:t>Secondary teacher numbers</w:t>
            </w: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r>
      <w:tr w:rsidR="00656D87" w:rsidTr="00C05FAA">
        <w:tc>
          <w:tcPr>
            <w:tcW w:w="3588" w:type="dxa"/>
          </w:tcPr>
          <w:p w:rsidR="00656D87" w:rsidRDefault="00656D87" w:rsidP="00C05FAA">
            <w:pPr>
              <w:jc w:val="both"/>
            </w:pPr>
            <w:r>
              <w:t>- status quo (number)</w:t>
            </w:r>
          </w:p>
        </w:tc>
        <w:tc>
          <w:tcPr>
            <w:tcW w:w="1196" w:type="dxa"/>
          </w:tcPr>
          <w:p w:rsidR="00656D87" w:rsidRDefault="00656D87" w:rsidP="00C05FAA">
            <w:pPr>
              <w:jc w:val="center"/>
            </w:pPr>
            <w:r>
              <w:t>698</w:t>
            </w:r>
          </w:p>
        </w:tc>
        <w:tc>
          <w:tcPr>
            <w:tcW w:w="1196" w:type="dxa"/>
          </w:tcPr>
          <w:p w:rsidR="00656D87" w:rsidRDefault="00656D87" w:rsidP="00C05FAA">
            <w:pPr>
              <w:jc w:val="center"/>
            </w:pPr>
            <w:r>
              <w:t>699</w:t>
            </w:r>
          </w:p>
        </w:tc>
        <w:tc>
          <w:tcPr>
            <w:tcW w:w="1196" w:type="dxa"/>
          </w:tcPr>
          <w:p w:rsidR="00656D87" w:rsidRDefault="00656D87" w:rsidP="00C05FAA">
            <w:pPr>
              <w:jc w:val="center"/>
            </w:pPr>
            <w:r>
              <w:t>701</w:t>
            </w:r>
          </w:p>
        </w:tc>
        <w:tc>
          <w:tcPr>
            <w:tcW w:w="1197" w:type="dxa"/>
          </w:tcPr>
          <w:p w:rsidR="00656D87" w:rsidRDefault="00656D87" w:rsidP="00C05FAA">
            <w:pPr>
              <w:jc w:val="center"/>
            </w:pPr>
            <w:r>
              <w:t>714</w:t>
            </w:r>
          </w:p>
        </w:tc>
        <w:tc>
          <w:tcPr>
            <w:tcW w:w="1197" w:type="dxa"/>
          </w:tcPr>
          <w:p w:rsidR="00656D87" w:rsidRDefault="00656D87" w:rsidP="00C05FAA">
            <w:pPr>
              <w:jc w:val="center"/>
            </w:pPr>
            <w:r>
              <w:t>730</w:t>
            </w:r>
          </w:p>
        </w:tc>
      </w:tr>
      <w:tr w:rsidR="00656D87" w:rsidTr="00C05FAA">
        <w:tc>
          <w:tcPr>
            <w:tcW w:w="3588" w:type="dxa"/>
          </w:tcPr>
          <w:p w:rsidR="00656D87" w:rsidRDefault="00656D87" w:rsidP="00C05FAA">
            <w:pPr>
              <w:jc w:val="both"/>
            </w:pPr>
            <w:r>
              <w:t>- constrained UPE (number)</w:t>
            </w:r>
          </w:p>
        </w:tc>
        <w:tc>
          <w:tcPr>
            <w:tcW w:w="1196" w:type="dxa"/>
          </w:tcPr>
          <w:p w:rsidR="00656D87" w:rsidRDefault="00656D87" w:rsidP="00C05FAA">
            <w:pPr>
              <w:jc w:val="center"/>
            </w:pPr>
            <w:r>
              <w:t>745</w:t>
            </w:r>
          </w:p>
        </w:tc>
        <w:tc>
          <w:tcPr>
            <w:tcW w:w="1196" w:type="dxa"/>
          </w:tcPr>
          <w:p w:rsidR="00656D87" w:rsidRDefault="00656D87" w:rsidP="00C05FAA">
            <w:pPr>
              <w:jc w:val="center"/>
            </w:pPr>
            <w:r>
              <w:t>789</w:t>
            </w:r>
          </w:p>
        </w:tc>
        <w:tc>
          <w:tcPr>
            <w:tcW w:w="1196" w:type="dxa"/>
          </w:tcPr>
          <w:p w:rsidR="00656D87" w:rsidRDefault="00656D87" w:rsidP="00C05FAA">
            <w:pPr>
              <w:jc w:val="center"/>
            </w:pPr>
            <w:r>
              <w:t>848</w:t>
            </w:r>
          </w:p>
        </w:tc>
        <w:tc>
          <w:tcPr>
            <w:tcW w:w="1197" w:type="dxa"/>
          </w:tcPr>
          <w:p w:rsidR="00656D87" w:rsidRDefault="00656D87" w:rsidP="00C05FAA">
            <w:pPr>
              <w:jc w:val="center"/>
            </w:pPr>
            <w:r>
              <w:t>936</w:t>
            </w:r>
          </w:p>
        </w:tc>
        <w:tc>
          <w:tcPr>
            <w:tcW w:w="1197" w:type="dxa"/>
          </w:tcPr>
          <w:p w:rsidR="00656D87" w:rsidRDefault="00656D87" w:rsidP="00C05FAA">
            <w:pPr>
              <w:jc w:val="center"/>
            </w:pPr>
            <w:r>
              <w:t>1,020</w:t>
            </w:r>
          </w:p>
        </w:tc>
      </w:tr>
      <w:tr w:rsidR="00656D87" w:rsidTr="00C05FAA">
        <w:tc>
          <w:tcPr>
            <w:tcW w:w="3588" w:type="dxa"/>
            <w:shd w:val="clear" w:color="auto" w:fill="BFBFBF" w:themeFill="background1" w:themeFillShade="BF"/>
          </w:tcPr>
          <w:p w:rsidR="00656D87" w:rsidRPr="00D55633" w:rsidRDefault="00656D87" w:rsidP="00C05FAA">
            <w:pPr>
              <w:jc w:val="both"/>
              <w:rPr>
                <w:b/>
              </w:rPr>
            </w:pPr>
            <w:r w:rsidRPr="00D55633">
              <w:rPr>
                <w:b/>
              </w:rPr>
              <w:t>Secondary teacher emoluments</w:t>
            </w: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6"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c>
          <w:tcPr>
            <w:tcW w:w="1197" w:type="dxa"/>
            <w:shd w:val="clear" w:color="auto" w:fill="BFBFBF" w:themeFill="background1" w:themeFillShade="BF"/>
          </w:tcPr>
          <w:p w:rsidR="00656D87" w:rsidRDefault="00656D87" w:rsidP="00C05FAA">
            <w:pPr>
              <w:jc w:val="both"/>
            </w:pPr>
          </w:p>
        </w:tc>
      </w:tr>
      <w:tr w:rsidR="00656D87" w:rsidTr="00C05FAA">
        <w:tc>
          <w:tcPr>
            <w:tcW w:w="3588" w:type="dxa"/>
          </w:tcPr>
          <w:p w:rsidR="00656D87" w:rsidRDefault="00656D87" w:rsidP="00C05FAA">
            <w:pPr>
              <w:jc w:val="both"/>
            </w:pPr>
            <w:r>
              <w:t>- status quo (total Vatu million)</w:t>
            </w:r>
          </w:p>
        </w:tc>
        <w:tc>
          <w:tcPr>
            <w:tcW w:w="1196" w:type="dxa"/>
          </w:tcPr>
          <w:p w:rsidR="00656D87" w:rsidRDefault="00656D87" w:rsidP="00C05FAA">
            <w:pPr>
              <w:jc w:val="center"/>
            </w:pPr>
            <w:r>
              <w:t>1,025.8</w:t>
            </w:r>
          </w:p>
        </w:tc>
        <w:tc>
          <w:tcPr>
            <w:tcW w:w="1196" w:type="dxa"/>
          </w:tcPr>
          <w:p w:rsidR="00656D87" w:rsidRDefault="00656D87" w:rsidP="00C05FAA">
            <w:pPr>
              <w:jc w:val="center"/>
            </w:pPr>
            <w:r>
              <w:t>1,027.3</w:t>
            </w:r>
          </w:p>
        </w:tc>
        <w:tc>
          <w:tcPr>
            <w:tcW w:w="1196" w:type="dxa"/>
          </w:tcPr>
          <w:p w:rsidR="00656D87" w:rsidRDefault="00656D87" w:rsidP="00C05FAA">
            <w:pPr>
              <w:jc w:val="center"/>
            </w:pPr>
            <w:r>
              <w:t>1,030.2</w:t>
            </w:r>
          </w:p>
        </w:tc>
        <w:tc>
          <w:tcPr>
            <w:tcW w:w="1197" w:type="dxa"/>
          </w:tcPr>
          <w:p w:rsidR="00656D87" w:rsidRDefault="00656D87" w:rsidP="00C05FAA">
            <w:pPr>
              <w:jc w:val="center"/>
            </w:pPr>
            <w:r>
              <w:t>1,049.4</w:t>
            </w:r>
          </w:p>
        </w:tc>
        <w:tc>
          <w:tcPr>
            <w:tcW w:w="1197" w:type="dxa"/>
          </w:tcPr>
          <w:p w:rsidR="00656D87" w:rsidRDefault="00656D87" w:rsidP="00C05FAA">
            <w:pPr>
              <w:jc w:val="center"/>
            </w:pPr>
            <w:r>
              <w:t>1,072.9</w:t>
            </w:r>
          </w:p>
        </w:tc>
      </w:tr>
      <w:tr w:rsidR="00656D87" w:rsidTr="00C05FAA">
        <w:tc>
          <w:tcPr>
            <w:tcW w:w="3588" w:type="dxa"/>
          </w:tcPr>
          <w:p w:rsidR="00656D87" w:rsidRDefault="00656D87" w:rsidP="00C05FAA">
            <w:pPr>
              <w:jc w:val="both"/>
            </w:pPr>
            <w:r>
              <w:t>- constrained UPE (Vatu million)</w:t>
            </w:r>
          </w:p>
        </w:tc>
        <w:tc>
          <w:tcPr>
            <w:tcW w:w="1196" w:type="dxa"/>
          </w:tcPr>
          <w:p w:rsidR="00656D87" w:rsidRDefault="00656D87" w:rsidP="00C05FAA">
            <w:pPr>
              <w:jc w:val="center"/>
            </w:pPr>
            <w:r>
              <w:t>1,094.9</w:t>
            </w:r>
          </w:p>
        </w:tc>
        <w:tc>
          <w:tcPr>
            <w:tcW w:w="1196" w:type="dxa"/>
          </w:tcPr>
          <w:p w:rsidR="00656D87" w:rsidRDefault="00656D87" w:rsidP="00C05FAA">
            <w:pPr>
              <w:jc w:val="center"/>
            </w:pPr>
            <w:r>
              <w:t>1,159.6</w:t>
            </w:r>
          </w:p>
        </w:tc>
        <w:tc>
          <w:tcPr>
            <w:tcW w:w="1196" w:type="dxa"/>
          </w:tcPr>
          <w:p w:rsidR="00656D87" w:rsidRDefault="00656D87" w:rsidP="00C05FAA">
            <w:pPr>
              <w:jc w:val="center"/>
            </w:pPr>
            <w:r>
              <w:t>1,246.3</w:t>
            </w:r>
          </w:p>
        </w:tc>
        <w:tc>
          <w:tcPr>
            <w:tcW w:w="1197" w:type="dxa"/>
          </w:tcPr>
          <w:p w:rsidR="00656D87" w:rsidRDefault="00656D87" w:rsidP="00C05FAA">
            <w:pPr>
              <w:jc w:val="center"/>
            </w:pPr>
            <w:r>
              <w:t>1,375.6</w:t>
            </w:r>
          </w:p>
        </w:tc>
        <w:tc>
          <w:tcPr>
            <w:tcW w:w="1197" w:type="dxa"/>
          </w:tcPr>
          <w:p w:rsidR="00656D87" w:rsidRDefault="00656D87" w:rsidP="00C05FAA">
            <w:pPr>
              <w:jc w:val="center"/>
            </w:pPr>
            <w:r>
              <w:t>1,499.1</w:t>
            </w:r>
          </w:p>
        </w:tc>
      </w:tr>
      <w:tr w:rsidR="00656D87" w:rsidTr="00C05FAA">
        <w:tc>
          <w:tcPr>
            <w:tcW w:w="3588" w:type="dxa"/>
            <w:shd w:val="clear" w:color="auto" w:fill="BFBFBF" w:themeFill="background1" w:themeFillShade="BF"/>
          </w:tcPr>
          <w:p w:rsidR="00656D87" w:rsidRPr="004C47FA" w:rsidRDefault="00656D87" w:rsidP="00C05FAA">
            <w:pPr>
              <w:jc w:val="both"/>
              <w:rPr>
                <w:b/>
              </w:rPr>
            </w:pPr>
            <w:r w:rsidRPr="004C47FA">
              <w:rPr>
                <w:b/>
              </w:rPr>
              <w:t>Total teacher emoluments</w:t>
            </w:r>
          </w:p>
        </w:tc>
        <w:tc>
          <w:tcPr>
            <w:tcW w:w="1196" w:type="dxa"/>
            <w:shd w:val="clear" w:color="auto" w:fill="BFBFBF" w:themeFill="background1" w:themeFillShade="BF"/>
          </w:tcPr>
          <w:p w:rsidR="00656D87" w:rsidRPr="004C47FA" w:rsidRDefault="00656D87" w:rsidP="00C05FAA">
            <w:pPr>
              <w:jc w:val="center"/>
            </w:pPr>
          </w:p>
        </w:tc>
        <w:tc>
          <w:tcPr>
            <w:tcW w:w="1196" w:type="dxa"/>
            <w:shd w:val="clear" w:color="auto" w:fill="BFBFBF" w:themeFill="background1" w:themeFillShade="BF"/>
          </w:tcPr>
          <w:p w:rsidR="00656D87" w:rsidRPr="004C47FA" w:rsidRDefault="00656D87" w:rsidP="00C05FAA">
            <w:pPr>
              <w:jc w:val="center"/>
            </w:pPr>
          </w:p>
        </w:tc>
        <w:tc>
          <w:tcPr>
            <w:tcW w:w="1196" w:type="dxa"/>
            <w:shd w:val="clear" w:color="auto" w:fill="BFBFBF" w:themeFill="background1" w:themeFillShade="BF"/>
          </w:tcPr>
          <w:p w:rsidR="00656D87" w:rsidRPr="004C47FA" w:rsidRDefault="00656D87" w:rsidP="00C05FAA">
            <w:pPr>
              <w:jc w:val="center"/>
            </w:pPr>
          </w:p>
        </w:tc>
        <w:tc>
          <w:tcPr>
            <w:tcW w:w="1197" w:type="dxa"/>
            <w:shd w:val="clear" w:color="auto" w:fill="BFBFBF" w:themeFill="background1" w:themeFillShade="BF"/>
          </w:tcPr>
          <w:p w:rsidR="00656D87" w:rsidRPr="004C47FA" w:rsidRDefault="00656D87" w:rsidP="00C05FAA">
            <w:pPr>
              <w:jc w:val="center"/>
            </w:pPr>
          </w:p>
        </w:tc>
        <w:tc>
          <w:tcPr>
            <w:tcW w:w="1197" w:type="dxa"/>
            <w:shd w:val="clear" w:color="auto" w:fill="BFBFBF" w:themeFill="background1" w:themeFillShade="BF"/>
          </w:tcPr>
          <w:p w:rsidR="00656D87" w:rsidRPr="004C47FA" w:rsidRDefault="00656D87" w:rsidP="00C05FAA">
            <w:pPr>
              <w:jc w:val="center"/>
            </w:pPr>
          </w:p>
        </w:tc>
      </w:tr>
      <w:tr w:rsidR="00656D87" w:rsidTr="00C05FAA">
        <w:tc>
          <w:tcPr>
            <w:tcW w:w="3588" w:type="dxa"/>
            <w:shd w:val="clear" w:color="auto" w:fill="FFFFFF" w:themeFill="background1"/>
          </w:tcPr>
          <w:p w:rsidR="00656D87" w:rsidRDefault="00656D87" w:rsidP="00C05FAA">
            <w:pPr>
              <w:jc w:val="both"/>
            </w:pPr>
            <w:r>
              <w:t>- status quo (total Vatu million)</w:t>
            </w:r>
          </w:p>
        </w:tc>
        <w:tc>
          <w:tcPr>
            <w:tcW w:w="1196" w:type="dxa"/>
            <w:shd w:val="clear" w:color="auto" w:fill="FFFFFF" w:themeFill="background1"/>
          </w:tcPr>
          <w:p w:rsidR="00656D87" w:rsidRPr="004C47FA" w:rsidRDefault="00656D87" w:rsidP="00C05FAA">
            <w:pPr>
              <w:jc w:val="center"/>
            </w:pPr>
            <w:r>
              <w:t>2,583.8</w:t>
            </w:r>
          </w:p>
        </w:tc>
        <w:tc>
          <w:tcPr>
            <w:tcW w:w="1196" w:type="dxa"/>
            <w:shd w:val="clear" w:color="auto" w:fill="FFFFFF" w:themeFill="background1"/>
          </w:tcPr>
          <w:p w:rsidR="00656D87" w:rsidRPr="004C47FA" w:rsidRDefault="00656D87" w:rsidP="00C05FAA">
            <w:pPr>
              <w:jc w:val="center"/>
            </w:pPr>
            <w:r>
              <w:t>2,618.4</w:t>
            </w:r>
          </w:p>
        </w:tc>
        <w:tc>
          <w:tcPr>
            <w:tcW w:w="1196" w:type="dxa"/>
            <w:shd w:val="clear" w:color="auto" w:fill="FFFFFF" w:themeFill="background1"/>
          </w:tcPr>
          <w:p w:rsidR="00656D87" w:rsidRPr="004C47FA" w:rsidRDefault="00656D87" w:rsidP="00C05FAA">
            <w:pPr>
              <w:jc w:val="center"/>
            </w:pPr>
            <w:r>
              <w:t>2,662.9</w:t>
            </w:r>
          </w:p>
        </w:tc>
        <w:tc>
          <w:tcPr>
            <w:tcW w:w="1197" w:type="dxa"/>
            <w:shd w:val="clear" w:color="auto" w:fill="FFFFFF" w:themeFill="background1"/>
          </w:tcPr>
          <w:p w:rsidR="00656D87" w:rsidRPr="004C47FA" w:rsidRDefault="00656D87" w:rsidP="00C05FAA">
            <w:pPr>
              <w:jc w:val="center"/>
            </w:pPr>
            <w:r>
              <w:t>2,722.5</w:t>
            </w:r>
          </w:p>
        </w:tc>
        <w:tc>
          <w:tcPr>
            <w:tcW w:w="1197" w:type="dxa"/>
            <w:shd w:val="clear" w:color="auto" w:fill="FFFFFF" w:themeFill="background1"/>
          </w:tcPr>
          <w:p w:rsidR="00656D87" w:rsidRPr="004C47FA" w:rsidRDefault="00656D87" w:rsidP="00C05FAA">
            <w:pPr>
              <w:jc w:val="center"/>
            </w:pPr>
            <w:r>
              <w:t>2,790.8</w:t>
            </w:r>
          </w:p>
        </w:tc>
      </w:tr>
      <w:tr w:rsidR="00656D87" w:rsidTr="00C05FAA">
        <w:tc>
          <w:tcPr>
            <w:tcW w:w="3588" w:type="dxa"/>
            <w:shd w:val="clear" w:color="auto" w:fill="FFFFFF" w:themeFill="background1"/>
          </w:tcPr>
          <w:p w:rsidR="00656D87" w:rsidRDefault="00656D87" w:rsidP="00C05FAA">
            <w:pPr>
              <w:jc w:val="both"/>
            </w:pPr>
            <w:r>
              <w:t>- constrained UPE (Vatu million)</w:t>
            </w:r>
          </w:p>
        </w:tc>
        <w:tc>
          <w:tcPr>
            <w:tcW w:w="1196" w:type="dxa"/>
            <w:shd w:val="clear" w:color="auto" w:fill="FFFFFF" w:themeFill="background1"/>
          </w:tcPr>
          <w:p w:rsidR="00656D87" w:rsidRPr="004C47FA" w:rsidRDefault="00656D87" w:rsidP="00C05FAA">
            <w:pPr>
              <w:jc w:val="center"/>
            </w:pPr>
            <w:r>
              <w:t>2,630.5</w:t>
            </w:r>
          </w:p>
        </w:tc>
        <w:tc>
          <w:tcPr>
            <w:tcW w:w="1196" w:type="dxa"/>
            <w:shd w:val="clear" w:color="auto" w:fill="FFFFFF" w:themeFill="background1"/>
          </w:tcPr>
          <w:p w:rsidR="00656D87" w:rsidRPr="004C47FA" w:rsidRDefault="00656D87" w:rsidP="00C05FAA">
            <w:pPr>
              <w:jc w:val="center"/>
            </w:pPr>
            <w:r>
              <w:t>2,712.2</w:t>
            </w:r>
          </w:p>
        </w:tc>
        <w:tc>
          <w:tcPr>
            <w:tcW w:w="1196" w:type="dxa"/>
            <w:shd w:val="clear" w:color="auto" w:fill="FFFFFF" w:themeFill="background1"/>
          </w:tcPr>
          <w:p w:rsidR="00656D87" w:rsidRPr="004C47FA" w:rsidRDefault="00656D87" w:rsidP="00C05FAA">
            <w:pPr>
              <w:jc w:val="center"/>
            </w:pPr>
            <w:r>
              <w:t>2,827.7</w:t>
            </w:r>
          </w:p>
        </w:tc>
        <w:tc>
          <w:tcPr>
            <w:tcW w:w="1197" w:type="dxa"/>
            <w:shd w:val="clear" w:color="auto" w:fill="FFFFFF" w:themeFill="background1"/>
          </w:tcPr>
          <w:p w:rsidR="00656D87" w:rsidRPr="004C47FA" w:rsidRDefault="00656D87" w:rsidP="00C05FAA">
            <w:pPr>
              <w:jc w:val="center"/>
            </w:pPr>
            <w:r>
              <w:t>2,983.7</w:t>
            </w:r>
          </w:p>
        </w:tc>
        <w:tc>
          <w:tcPr>
            <w:tcW w:w="1197" w:type="dxa"/>
            <w:shd w:val="clear" w:color="auto" w:fill="FFFFFF" w:themeFill="background1"/>
          </w:tcPr>
          <w:p w:rsidR="00656D87" w:rsidRPr="004C47FA" w:rsidRDefault="00656D87" w:rsidP="00C05FAA">
            <w:pPr>
              <w:jc w:val="center"/>
            </w:pPr>
            <w:r>
              <w:t>3,044.3</w:t>
            </w:r>
          </w:p>
        </w:tc>
      </w:tr>
      <w:tr w:rsidR="00656D87" w:rsidTr="00C05FAA">
        <w:tc>
          <w:tcPr>
            <w:tcW w:w="9570" w:type="dxa"/>
            <w:gridSpan w:val="6"/>
          </w:tcPr>
          <w:p w:rsidR="00656D87" w:rsidRDefault="00656D87" w:rsidP="00C05FAA">
            <w:pPr>
              <w:jc w:val="both"/>
            </w:pPr>
            <w:r>
              <w:t xml:space="preserve">Sources: </w:t>
            </w:r>
            <w:proofErr w:type="spellStart"/>
            <w:r>
              <w:t>Bennell</w:t>
            </w:r>
            <w:proofErr w:type="spellEnd"/>
            <w:r>
              <w:t xml:space="preserve"> (March 2012), especially pages 66-67; and 2012 budget dissection line by line to calculate average personal emoluments for primary and secondary teachers in 2012.</w:t>
            </w:r>
            <w:r>
              <w:rPr>
                <w:rStyle w:val="FootnoteReference"/>
              </w:rPr>
              <w:footnoteReference w:id="58"/>
            </w:r>
            <w:r>
              <w:t xml:space="preserve">  </w:t>
            </w:r>
          </w:p>
        </w:tc>
      </w:tr>
    </w:tbl>
    <w:p w:rsidR="00656D87" w:rsidRDefault="00656D87" w:rsidP="00656D87">
      <w:pPr>
        <w:jc w:val="both"/>
      </w:pPr>
    </w:p>
    <w:p w:rsidR="00656D87" w:rsidRDefault="00656D87" w:rsidP="00656D87">
      <w:pPr>
        <w:jc w:val="both"/>
      </w:pPr>
      <w:r>
        <w:t>Features of the constrained UPE/UBE scenario to note are:</w:t>
      </w:r>
    </w:p>
    <w:p w:rsidR="00656D87" w:rsidRDefault="00656D87" w:rsidP="00656D87">
      <w:pPr>
        <w:jc w:val="both"/>
      </w:pPr>
    </w:p>
    <w:p w:rsidR="00656D87" w:rsidRDefault="00656D87" w:rsidP="00D34AA0">
      <w:pPr>
        <w:pStyle w:val="ListParagraph"/>
        <w:numPr>
          <w:ilvl w:val="0"/>
          <w:numId w:val="59"/>
        </w:numPr>
        <w:jc w:val="both"/>
      </w:pPr>
      <w:r>
        <w:t xml:space="preserve">Primary teacher numbers and emoluments are projected to be lower than under the status quo scenario.  This reflects the projected reductions in the primary Gross Enrolment and Repetition Rates.  </w:t>
      </w:r>
    </w:p>
    <w:p w:rsidR="00656D87" w:rsidRDefault="00656D87" w:rsidP="00D34AA0">
      <w:pPr>
        <w:pStyle w:val="ListParagraph"/>
        <w:numPr>
          <w:ilvl w:val="0"/>
          <w:numId w:val="59"/>
        </w:numPr>
        <w:jc w:val="both"/>
      </w:pPr>
      <w:r>
        <w:t>There is a projected increase of some 37% between 2013 and 2017 in secondary numbers and emoluments, compared to only a 5% increase under the status quo scenario.  This reflects the projected increases in Transition Rates from primary to junior secondary and from junior to senior secondary under the constrained UPE/UBE scenario.</w:t>
      </w:r>
    </w:p>
    <w:p w:rsidR="00656D87" w:rsidRDefault="00656D87" w:rsidP="00160C19">
      <w:pPr>
        <w:pStyle w:val="Heading2"/>
      </w:pPr>
      <w:bookmarkStart w:id="219" w:name="_Toc341210811"/>
      <w:bookmarkStart w:id="220" w:name="_Toc341210930"/>
      <w:bookmarkStart w:id="221" w:name="_Toc341265748"/>
      <w:bookmarkStart w:id="222" w:name="_Toc343257311"/>
      <w:bookmarkStart w:id="223" w:name="_Toc343257425"/>
      <w:bookmarkStart w:id="224" w:name="_Toc348711346"/>
      <w:r w:rsidRPr="00D14A25">
        <w:t>2.5.</w:t>
      </w:r>
      <w:r>
        <w:t>3</w:t>
      </w:r>
      <w:r w:rsidRPr="00D14A25">
        <w:t xml:space="preserve"> School grants</w:t>
      </w:r>
      <w:bookmarkEnd w:id="219"/>
      <w:bookmarkEnd w:id="220"/>
      <w:bookmarkEnd w:id="221"/>
      <w:bookmarkEnd w:id="222"/>
      <w:bookmarkEnd w:id="223"/>
      <w:bookmarkEnd w:id="224"/>
    </w:p>
    <w:p w:rsidR="00656D87" w:rsidRDefault="00656D87" w:rsidP="00656D87">
      <w:pPr>
        <w:jc w:val="both"/>
      </w:pPr>
    </w:p>
    <w:p w:rsidR="00D339A4" w:rsidRDefault="00656D87" w:rsidP="00656D87">
      <w:pPr>
        <w:jc w:val="both"/>
      </w:pPr>
      <w:r>
        <w:t xml:space="preserve">The following projections for </w:t>
      </w:r>
      <w:proofErr w:type="spellStart"/>
      <w:r>
        <w:t>GoV</w:t>
      </w:r>
      <w:proofErr w:type="spellEnd"/>
      <w:r>
        <w:t xml:space="preserve"> funding of school grants are based on the enrolment numbers projected for the status quo and constrained UPE/UBE scenarios, the 2012 rates of per-student grant and the </w:t>
      </w:r>
      <w:proofErr w:type="spellStart"/>
      <w:r>
        <w:t>GoV’s</w:t>
      </w:r>
      <w:proofErr w:type="spellEnd"/>
      <w:r>
        <w:t xml:space="preserve"> commitment to increase its share of funding of grants for Year 1-6 students by 25% each year until Pool Partner funding is phased out.</w:t>
      </w:r>
      <w:r>
        <w:rPr>
          <w:rStyle w:val="FootnoteReference"/>
        </w:rPr>
        <w:footnoteReference w:id="59"/>
      </w:r>
      <w:r w:rsidR="00D339A4">
        <w:br w:type="page"/>
      </w:r>
    </w:p>
    <w:tbl>
      <w:tblPr>
        <w:tblStyle w:val="TableGrid"/>
        <w:tblW w:w="0" w:type="auto"/>
        <w:tblLook w:val="04A0" w:firstRow="1" w:lastRow="0" w:firstColumn="1" w:lastColumn="0" w:noHBand="0" w:noVBand="1"/>
        <w:tblCaption w:val="Table 39: Requirements for GoV funding of school grants"/>
      </w:tblPr>
      <w:tblGrid>
        <w:gridCol w:w="2734"/>
        <w:gridCol w:w="1367"/>
        <w:gridCol w:w="1367"/>
        <w:gridCol w:w="1367"/>
        <w:gridCol w:w="1367"/>
        <w:gridCol w:w="1368"/>
      </w:tblGrid>
      <w:tr w:rsidR="00D339A4" w:rsidTr="00566A2B">
        <w:trPr>
          <w:tblHeader/>
        </w:trPr>
        <w:tc>
          <w:tcPr>
            <w:tcW w:w="9570" w:type="dxa"/>
            <w:gridSpan w:val="6"/>
            <w:shd w:val="clear" w:color="auto" w:fill="BFBFBF" w:themeFill="background1" w:themeFillShade="BF"/>
          </w:tcPr>
          <w:p w:rsidR="00D339A4" w:rsidRDefault="00D339A4" w:rsidP="00D339A4">
            <w:r>
              <w:lastRenderedPageBreak/>
              <w:t xml:space="preserve">Table 39: Requirements for </w:t>
            </w:r>
            <w:proofErr w:type="spellStart"/>
            <w:r>
              <w:t>GoV</w:t>
            </w:r>
            <w:proofErr w:type="spellEnd"/>
            <w:r>
              <w:t xml:space="preserve"> funding of school grants</w:t>
            </w:r>
          </w:p>
        </w:tc>
      </w:tr>
      <w:tr w:rsidR="00656D87" w:rsidTr="00C05FAA">
        <w:tc>
          <w:tcPr>
            <w:tcW w:w="2734" w:type="dxa"/>
          </w:tcPr>
          <w:p w:rsidR="00656D87" w:rsidRDefault="00656D87" w:rsidP="00C05FAA">
            <w:pPr>
              <w:jc w:val="both"/>
            </w:pPr>
          </w:p>
        </w:tc>
        <w:tc>
          <w:tcPr>
            <w:tcW w:w="1367" w:type="dxa"/>
          </w:tcPr>
          <w:p w:rsidR="00656D87" w:rsidRDefault="00656D87" w:rsidP="00C05FAA">
            <w:pPr>
              <w:jc w:val="center"/>
            </w:pPr>
            <w:r>
              <w:t>2013</w:t>
            </w:r>
          </w:p>
          <w:p w:rsidR="00656D87" w:rsidRDefault="00656D87" w:rsidP="00C05FAA">
            <w:pPr>
              <w:jc w:val="center"/>
            </w:pPr>
            <w:r>
              <w:t>VT million</w:t>
            </w:r>
          </w:p>
        </w:tc>
        <w:tc>
          <w:tcPr>
            <w:tcW w:w="1367" w:type="dxa"/>
          </w:tcPr>
          <w:p w:rsidR="00656D87" w:rsidRDefault="00656D87" w:rsidP="00C05FAA">
            <w:pPr>
              <w:jc w:val="center"/>
            </w:pPr>
            <w:r>
              <w:t>2014</w:t>
            </w:r>
          </w:p>
          <w:p w:rsidR="00656D87" w:rsidRDefault="00656D87" w:rsidP="00C05FAA">
            <w:pPr>
              <w:jc w:val="center"/>
            </w:pPr>
            <w:r>
              <w:t>VT million</w:t>
            </w:r>
          </w:p>
        </w:tc>
        <w:tc>
          <w:tcPr>
            <w:tcW w:w="1367" w:type="dxa"/>
          </w:tcPr>
          <w:p w:rsidR="00656D87" w:rsidRDefault="00656D87" w:rsidP="00C05FAA">
            <w:pPr>
              <w:jc w:val="center"/>
            </w:pPr>
            <w:r>
              <w:t>2015</w:t>
            </w:r>
          </w:p>
          <w:p w:rsidR="00656D87" w:rsidRDefault="00656D87" w:rsidP="00C05FAA">
            <w:pPr>
              <w:jc w:val="center"/>
            </w:pPr>
            <w:r>
              <w:t>VT million</w:t>
            </w:r>
          </w:p>
        </w:tc>
        <w:tc>
          <w:tcPr>
            <w:tcW w:w="1367" w:type="dxa"/>
          </w:tcPr>
          <w:p w:rsidR="00656D87" w:rsidRDefault="00656D87" w:rsidP="00C05FAA">
            <w:pPr>
              <w:jc w:val="center"/>
            </w:pPr>
            <w:r>
              <w:t>2016</w:t>
            </w:r>
          </w:p>
          <w:p w:rsidR="00656D87" w:rsidRDefault="00656D87" w:rsidP="00C05FAA">
            <w:pPr>
              <w:jc w:val="center"/>
            </w:pPr>
            <w:r>
              <w:t>VT million</w:t>
            </w:r>
          </w:p>
        </w:tc>
        <w:tc>
          <w:tcPr>
            <w:tcW w:w="1368" w:type="dxa"/>
          </w:tcPr>
          <w:p w:rsidR="00656D87" w:rsidRDefault="00656D87" w:rsidP="00C05FAA">
            <w:pPr>
              <w:jc w:val="center"/>
            </w:pPr>
            <w:r>
              <w:t>2017</w:t>
            </w:r>
          </w:p>
          <w:p w:rsidR="00656D87" w:rsidRDefault="00656D87" w:rsidP="00C05FAA">
            <w:pPr>
              <w:jc w:val="center"/>
            </w:pPr>
            <w:r>
              <w:t>VT million</w:t>
            </w:r>
          </w:p>
        </w:tc>
      </w:tr>
      <w:tr w:rsidR="00656D87" w:rsidTr="00C05FAA">
        <w:tc>
          <w:tcPr>
            <w:tcW w:w="2734" w:type="dxa"/>
            <w:shd w:val="clear" w:color="auto" w:fill="BFBFBF" w:themeFill="background1" w:themeFillShade="BF"/>
          </w:tcPr>
          <w:p w:rsidR="00656D87" w:rsidRDefault="00656D87" w:rsidP="00C05FAA">
            <w:pPr>
              <w:jc w:val="both"/>
            </w:pPr>
            <w:r>
              <w:t>Years 1-6</w:t>
            </w: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8" w:type="dxa"/>
            <w:shd w:val="clear" w:color="auto" w:fill="BFBFBF" w:themeFill="background1" w:themeFillShade="BF"/>
          </w:tcPr>
          <w:p w:rsidR="00656D87" w:rsidRDefault="00656D87" w:rsidP="00C05FAA">
            <w:pPr>
              <w:jc w:val="center"/>
            </w:pPr>
          </w:p>
        </w:tc>
      </w:tr>
      <w:tr w:rsidR="00656D87" w:rsidTr="00C05FAA">
        <w:tc>
          <w:tcPr>
            <w:tcW w:w="2734" w:type="dxa"/>
          </w:tcPr>
          <w:p w:rsidR="00656D87" w:rsidRDefault="00656D87" w:rsidP="00C05FAA">
            <w:pPr>
              <w:jc w:val="right"/>
            </w:pPr>
            <w:r>
              <w:t>Status quo</w:t>
            </w:r>
          </w:p>
        </w:tc>
        <w:tc>
          <w:tcPr>
            <w:tcW w:w="1367" w:type="dxa"/>
          </w:tcPr>
          <w:p w:rsidR="00656D87" w:rsidRDefault="00656D87" w:rsidP="00C05FAA">
            <w:pPr>
              <w:jc w:val="center"/>
            </w:pPr>
            <w:r>
              <w:t>195.3</w:t>
            </w:r>
          </w:p>
        </w:tc>
        <w:tc>
          <w:tcPr>
            <w:tcW w:w="1367" w:type="dxa"/>
          </w:tcPr>
          <w:p w:rsidR="00656D87" w:rsidRDefault="00656D87" w:rsidP="00C05FAA">
            <w:pPr>
              <w:jc w:val="center"/>
            </w:pPr>
            <w:r>
              <w:t>244.1</w:t>
            </w:r>
          </w:p>
        </w:tc>
        <w:tc>
          <w:tcPr>
            <w:tcW w:w="1367" w:type="dxa"/>
          </w:tcPr>
          <w:p w:rsidR="00656D87" w:rsidRDefault="00656D87" w:rsidP="00C05FAA">
            <w:pPr>
              <w:jc w:val="center"/>
            </w:pPr>
            <w:r>
              <w:t>305.2</w:t>
            </w:r>
          </w:p>
        </w:tc>
        <w:tc>
          <w:tcPr>
            <w:tcW w:w="1367" w:type="dxa"/>
          </w:tcPr>
          <w:p w:rsidR="00656D87" w:rsidRDefault="00656D87" w:rsidP="00C05FAA">
            <w:pPr>
              <w:jc w:val="center"/>
            </w:pPr>
            <w:r>
              <w:t>381.5</w:t>
            </w:r>
          </w:p>
        </w:tc>
        <w:tc>
          <w:tcPr>
            <w:tcW w:w="1368" w:type="dxa"/>
          </w:tcPr>
          <w:p w:rsidR="00656D87" w:rsidRDefault="00656D87" w:rsidP="00C05FAA">
            <w:pPr>
              <w:jc w:val="center"/>
            </w:pPr>
            <w:r>
              <w:t>409.7</w:t>
            </w:r>
          </w:p>
        </w:tc>
      </w:tr>
      <w:tr w:rsidR="00656D87" w:rsidTr="00C05FAA">
        <w:tc>
          <w:tcPr>
            <w:tcW w:w="2734" w:type="dxa"/>
          </w:tcPr>
          <w:p w:rsidR="00656D87" w:rsidRDefault="00656D87" w:rsidP="00C05FAA">
            <w:pPr>
              <w:jc w:val="right"/>
            </w:pPr>
            <w:r>
              <w:t>Constrained UPE</w:t>
            </w:r>
          </w:p>
        </w:tc>
        <w:tc>
          <w:tcPr>
            <w:tcW w:w="1367" w:type="dxa"/>
          </w:tcPr>
          <w:p w:rsidR="00656D87" w:rsidRDefault="00656D87" w:rsidP="00C05FAA">
            <w:pPr>
              <w:jc w:val="center"/>
            </w:pPr>
            <w:r>
              <w:t>195.3</w:t>
            </w:r>
          </w:p>
        </w:tc>
        <w:tc>
          <w:tcPr>
            <w:tcW w:w="1367" w:type="dxa"/>
          </w:tcPr>
          <w:p w:rsidR="00656D87" w:rsidRDefault="00656D87" w:rsidP="00C05FAA">
            <w:pPr>
              <w:jc w:val="center"/>
            </w:pPr>
            <w:r>
              <w:t>244.1</w:t>
            </w:r>
          </w:p>
        </w:tc>
        <w:tc>
          <w:tcPr>
            <w:tcW w:w="1367" w:type="dxa"/>
          </w:tcPr>
          <w:p w:rsidR="00656D87" w:rsidRDefault="00656D87" w:rsidP="00C05FAA">
            <w:pPr>
              <w:jc w:val="center"/>
            </w:pPr>
            <w:r>
              <w:t>305.2</w:t>
            </w:r>
          </w:p>
        </w:tc>
        <w:tc>
          <w:tcPr>
            <w:tcW w:w="1367" w:type="dxa"/>
          </w:tcPr>
          <w:p w:rsidR="00656D87" w:rsidRDefault="00656D87" w:rsidP="00C05FAA">
            <w:pPr>
              <w:jc w:val="center"/>
            </w:pPr>
            <w:r>
              <w:t>381.5</w:t>
            </w:r>
          </w:p>
        </w:tc>
        <w:tc>
          <w:tcPr>
            <w:tcW w:w="1368" w:type="dxa"/>
          </w:tcPr>
          <w:p w:rsidR="00656D87" w:rsidRDefault="00656D87" w:rsidP="00C05FAA">
            <w:pPr>
              <w:jc w:val="center"/>
            </w:pPr>
            <w:r>
              <w:t>396.0</w:t>
            </w:r>
          </w:p>
        </w:tc>
      </w:tr>
      <w:tr w:rsidR="00656D87" w:rsidTr="00C05FAA">
        <w:tc>
          <w:tcPr>
            <w:tcW w:w="2734" w:type="dxa"/>
            <w:shd w:val="clear" w:color="auto" w:fill="BFBFBF" w:themeFill="background1" w:themeFillShade="BF"/>
          </w:tcPr>
          <w:p w:rsidR="00656D87" w:rsidRDefault="00656D87" w:rsidP="00C05FAA">
            <w:pPr>
              <w:jc w:val="both"/>
            </w:pPr>
            <w:r>
              <w:t>Years 7-8</w:t>
            </w: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8" w:type="dxa"/>
            <w:shd w:val="clear" w:color="auto" w:fill="BFBFBF" w:themeFill="background1" w:themeFillShade="BF"/>
          </w:tcPr>
          <w:p w:rsidR="00656D87" w:rsidRDefault="00656D87" w:rsidP="00C05FAA">
            <w:pPr>
              <w:jc w:val="center"/>
            </w:pPr>
          </w:p>
        </w:tc>
      </w:tr>
      <w:tr w:rsidR="00656D87" w:rsidTr="00C05FAA">
        <w:tc>
          <w:tcPr>
            <w:tcW w:w="2734" w:type="dxa"/>
          </w:tcPr>
          <w:p w:rsidR="00656D87" w:rsidRDefault="00656D87" w:rsidP="00C05FAA">
            <w:pPr>
              <w:jc w:val="right"/>
            </w:pPr>
            <w:r>
              <w:t>Status quo</w:t>
            </w:r>
          </w:p>
        </w:tc>
        <w:tc>
          <w:tcPr>
            <w:tcW w:w="1367" w:type="dxa"/>
          </w:tcPr>
          <w:p w:rsidR="00656D87" w:rsidRDefault="00656D87" w:rsidP="00C05FAA">
            <w:pPr>
              <w:jc w:val="center"/>
            </w:pPr>
            <w:r>
              <w:t>27.8</w:t>
            </w:r>
          </w:p>
        </w:tc>
        <w:tc>
          <w:tcPr>
            <w:tcW w:w="1367" w:type="dxa"/>
          </w:tcPr>
          <w:p w:rsidR="00656D87" w:rsidRDefault="00656D87" w:rsidP="00C05FAA">
            <w:pPr>
              <w:jc w:val="center"/>
            </w:pPr>
            <w:r>
              <w:t>28.0</w:t>
            </w:r>
          </w:p>
        </w:tc>
        <w:tc>
          <w:tcPr>
            <w:tcW w:w="1367" w:type="dxa"/>
          </w:tcPr>
          <w:p w:rsidR="00656D87" w:rsidRDefault="00656D87" w:rsidP="00C05FAA">
            <w:pPr>
              <w:jc w:val="center"/>
            </w:pPr>
            <w:r>
              <w:t>28.2</w:t>
            </w:r>
          </w:p>
        </w:tc>
        <w:tc>
          <w:tcPr>
            <w:tcW w:w="1367" w:type="dxa"/>
          </w:tcPr>
          <w:p w:rsidR="00656D87" w:rsidRDefault="00656D87" w:rsidP="00C05FAA">
            <w:pPr>
              <w:jc w:val="center"/>
            </w:pPr>
            <w:r>
              <w:t>28.4</w:t>
            </w:r>
          </w:p>
        </w:tc>
        <w:tc>
          <w:tcPr>
            <w:tcW w:w="1368" w:type="dxa"/>
          </w:tcPr>
          <w:p w:rsidR="00656D87" w:rsidRDefault="00656D87" w:rsidP="00C05FAA">
            <w:pPr>
              <w:jc w:val="center"/>
            </w:pPr>
            <w:r>
              <w:t>28.6</w:t>
            </w:r>
          </w:p>
        </w:tc>
      </w:tr>
      <w:tr w:rsidR="00656D87" w:rsidTr="00C05FAA">
        <w:tc>
          <w:tcPr>
            <w:tcW w:w="2734" w:type="dxa"/>
          </w:tcPr>
          <w:p w:rsidR="00656D87" w:rsidRDefault="00656D87" w:rsidP="00C05FAA">
            <w:pPr>
              <w:jc w:val="right"/>
            </w:pPr>
            <w:r>
              <w:t>Constrained UPE</w:t>
            </w:r>
          </w:p>
        </w:tc>
        <w:tc>
          <w:tcPr>
            <w:tcW w:w="1367" w:type="dxa"/>
          </w:tcPr>
          <w:p w:rsidR="00656D87" w:rsidRDefault="00656D87" w:rsidP="00C05FAA">
            <w:pPr>
              <w:jc w:val="center"/>
            </w:pPr>
            <w:r>
              <w:t>29.3</w:t>
            </w:r>
          </w:p>
        </w:tc>
        <w:tc>
          <w:tcPr>
            <w:tcW w:w="1367" w:type="dxa"/>
          </w:tcPr>
          <w:p w:rsidR="00656D87" w:rsidRDefault="00656D87" w:rsidP="00C05FAA">
            <w:pPr>
              <w:jc w:val="center"/>
            </w:pPr>
            <w:r>
              <w:t>31.4</w:t>
            </w:r>
          </w:p>
        </w:tc>
        <w:tc>
          <w:tcPr>
            <w:tcW w:w="1367" w:type="dxa"/>
          </w:tcPr>
          <w:p w:rsidR="00656D87" w:rsidRDefault="00656D87" w:rsidP="00C05FAA">
            <w:pPr>
              <w:jc w:val="center"/>
            </w:pPr>
            <w:r>
              <w:t>34.0</w:t>
            </w:r>
          </w:p>
        </w:tc>
        <w:tc>
          <w:tcPr>
            <w:tcW w:w="1367" w:type="dxa"/>
          </w:tcPr>
          <w:p w:rsidR="00656D87" w:rsidRDefault="00656D87" w:rsidP="00C05FAA">
            <w:pPr>
              <w:jc w:val="center"/>
            </w:pPr>
            <w:r>
              <w:t>37.2</w:t>
            </w:r>
          </w:p>
        </w:tc>
        <w:tc>
          <w:tcPr>
            <w:tcW w:w="1368" w:type="dxa"/>
          </w:tcPr>
          <w:p w:rsidR="00656D87" w:rsidRDefault="00656D87" w:rsidP="00C05FAA">
            <w:pPr>
              <w:jc w:val="center"/>
            </w:pPr>
            <w:r>
              <w:t>39.8</w:t>
            </w:r>
          </w:p>
        </w:tc>
      </w:tr>
      <w:tr w:rsidR="00656D87" w:rsidTr="00C05FAA">
        <w:tc>
          <w:tcPr>
            <w:tcW w:w="2734" w:type="dxa"/>
            <w:shd w:val="clear" w:color="auto" w:fill="BFBFBF" w:themeFill="background1" w:themeFillShade="BF"/>
          </w:tcPr>
          <w:p w:rsidR="00656D87" w:rsidRDefault="00656D87" w:rsidP="00C05FAA">
            <w:pPr>
              <w:jc w:val="both"/>
            </w:pPr>
            <w:r>
              <w:t>Years 9-14</w:t>
            </w: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8" w:type="dxa"/>
            <w:shd w:val="clear" w:color="auto" w:fill="BFBFBF" w:themeFill="background1" w:themeFillShade="BF"/>
          </w:tcPr>
          <w:p w:rsidR="00656D87" w:rsidRDefault="00656D87" w:rsidP="00C05FAA">
            <w:pPr>
              <w:jc w:val="center"/>
            </w:pPr>
          </w:p>
        </w:tc>
      </w:tr>
      <w:tr w:rsidR="00656D87" w:rsidTr="00C05FAA">
        <w:tc>
          <w:tcPr>
            <w:tcW w:w="2734" w:type="dxa"/>
          </w:tcPr>
          <w:p w:rsidR="00656D87" w:rsidRDefault="00656D87" w:rsidP="00C05FAA">
            <w:pPr>
              <w:jc w:val="right"/>
            </w:pPr>
            <w:r>
              <w:t>Status quo</w:t>
            </w:r>
          </w:p>
        </w:tc>
        <w:tc>
          <w:tcPr>
            <w:tcW w:w="1367" w:type="dxa"/>
          </w:tcPr>
          <w:p w:rsidR="00656D87" w:rsidRDefault="00656D87" w:rsidP="00C05FAA">
            <w:pPr>
              <w:jc w:val="center"/>
            </w:pPr>
            <w:r>
              <w:t>80.1</w:t>
            </w:r>
          </w:p>
        </w:tc>
        <w:tc>
          <w:tcPr>
            <w:tcW w:w="1367" w:type="dxa"/>
          </w:tcPr>
          <w:p w:rsidR="00656D87" w:rsidRDefault="00656D87" w:rsidP="00C05FAA">
            <w:pPr>
              <w:jc w:val="center"/>
            </w:pPr>
            <w:r>
              <w:t>80.7</w:t>
            </w:r>
          </w:p>
        </w:tc>
        <w:tc>
          <w:tcPr>
            <w:tcW w:w="1367" w:type="dxa"/>
          </w:tcPr>
          <w:p w:rsidR="00656D87" w:rsidRDefault="00656D87" w:rsidP="00C05FAA">
            <w:pPr>
              <w:jc w:val="center"/>
            </w:pPr>
            <w:r>
              <w:t>81.2</w:t>
            </w:r>
          </w:p>
        </w:tc>
        <w:tc>
          <w:tcPr>
            <w:tcW w:w="1367" w:type="dxa"/>
          </w:tcPr>
          <w:p w:rsidR="00656D87" w:rsidRDefault="00656D87" w:rsidP="00C05FAA">
            <w:pPr>
              <w:jc w:val="center"/>
            </w:pPr>
            <w:r>
              <w:t>81.8</w:t>
            </w:r>
          </w:p>
        </w:tc>
        <w:tc>
          <w:tcPr>
            <w:tcW w:w="1368" w:type="dxa"/>
          </w:tcPr>
          <w:p w:rsidR="00656D87" w:rsidRDefault="00656D87" w:rsidP="00C05FAA">
            <w:pPr>
              <w:jc w:val="center"/>
            </w:pPr>
            <w:r>
              <w:t>82.4</w:t>
            </w:r>
          </w:p>
        </w:tc>
      </w:tr>
      <w:tr w:rsidR="00656D87" w:rsidTr="00C05FAA">
        <w:tc>
          <w:tcPr>
            <w:tcW w:w="2734" w:type="dxa"/>
          </w:tcPr>
          <w:p w:rsidR="00656D87" w:rsidRDefault="00656D87" w:rsidP="00C05FAA">
            <w:pPr>
              <w:jc w:val="right"/>
            </w:pPr>
            <w:r>
              <w:t>Constrained UPE</w:t>
            </w:r>
          </w:p>
        </w:tc>
        <w:tc>
          <w:tcPr>
            <w:tcW w:w="1367" w:type="dxa"/>
          </w:tcPr>
          <w:p w:rsidR="00656D87" w:rsidRDefault="00656D87" w:rsidP="00C05FAA">
            <w:pPr>
              <w:jc w:val="center"/>
            </w:pPr>
            <w:r>
              <w:t>84.5</w:t>
            </w:r>
          </w:p>
        </w:tc>
        <w:tc>
          <w:tcPr>
            <w:tcW w:w="1367" w:type="dxa"/>
          </w:tcPr>
          <w:p w:rsidR="00656D87" w:rsidRDefault="00656D87" w:rsidP="00C05FAA">
            <w:pPr>
              <w:jc w:val="center"/>
            </w:pPr>
            <w:r>
              <w:t>90.3</w:t>
            </w:r>
          </w:p>
        </w:tc>
        <w:tc>
          <w:tcPr>
            <w:tcW w:w="1367" w:type="dxa"/>
          </w:tcPr>
          <w:p w:rsidR="00656D87" w:rsidRDefault="00656D87" w:rsidP="00C05FAA">
            <w:pPr>
              <w:jc w:val="center"/>
            </w:pPr>
            <w:r>
              <w:t>97.8</w:t>
            </w:r>
          </w:p>
        </w:tc>
        <w:tc>
          <w:tcPr>
            <w:tcW w:w="1367" w:type="dxa"/>
          </w:tcPr>
          <w:p w:rsidR="00656D87" w:rsidRDefault="00656D87" w:rsidP="00C05FAA">
            <w:pPr>
              <w:jc w:val="center"/>
            </w:pPr>
            <w:r>
              <w:t>106.9</w:t>
            </w:r>
          </w:p>
        </w:tc>
        <w:tc>
          <w:tcPr>
            <w:tcW w:w="1368" w:type="dxa"/>
          </w:tcPr>
          <w:p w:rsidR="00656D87" w:rsidRDefault="00656D87" w:rsidP="00C05FAA">
            <w:pPr>
              <w:jc w:val="center"/>
            </w:pPr>
            <w:r>
              <w:t>114.4</w:t>
            </w:r>
          </w:p>
        </w:tc>
      </w:tr>
      <w:tr w:rsidR="00656D87" w:rsidTr="00C05FAA">
        <w:tc>
          <w:tcPr>
            <w:tcW w:w="2734" w:type="dxa"/>
            <w:shd w:val="clear" w:color="auto" w:fill="BFBFBF" w:themeFill="background1" w:themeFillShade="BF"/>
          </w:tcPr>
          <w:p w:rsidR="00656D87" w:rsidRDefault="00656D87" w:rsidP="00C05FAA">
            <w:r>
              <w:t>Total school grants</w:t>
            </w: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7" w:type="dxa"/>
            <w:shd w:val="clear" w:color="auto" w:fill="BFBFBF" w:themeFill="background1" w:themeFillShade="BF"/>
          </w:tcPr>
          <w:p w:rsidR="00656D87" w:rsidRDefault="00656D87" w:rsidP="00C05FAA">
            <w:pPr>
              <w:jc w:val="center"/>
            </w:pPr>
          </w:p>
        </w:tc>
        <w:tc>
          <w:tcPr>
            <w:tcW w:w="1368" w:type="dxa"/>
            <w:shd w:val="clear" w:color="auto" w:fill="BFBFBF" w:themeFill="background1" w:themeFillShade="BF"/>
          </w:tcPr>
          <w:p w:rsidR="00656D87" w:rsidRDefault="00656D87" w:rsidP="00C05FAA">
            <w:pPr>
              <w:jc w:val="center"/>
            </w:pPr>
          </w:p>
        </w:tc>
      </w:tr>
      <w:tr w:rsidR="00656D87" w:rsidTr="00C05FAA">
        <w:tc>
          <w:tcPr>
            <w:tcW w:w="2734" w:type="dxa"/>
          </w:tcPr>
          <w:p w:rsidR="00656D87" w:rsidRDefault="00656D87" w:rsidP="00C05FAA">
            <w:pPr>
              <w:jc w:val="right"/>
            </w:pPr>
            <w:r>
              <w:t>Status quo</w:t>
            </w:r>
          </w:p>
        </w:tc>
        <w:tc>
          <w:tcPr>
            <w:tcW w:w="1367" w:type="dxa"/>
          </w:tcPr>
          <w:p w:rsidR="00656D87" w:rsidRDefault="00656D87" w:rsidP="00C05FAA">
            <w:pPr>
              <w:jc w:val="center"/>
            </w:pPr>
            <w:r>
              <w:t>303.2</w:t>
            </w:r>
          </w:p>
        </w:tc>
        <w:tc>
          <w:tcPr>
            <w:tcW w:w="1367" w:type="dxa"/>
          </w:tcPr>
          <w:p w:rsidR="00656D87" w:rsidRDefault="00656D87" w:rsidP="00C05FAA">
            <w:pPr>
              <w:jc w:val="center"/>
            </w:pPr>
            <w:r>
              <w:t>352.8</w:t>
            </w:r>
          </w:p>
        </w:tc>
        <w:tc>
          <w:tcPr>
            <w:tcW w:w="1367" w:type="dxa"/>
          </w:tcPr>
          <w:p w:rsidR="00656D87" w:rsidRDefault="00656D87" w:rsidP="00C05FAA">
            <w:pPr>
              <w:jc w:val="center"/>
            </w:pPr>
            <w:r>
              <w:t>414.6</w:t>
            </w:r>
          </w:p>
        </w:tc>
        <w:tc>
          <w:tcPr>
            <w:tcW w:w="1367" w:type="dxa"/>
          </w:tcPr>
          <w:p w:rsidR="00656D87" w:rsidRDefault="00656D87" w:rsidP="00C05FAA">
            <w:pPr>
              <w:jc w:val="center"/>
            </w:pPr>
            <w:r>
              <w:t>491.7</w:t>
            </w:r>
          </w:p>
        </w:tc>
        <w:tc>
          <w:tcPr>
            <w:tcW w:w="1368" w:type="dxa"/>
          </w:tcPr>
          <w:p w:rsidR="00656D87" w:rsidRDefault="00656D87" w:rsidP="00C05FAA">
            <w:pPr>
              <w:jc w:val="center"/>
            </w:pPr>
            <w:r>
              <w:t>520.7</w:t>
            </w:r>
          </w:p>
        </w:tc>
      </w:tr>
      <w:tr w:rsidR="00656D87" w:rsidTr="00C05FAA">
        <w:tc>
          <w:tcPr>
            <w:tcW w:w="2734" w:type="dxa"/>
          </w:tcPr>
          <w:p w:rsidR="00656D87" w:rsidRDefault="00656D87" w:rsidP="00C05FAA">
            <w:pPr>
              <w:jc w:val="right"/>
            </w:pPr>
            <w:r>
              <w:t>Constrained UPE</w:t>
            </w:r>
          </w:p>
        </w:tc>
        <w:tc>
          <w:tcPr>
            <w:tcW w:w="1367" w:type="dxa"/>
          </w:tcPr>
          <w:p w:rsidR="00656D87" w:rsidRDefault="00656D87" w:rsidP="00C05FAA">
            <w:pPr>
              <w:jc w:val="center"/>
            </w:pPr>
            <w:r>
              <w:t>309.1</w:t>
            </w:r>
          </w:p>
        </w:tc>
        <w:tc>
          <w:tcPr>
            <w:tcW w:w="1367" w:type="dxa"/>
          </w:tcPr>
          <w:p w:rsidR="00656D87" w:rsidRDefault="00656D87" w:rsidP="00C05FAA">
            <w:pPr>
              <w:jc w:val="center"/>
            </w:pPr>
            <w:r>
              <w:t>365.8</w:t>
            </w:r>
          </w:p>
        </w:tc>
        <w:tc>
          <w:tcPr>
            <w:tcW w:w="1367" w:type="dxa"/>
          </w:tcPr>
          <w:p w:rsidR="00656D87" w:rsidRDefault="00656D87" w:rsidP="00C05FAA">
            <w:pPr>
              <w:jc w:val="center"/>
            </w:pPr>
            <w:r>
              <w:t>437.0</w:t>
            </w:r>
          </w:p>
        </w:tc>
        <w:tc>
          <w:tcPr>
            <w:tcW w:w="1367" w:type="dxa"/>
          </w:tcPr>
          <w:p w:rsidR="00656D87" w:rsidRDefault="00656D87" w:rsidP="00C05FAA">
            <w:pPr>
              <w:jc w:val="center"/>
            </w:pPr>
            <w:r>
              <w:t>525.6</w:t>
            </w:r>
          </w:p>
        </w:tc>
        <w:tc>
          <w:tcPr>
            <w:tcW w:w="1368" w:type="dxa"/>
          </w:tcPr>
          <w:p w:rsidR="00656D87" w:rsidRDefault="00656D87" w:rsidP="00C05FAA">
            <w:pPr>
              <w:jc w:val="center"/>
            </w:pPr>
            <w:r>
              <w:t>550.2</w:t>
            </w:r>
          </w:p>
        </w:tc>
      </w:tr>
      <w:tr w:rsidR="00656D87" w:rsidTr="00C05FAA">
        <w:tc>
          <w:tcPr>
            <w:tcW w:w="9570" w:type="dxa"/>
            <w:gridSpan w:val="6"/>
          </w:tcPr>
          <w:p w:rsidR="00656D87" w:rsidRDefault="00656D87" w:rsidP="00C05FAA">
            <w:r>
              <w:t xml:space="preserve">Source: Review projections drawing on </w:t>
            </w:r>
            <w:proofErr w:type="spellStart"/>
            <w:r>
              <w:t>Bennell</w:t>
            </w:r>
            <w:proofErr w:type="spellEnd"/>
            <w:r>
              <w:t xml:space="preserve"> study projections for junior and senior secondary school enrolments.</w:t>
            </w:r>
          </w:p>
        </w:tc>
      </w:tr>
    </w:tbl>
    <w:p w:rsidR="00656D87" w:rsidRDefault="00656D87" w:rsidP="00656D87">
      <w:pPr>
        <w:jc w:val="both"/>
      </w:pPr>
    </w:p>
    <w:p w:rsidR="00656D87" w:rsidRDefault="00656D87" w:rsidP="00656D87">
      <w:pPr>
        <w:jc w:val="both"/>
      </w:pPr>
      <w:r>
        <w:t xml:space="preserve">It is to be noted from Table </w:t>
      </w:r>
      <w:r w:rsidR="005432E0">
        <w:t>39</w:t>
      </w:r>
      <w:r>
        <w:t>:</w:t>
      </w:r>
    </w:p>
    <w:p w:rsidR="00656D87" w:rsidRDefault="00656D87" w:rsidP="00656D87">
      <w:pPr>
        <w:jc w:val="both"/>
      </w:pPr>
    </w:p>
    <w:p w:rsidR="00656D87" w:rsidRDefault="00656D87" w:rsidP="00D34AA0">
      <w:pPr>
        <w:pStyle w:val="ListParagraph"/>
        <w:numPr>
          <w:ilvl w:val="0"/>
          <w:numId w:val="60"/>
        </w:numPr>
        <w:jc w:val="both"/>
      </w:pPr>
      <w:r>
        <w:t xml:space="preserve">Under the status quo scenario </w:t>
      </w:r>
      <w:proofErr w:type="spellStart"/>
      <w:r>
        <w:t>GoV</w:t>
      </w:r>
      <w:proofErr w:type="spellEnd"/>
      <w:r>
        <w:t xml:space="preserve"> funding of Year 1-6 grants simply increases by 25% per year.  The projected increase in Year 1-6 enrolments is such that while Pool Partner funding would decline over the period a (small) Pool Partner contribution would still be required in 2017.</w:t>
      </w:r>
    </w:p>
    <w:p w:rsidR="00656D87" w:rsidRDefault="00656D87" w:rsidP="00D34AA0">
      <w:pPr>
        <w:pStyle w:val="ListParagraph"/>
        <w:numPr>
          <w:ilvl w:val="0"/>
          <w:numId w:val="60"/>
        </w:numPr>
        <w:jc w:val="both"/>
      </w:pPr>
      <w:r>
        <w:t xml:space="preserve">Under the constrained UPE scenario, lower Year 1-6 enrolments (with the projected decline in the Gross Enrolment and Repetition Rates) are such that the </w:t>
      </w:r>
      <w:proofErr w:type="spellStart"/>
      <w:r>
        <w:t>GoV</w:t>
      </w:r>
      <w:proofErr w:type="spellEnd"/>
      <w:r>
        <w:t xml:space="preserve"> would assume full funding responsibility for the related grants in 2017.</w:t>
      </w:r>
    </w:p>
    <w:p w:rsidR="00656D87" w:rsidRDefault="00656D87" w:rsidP="00D34AA0">
      <w:pPr>
        <w:pStyle w:val="ListParagraph"/>
        <w:numPr>
          <w:ilvl w:val="0"/>
          <w:numId w:val="60"/>
        </w:numPr>
        <w:jc w:val="both"/>
      </w:pPr>
      <w:r>
        <w:t xml:space="preserve">The increases in the </w:t>
      </w:r>
      <w:proofErr w:type="spellStart"/>
      <w:r>
        <w:t>GoV</w:t>
      </w:r>
      <w:proofErr w:type="spellEnd"/>
      <w:r>
        <w:t xml:space="preserve"> funding requirements for Years 7-8 and (especially) Years 9-14 under the constrained UPE/UBE scenario reflect the increased Transition Rates projected for this scenario.</w:t>
      </w:r>
    </w:p>
    <w:p w:rsidR="00656D87" w:rsidRDefault="00656D87" w:rsidP="00D34AA0">
      <w:pPr>
        <w:pStyle w:val="ListParagraph"/>
        <w:numPr>
          <w:ilvl w:val="0"/>
          <w:numId w:val="60"/>
        </w:numPr>
        <w:jc w:val="both"/>
      </w:pPr>
      <w:r>
        <w:t xml:space="preserve">The total </w:t>
      </w:r>
      <w:proofErr w:type="spellStart"/>
      <w:r>
        <w:t>GoV</w:t>
      </w:r>
      <w:proofErr w:type="spellEnd"/>
      <w:r>
        <w:t xml:space="preserve"> funding requirement for school grants is projected to increase by over 70% between 2013 and 2017 under both scenarios but in absolute terms the annual differences in funding as between the two scenarios are not great.</w:t>
      </w:r>
    </w:p>
    <w:p w:rsidR="00656D87" w:rsidRDefault="00656D87" w:rsidP="00D34AA0">
      <w:pPr>
        <w:pStyle w:val="ListParagraph"/>
        <w:numPr>
          <w:ilvl w:val="0"/>
          <w:numId w:val="60"/>
        </w:numPr>
        <w:jc w:val="both"/>
      </w:pPr>
      <w:r>
        <w:t xml:space="preserve">The projections make no provision for the increase in the grant rate for Year 7-8 students sought by </w:t>
      </w:r>
      <w:proofErr w:type="spellStart"/>
      <w:r>
        <w:t>MoE</w:t>
      </w:r>
      <w:proofErr w:type="spellEnd"/>
      <w:r>
        <w:t xml:space="preserve"> in its budget submission for 2013.</w:t>
      </w:r>
      <w:r>
        <w:rPr>
          <w:rStyle w:val="FootnoteReference"/>
        </w:rPr>
        <w:footnoteReference w:id="60"/>
      </w:r>
      <w:r>
        <w:t xml:space="preserve">  The financial implications of such an increase are canvassed briefly in Section 2.5.8.</w:t>
      </w:r>
    </w:p>
    <w:p w:rsidR="00656D87" w:rsidRDefault="00656D87" w:rsidP="00160C19">
      <w:pPr>
        <w:pStyle w:val="Heading2"/>
      </w:pPr>
      <w:bookmarkStart w:id="225" w:name="_Toc341210812"/>
      <w:bookmarkStart w:id="226" w:name="_Toc341210931"/>
      <w:bookmarkStart w:id="227" w:name="_Toc341265749"/>
      <w:bookmarkStart w:id="228" w:name="_Toc343257312"/>
      <w:bookmarkStart w:id="229" w:name="_Toc343257426"/>
      <w:bookmarkStart w:id="230" w:name="_Toc348711347"/>
      <w:r w:rsidRPr="00D14A25">
        <w:t>2.5.</w:t>
      </w:r>
      <w:r>
        <w:t>4</w:t>
      </w:r>
      <w:r w:rsidRPr="00D14A25">
        <w:t xml:space="preserve"> VIT and VITE</w:t>
      </w:r>
      <w:bookmarkEnd w:id="225"/>
      <w:bookmarkEnd w:id="226"/>
      <w:bookmarkEnd w:id="227"/>
      <w:bookmarkEnd w:id="228"/>
      <w:bookmarkEnd w:id="229"/>
      <w:bookmarkEnd w:id="230"/>
    </w:p>
    <w:p w:rsidR="00656D87" w:rsidRDefault="00656D87" w:rsidP="00656D87">
      <w:pPr>
        <w:jc w:val="both"/>
      </w:pPr>
    </w:p>
    <w:p w:rsidR="00656D87" w:rsidRDefault="00656D87" w:rsidP="00656D87">
      <w:pPr>
        <w:jc w:val="both"/>
      </w:pPr>
      <w:r>
        <w:t xml:space="preserve">Pending further study of the TVET sub sector the review has no informed basis for projecting future </w:t>
      </w:r>
      <w:proofErr w:type="spellStart"/>
      <w:r>
        <w:t>GoV</w:t>
      </w:r>
      <w:proofErr w:type="spellEnd"/>
      <w:r>
        <w:t xml:space="preserve"> funding requirements for VIT under either a status quo or some alternative scenario.  For present purposes it is assumed that VIT maintains its 2012 funding level through </w:t>
      </w:r>
      <w:proofErr w:type="spellStart"/>
      <w:r>
        <w:t>MoE</w:t>
      </w:r>
      <w:proofErr w:type="spellEnd"/>
      <w:r>
        <w:t xml:space="preserve"> of some VT99 million in constant price terms throughout the period to 2017 under any scenario.</w:t>
      </w:r>
    </w:p>
    <w:p w:rsidR="00656D87" w:rsidRDefault="00656D87" w:rsidP="00656D87">
      <w:pPr>
        <w:jc w:val="both"/>
      </w:pPr>
    </w:p>
    <w:p w:rsidR="00656D87" w:rsidRDefault="00656D87" w:rsidP="00656D87">
      <w:pPr>
        <w:jc w:val="both"/>
      </w:pPr>
      <w:r>
        <w:t xml:space="preserve">Having regard to findings of the </w:t>
      </w:r>
      <w:proofErr w:type="spellStart"/>
      <w:r>
        <w:t>Bennell</w:t>
      </w:r>
      <w:proofErr w:type="spellEnd"/>
      <w:r>
        <w:t xml:space="preserve"> Study the projections for VITE are equally problematic.  </w:t>
      </w:r>
    </w:p>
    <w:p w:rsidR="00656D87" w:rsidRDefault="00656D87" w:rsidP="00656D87">
      <w:pPr>
        <w:jc w:val="both"/>
      </w:pPr>
      <w:r>
        <w:t xml:space="preserve">On the one hand the Study examines (pages 30, 38-40) likely requirements for VITE graduates. </w:t>
      </w:r>
      <w:proofErr w:type="gramStart"/>
      <w:r>
        <w:t>in</w:t>
      </w:r>
      <w:proofErr w:type="gramEnd"/>
      <w:r>
        <w:t xml:space="preserve"> some detail.  The study projects the average annual VITE graduate ‘supply and demand’ numbers for 2012 to 2015 as follows:</w:t>
      </w:r>
    </w:p>
    <w:p w:rsidR="00656D87" w:rsidRDefault="00656D87" w:rsidP="00656D87">
      <w:pPr>
        <w:jc w:val="both"/>
      </w:pPr>
    </w:p>
    <w:p w:rsidR="00656D87" w:rsidRDefault="00656D87" w:rsidP="00D34AA0">
      <w:pPr>
        <w:pStyle w:val="ListParagraph"/>
        <w:numPr>
          <w:ilvl w:val="0"/>
          <w:numId w:val="63"/>
        </w:numPr>
        <w:jc w:val="both"/>
      </w:pPr>
      <w:r>
        <w:t>Supply annually, 2012-2015 average: 297 graduates.</w:t>
      </w:r>
    </w:p>
    <w:p w:rsidR="00656D87" w:rsidRDefault="00656D87" w:rsidP="00D34AA0">
      <w:pPr>
        <w:pStyle w:val="ListParagraph"/>
        <w:numPr>
          <w:ilvl w:val="0"/>
          <w:numId w:val="63"/>
        </w:numPr>
        <w:jc w:val="both"/>
      </w:pPr>
      <w:r>
        <w:lastRenderedPageBreak/>
        <w:t>Demand annually, 2012-2015 average, primary and all secondary: status quo scenario 316 graduates; constrained UPE/UBE scenario 415 graduates.</w:t>
      </w:r>
    </w:p>
    <w:p w:rsidR="00656D87" w:rsidRDefault="00656D87" w:rsidP="00656D87">
      <w:pPr>
        <w:jc w:val="both"/>
      </w:pPr>
    </w:p>
    <w:p w:rsidR="00656D87" w:rsidRDefault="00656D87" w:rsidP="00656D87">
      <w:pPr>
        <w:jc w:val="both"/>
      </w:pPr>
      <w:r>
        <w:t>That is, supply and demand for VITE graduates is roughly in balance for the status quo scenario but demand significantly exceeds supply for the constrained UPE/UBE scenario.</w:t>
      </w:r>
    </w:p>
    <w:p w:rsidR="00656D87" w:rsidRDefault="00656D87" w:rsidP="00656D87">
      <w:pPr>
        <w:jc w:val="both"/>
      </w:pPr>
    </w:p>
    <w:p w:rsidR="00656D87" w:rsidRDefault="00656D87" w:rsidP="00656D87">
      <w:pPr>
        <w:jc w:val="both"/>
      </w:pPr>
      <w:r>
        <w:t xml:space="preserve">On the other hand, the Study’s table at page 42 projects average VITE costs for diploma </w:t>
      </w:r>
      <w:r w:rsidR="000248A2">
        <w:t>training (</w:t>
      </w:r>
      <w:r>
        <w:t xml:space="preserve">at constant prices) under the constrained UPE/UBE scenario at an unchanging VT79.4 million per year throughout the period 2012 to 2020.  This is marginally below the </w:t>
      </w:r>
      <w:proofErr w:type="spellStart"/>
      <w:r>
        <w:t>MoE</w:t>
      </w:r>
      <w:proofErr w:type="spellEnd"/>
      <w:r>
        <w:t xml:space="preserve"> 2012 budget provision for VITE of VT80 million.</w:t>
      </w:r>
      <w:r>
        <w:rPr>
          <w:rStyle w:val="FootnoteReference"/>
        </w:rPr>
        <w:footnoteReference w:id="61"/>
      </w:r>
      <w:r>
        <w:t xml:space="preserve">  A possible explanation for this apparent discrepancy is that the Study’s projection of VITE costs has been framed primarily by reference to current VITE capacity.</w:t>
      </w:r>
      <w:r>
        <w:rPr>
          <w:rStyle w:val="FootnoteReference"/>
        </w:rPr>
        <w:footnoteReference w:id="62"/>
      </w:r>
      <w:r>
        <w:t xml:space="preserve">  For want of a stronger basis the review projects that </w:t>
      </w:r>
      <w:proofErr w:type="spellStart"/>
      <w:r>
        <w:t>GoV</w:t>
      </w:r>
      <w:proofErr w:type="spellEnd"/>
      <w:r>
        <w:t xml:space="preserve"> funding of the VITE through </w:t>
      </w:r>
      <w:proofErr w:type="spellStart"/>
      <w:r>
        <w:t>MoE</w:t>
      </w:r>
      <w:proofErr w:type="spellEnd"/>
      <w:r>
        <w:t xml:space="preserve"> will also remain unchanged at VT80 million each year (at </w:t>
      </w:r>
      <w:r w:rsidR="005432E0">
        <w:t xml:space="preserve">2012 </w:t>
      </w:r>
      <w:r>
        <w:t>prices) throughout the period to 2017.</w:t>
      </w:r>
    </w:p>
    <w:p w:rsidR="00656D87" w:rsidRDefault="00656D87" w:rsidP="00160C19">
      <w:pPr>
        <w:pStyle w:val="Heading2"/>
      </w:pPr>
      <w:bookmarkStart w:id="231" w:name="_Toc341210813"/>
      <w:bookmarkStart w:id="232" w:name="_Toc341210932"/>
      <w:bookmarkStart w:id="233" w:name="_Toc341265750"/>
      <w:bookmarkStart w:id="234" w:name="_Toc343257313"/>
      <w:bookmarkStart w:id="235" w:name="_Toc343257427"/>
      <w:bookmarkStart w:id="236" w:name="_Toc348711348"/>
      <w:r w:rsidRPr="00D14A25">
        <w:t>2.5.</w:t>
      </w:r>
      <w:r>
        <w:t>5</w:t>
      </w:r>
      <w:r w:rsidRPr="00D14A25">
        <w:t xml:space="preserve"> Scholarships</w:t>
      </w:r>
      <w:bookmarkEnd w:id="231"/>
      <w:bookmarkEnd w:id="232"/>
      <w:bookmarkEnd w:id="233"/>
      <w:bookmarkEnd w:id="234"/>
      <w:bookmarkEnd w:id="235"/>
      <w:bookmarkEnd w:id="236"/>
    </w:p>
    <w:p w:rsidR="00656D87" w:rsidRDefault="00656D87" w:rsidP="00656D87">
      <w:pPr>
        <w:jc w:val="both"/>
      </w:pPr>
    </w:p>
    <w:p w:rsidR="00656D87" w:rsidRDefault="00656D87" w:rsidP="00656D87">
      <w:pPr>
        <w:jc w:val="both"/>
      </w:pPr>
      <w:r>
        <w:t xml:space="preserve">The </w:t>
      </w:r>
      <w:proofErr w:type="spellStart"/>
      <w:r>
        <w:t>GoV</w:t>
      </w:r>
      <w:proofErr w:type="spellEnd"/>
      <w:r>
        <w:t xml:space="preserve"> funding requirement for scholarships is currently in dispute.  Reflecting continuing awards of overseas scholarships without regard to the funding provisions for scholarships set by </w:t>
      </w:r>
      <w:proofErr w:type="spellStart"/>
      <w:r>
        <w:t>MoE’s</w:t>
      </w:r>
      <w:proofErr w:type="spellEnd"/>
      <w:r>
        <w:t xml:space="preserve"> annual budgets the funding requirement in 2012 as estimated by </w:t>
      </w:r>
      <w:proofErr w:type="spellStart"/>
      <w:r>
        <w:t>MoE</w:t>
      </w:r>
      <w:proofErr w:type="spellEnd"/>
      <w:r>
        <w:t xml:space="preserve"> is some VT507.5 million as against an original 2012 budget provision of VT 270 million.</w:t>
      </w:r>
      <w:r>
        <w:rPr>
          <w:rStyle w:val="FootnoteReference"/>
        </w:rPr>
        <w:footnoteReference w:id="63"/>
      </w:r>
      <w:r>
        <w:t xml:space="preserve">  In these circumstances there is considerable uncertainty as to assumptions to be made in relation to future </w:t>
      </w:r>
      <w:proofErr w:type="spellStart"/>
      <w:r>
        <w:t>GoV</w:t>
      </w:r>
      <w:proofErr w:type="spellEnd"/>
      <w:r>
        <w:t xml:space="preserve"> funding of scholarships.  However for projection purposes it is assumed that:</w:t>
      </w:r>
    </w:p>
    <w:p w:rsidR="00656D87" w:rsidRDefault="00656D87" w:rsidP="00656D87">
      <w:pPr>
        <w:jc w:val="both"/>
      </w:pPr>
    </w:p>
    <w:p w:rsidR="00656D87" w:rsidRDefault="00656D87" w:rsidP="00D34AA0">
      <w:pPr>
        <w:pStyle w:val="ListParagraph"/>
        <w:numPr>
          <w:ilvl w:val="0"/>
          <w:numId w:val="62"/>
        </w:numPr>
        <w:jc w:val="both"/>
      </w:pPr>
      <w:r>
        <w:t>for the status quo scenario, annual future funding will be held to some VT350 million, being the 2012 provision plus VT80 million in 2013 as recommended by MFEM to the Ministerial Budget Committee;</w:t>
      </w:r>
      <w:r>
        <w:rPr>
          <w:rStyle w:val="FootnoteReference"/>
        </w:rPr>
        <w:footnoteReference w:id="64"/>
      </w:r>
    </w:p>
    <w:p w:rsidR="00656D87" w:rsidRDefault="00656D87" w:rsidP="00D34AA0">
      <w:pPr>
        <w:pStyle w:val="ListParagraph"/>
        <w:numPr>
          <w:ilvl w:val="0"/>
          <w:numId w:val="62"/>
        </w:numPr>
        <w:jc w:val="both"/>
      </w:pPr>
      <w:r>
        <w:t>for the constrained UPE/UBE scenario a further VT</w:t>
      </w:r>
      <w:r w:rsidR="007F3B85">
        <w:t>19</w:t>
      </w:r>
      <w:r>
        <w:t xml:space="preserve"> million is added in 2013 (rising thereafter) to provide for the </w:t>
      </w:r>
      <w:proofErr w:type="spellStart"/>
      <w:r>
        <w:t>Bennell</w:t>
      </w:r>
      <w:proofErr w:type="spellEnd"/>
      <w:r>
        <w:t xml:space="preserve"> study’s recommendation (page 40) that “the number of overseas scholarships for teaching degrees ... should be increased appreciably to around 15 new awards per year for the next five years ...”.</w:t>
      </w:r>
    </w:p>
    <w:p w:rsidR="00075122" w:rsidRDefault="00075122" w:rsidP="00656D87">
      <w:pPr>
        <w:jc w:val="both"/>
      </w:pPr>
    </w:p>
    <w:tbl>
      <w:tblPr>
        <w:tblStyle w:val="TableGrid"/>
        <w:tblW w:w="0" w:type="auto"/>
        <w:tblLook w:val="04A0" w:firstRow="1" w:lastRow="0" w:firstColumn="1" w:lastColumn="0" w:noHBand="0" w:noVBand="1"/>
        <w:tblCaption w:val="Table 40: Projected GoV-funding requirements for overseas scholarships (VT million)"/>
      </w:tblPr>
      <w:tblGrid>
        <w:gridCol w:w="2734"/>
        <w:gridCol w:w="1367"/>
        <w:gridCol w:w="1367"/>
        <w:gridCol w:w="1367"/>
        <w:gridCol w:w="1367"/>
        <w:gridCol w:w="1368"/>
      </w:tblGrid>
      <w:tr w:rsidR="00656D87" w:rsidTr="00D339A4">
        <w:trPr>
          <w:tblHeader/>
        </w:trPr>
        <w:tc>
          <w:tcPr>
            <w:tcW w:w="9570" w:type="dxa"/>
            <w:gridSpan w:val="6"/>
            <w:shd w:val="clear" w:color="auto" w:fill="BFBFBF" w:themeFill="background1" w:themeFillShade="BF"/>
          </w:tcPr>
          <w:p w:rsidR="00743573" w:rsidRDefault="00656D87">
            <w:pPr>
              <w:jc w:val="both"/>
              <w:rPr>
                <w:sz w:val="20"/>
                <w:szCs w:val="20"/>
              </w:rPr>
            </w:pPr>
            <w:r>
              <w:t xml:space="preserve">Table </w:t>
            </w:r>
            <w:r w:rsidR="00B1406E">
              <w:t>4</w:t>
            </w:r>
            <w:r w:rsidR="00A11254">
              <w:t>0</w:t>
            </w:r>
            <w:r>
              <w:t xml:space="preserve">: Projected </w:t>
            </w:r>
            <w:proofErr w:type="spellStart"/>
            <w:r>
              <w:t>GoV</w:t>
            </w:r>
            <w:proofErr w:type="spellEnd"/>
            <w:r>
              <w:t>-funding requirements for overseas scholarships (VT million)</w:t>
            </w:r>
          </w:p>
        </w:tc>
      </w:tr>
      <w:tr w:rsidR="00656D87" w:rsidTr="00C05FAA">
        <w:tc>
          <w:tcPr>
            <w:tcW w:w="2734" w:type="dxa"/>
          </w:tcPr>
          <w:p w:rsidR="00656D87" w:rsidRDefault="00656D87" w:rsidP="00C05FAA">
            <w:pPr>
              <w:jc w:val="both"/>
            </w:pPr>
          </w:p>
        </w:tc>
        <w:tc>
          <w:tcPr>
            <w:tcW w:w="1367" w:type="dxa"/>
          </w:tcPr>
          <w:p w:rsidR="00656D87" w:rsidRDefault="00656D87" w:rsidP="00C05FAA">
            <w:pPr>
              <w:jc w:val="center"/>
            </w:pPr>
            <w:r>
              <w:t>2013</w:t>
            </w:r>
          </w:p>
        </w:tc>
        <w:tc>
          <w:tcPr>
            <w:tcW w:w="1367" w:type="dxa"/>
          </w:tcPr>
          <w:p w:rsidR="00656D87" w:rsidRDefault="00656D87" w:rsidP="00C05FAA">
            <w:pPr>
              <w:jc w:val="center"/>
            </w:pPr>
            <w:r>
              <w:t>2014</w:t>
            </w:r>
          </w:p>
        </w:tc>
        <w:tc>
          <w:tcPr>
            <w:tcW w:w="1367" w:type="dxa"/>
          </w:tcPr>
          <w:p w:rsidR="00656D87" w:rsidRDefault="00656D87" w:rsidP="00C05FAA">
            <w:pPr>
              <w:jc w:val="center"/>
            </w:pPr>
            <w:r>
              <w:t>2015</w:t>
            </w:r>
          </w:p>
        </w:tc>
        <w:tc>
          <w:tcPr>
            <w:tcW w:w="1367" w:type="dxa"/>
          </w:tcPr>
          <w:p w:rsidR="00656D87" w:rsidRDefault="00656D87" w:rsidP="00C05FAA">
            <w:pPr>
              <w:jc w:val="center"/>
            </w:pPr>
            <w:r>
              <w:t>2016</w:t>
            </w:r>
          </w:p>
        </w:tc>
        <w:tc>
          <w:tcPr>
            <w:tcW w:w="1368" w:type="dxa"/>
          </w:tcPr>
          <w:p w:rsidR="00656D87" w:rsidRDefault="00656D87" w:rsidP="00C05FAA">
            <w:pPr>
              <w:jc w:val="center"/>
            </w:pPr>
            <w:r>
              <w:t>2017</w:t>
            </w:r>
          </w:p>
        </w:tc>
      </w:tr>
      <w:tr w:rsidR="00656D87" w:rsidTr="00C05FAA">
        <w:tc>
          <w:tcPr>
            <w:tcW w:w="2734" w:type="dxa"/>
          </w:tcPr>
          <w:p w:rsidR="00656D87" w:rsidRDefault="00656D87" w:rsidP="00C05FAA">
            <w:r>
              <w:t>Status quo scenario</w:t>
            </w:r>
          </w:p>
        </w:tc>
        <w:tc>
          <w:tcPr>
            <w:tcW w:w="1367" w:type="dxa"/>
          </w:tcPr>
          <w:p w:rsidR="00656D87" w:rsidRDefault="00656D87" w:rsidP="00C05FAA">
            <w:pPr>
              <w:jc w:val="center"/>
            </w:pPr>
            <w:r>
              <w:t>350.0</w:t>
            </w:r>
          </w:p>
        </w:tc>
        <w:tc>
          <w:tcPr>
            <w:tcW w:w="1367" w:type="dxa"/>
          </w:tcPr>
          <w:p w:rsidR="00656D87" w:rsidRDefault="00656D87" w:rsidP="00C05FAA">
            <w:pPr>
              <w:jc w:val="center"/>
            </w:pPr>
            <w:r>
              <w:t>350.0</w:t>
            </w:r>
          </w:p>
        </w:tc>
        <w:tc>
          <w:tcPr>
            <w:tcW w:w="1367" w:type="dxa"/>
          </w:tcPr>
          <w:p w:rsidR="00656D87" w:rsidRDefault="00656D87" w:rsidP="00C05FAA">
            <w:pPr>
              <w:jc w:val="center"/>
            </w:pPr>
            <w:r>
              <w:t>350.0</w:t>
            </w:r>
          </w:p>
        </w:tc>
        <w:tc>
          <w:tcPr>
            <w:tcW w:w="1367" w:type="dxa"/>
          </w:tcPr>
          <w:p w:rsidR="00656D87" w:rsidRDefault="00656D87" w:rsidP="00C05FAA">
            <w:pPr>
              <w:jc w:val="center"/>
            </w:pPr>
            <w:r>
              <w:t>350.0</w:t>
            </w:r>
          </w:p>
        </w:tc>
        <w:tc>
          <w:tcPr>
            <w:tcW w:w="1368" w:type="dxa"/>
          </w:tcPr>
          <w:p w:rsidR="00656D87" w:rsidRDefault="00656D87" w:rsidP="00C05FAA">
            <w:pPr>
              <w:jc w:val="center"/>
            </w:pPr>
            <w:r>
              <w:t>350.0</w:t>
            </w:r>
          </w:p>
        </w:tc>
      </w:tr>
      <w:tr w:rsidR="00656D87" w:rsidTr="00C05FAA">
        <w:tc>
          <w:tcPr>
            <w:tcW w:w="2734" w:type="dxa"/>
          </w:tcPr>
          <w:p w:rsidR="00656D87" w:rsidRDefault="00656D87" w:rsidP="00C05FAA">
            <w:r>
              <w:t>Constrained UPE scenario</w:t>
            </w:r>
          </w:p>
        </w:tc>
        <w:tc>
          <w:tcPr>
            <w:tcW w:w="1367" w:type="dxa"/>
          </w:tcPr>
          <w:p w:rsidR="00656D87" w:rsidRDefault="00656D87" w:rsidP="00C05FAA">
            <w:pPr>
              <w:jc w:val="center"/>
            </w:pPr>
            <w:r>
              <w:t>369.0</w:t>
            </w:r>
          </w:p>
        </w:tc>
        <w:tc>
          <w:tcPr>
            <w:tcW w:w="1367" w:type="dxa"/>
          </w:tcPr>
          <w:p w:rsidR="00656D87" w:rsidRDefault="00656D87" w:rsidP="00C05FAA">
            <w:pPr>
              <w:jc w:val="center"/>
            </w:pPr>
            <w:r>
              <w:t>388.1</w:t>
            </w:r>
          </w:p>
        </w:tc>
        <w:tc>
          <w:tcPr>
            <w:tcW w:w="1367" w:type="dxa"/>
          </w:tcPr>
          <w:p w:rsidR="00656D87" w:rsidRDefault="00656D87" w:rsidP="00C05FAA">
            <w:pPr>
              <w:jc w:val="center"/>
            </w:pPr>
            <w:r>
              <w:t>407.1</w:t>
            </w:r>
          </w:p>
        </w:tc>
        <w:tc>
          <w:tcPr>
            <w:tcW w:w="1367" w:type="dxa"/>
          </w:tcPr>
          <w:p w:rsidR="00656D87" w:rsidRDefault="00656D87" w:rsidP="00C05FAA">
            <w:pPr>
              <w:jc w:val="center"/>
            </w:pPr>
            <w:r>
              <w:t>407.1</w:t>
            </w:r>
          </w:p>
        </w:tc>
        <w:tc>
          <w:tcPr>
            <w:tcW w:w="1368" w:type="dxa"/>
          </w:tcPr>
          <w:p w:rsidR="00656D87" w:rsidRDefault="00656D87" w:rsidP="00C05FAA">
            <w:pPr>
              <w:jc w:val="center"/>
            </w:pPr>
            <w:r>
              <w:t>407.1</w:t>
            </w:r>
          </w:p>
        </w:tc>
      </w:tr>
      <w:tr w:rsidR="00656D87" w:rsidTr="00C05FAA">
        <w:tc>
          <w:tcPr>
            <w:tcW w:w="9570" w:type="dxa"/>
            <w:gridSpan w:val="6"/>
          </w:tcPr>
          <w:p w:rsidR="00C77093" w:rsidRDefault="00656D87">
            <w:pPr>
              <w:jc w:val="both"/>
              <w:rPr>
                <w:sz w:val="20"/>
                <w:szCs w:val="20"/>
              </w:rPr>
            </w:pPr>
            <w:r>
              <w:t>Source</w:t>
            </w:r>
            <w:r w:rsidR="008D4707">
              <w:t xml:space="preserve"> for Table 4</w:t>
            </w:r>
            <w:r w:rsidR="005432E0">
              <w:t>0</w:t>
            </w:r>
            <w:r>
              <w:t xml:space="preserve">: Review estimates based on the above assumptions.  Note that the annual cost per student of an overseas scholarship is subject to widely differing estimates.  The </w:t>
            </w:r>
            <w:proofErr w:type="spellStart"/>
            <w:r>
              <w:t>MoE</w:t>
            </w:r>
            <w:proofErr w:type="spellEnd"/>
            <w:r>
              <w:t xml:space="preserve"> Annual Statistical Report for 2010-2011 (page 56) put expenditure per scholarship student in 2011 at VT563</w:t>
            </w:r>
            <w:proofErr w:type="gramStart"/>
            <w:r>
              <w:t>,160</w:t>
            </w:r>
            <w:proofErr w:type="gramEnd"/>
            <w:r>
              <w:t xml:space="preserve"> but this estimate may have included both domestic and overseas scholarships.  Based on </w:t>
            </w:r>
            <w:proofErr w:type="spellStart"/>
            <w:r>
              <w:t>MoE’s</w:t>
            </w:r>
            <w:proofErr w:type="spellEnd"/>
            <w:r>
              <w:t xml:space="preserve"> original budget and supplementary budget request in 2012 to fund a total of 400 overseas students in 2012 the cost per overseas student per year equates to some VT1.27 million.  This figure has been adopted for the constrained UPE scenario.</w:t>
            </w:r>
          </w:p>
        </w:tc>
      </w:tr>
    </w:tbl>
    <w:p w:rsidR="00656D87" w:rsidRDefault="00656D87" w:rsidP="00160C19">
      <w:pPr>
        <w:pStyle w:val="Heading2"/>
      </w:pPr>
      <w:bookmarkStart w:id="237" w:name="_Toc341210814"/>
      <w:bookmarkStart w:id="238" w:name="_Toc341210933"/>
      <w:bookmarkStart w:id="239" w:name="_Toc341265751"/>
      <w:bookmarkStart w:id="240" w:name="_Toc343257314"/>
      <w:bookmarkStart w:id="241" w:name="_Toc343257428"/>
      <w:bookmarkStart w:id="242" w:name="_Toc348711349"/>
      <w:r w:rsidRPr="004D4A79">
        <w:lastRenderedPageBreak/>
        <w:t xml:space="preserve">2.5.6 </w:t>
      </w:r>
      <w:r>
        <w:t>School maintenance</w:t>
      </w:r>
      <w:bookmarkEnd w:id="237"/>
      <w:bookmarkEnd w:id="238"/>
      <w:bookmarkEnd w:id="239"/>
      <w:bookmarkEnd w:id="240"/>
      <w:bookmarkEnd w:id="241"/>
      <w:bookmarkEnd w:id="242"/>
    </w:p>
    <w:p w:rsidR="00656D87" w:rsidRDefault="00656D87" w:rsidP="00656D87">
      <w:pPr>
        <w:jc w:val="both"/>
      </w:pPr>
    </w:p>
    <w:p w:rsidR="00656D87" w:rsidRDefault="00656D87" w:rsidP="00656D87">
      <w:pPr>
        <w:jc w:val="both"/>
      </w:pPr>
      <w:r>
        <w:t xml:space="preserve">While detailed data are not available </w:t>
      </w:r>
      <w:proofErr w:type="spellStart"/>
      <w:r>
        <w:t>GoV</w:t>
      </w:r>
      <w:proofErr w:type="spellEnd"/>
      <w:r>
        <w:t xml:space="preserve"> spending on school maintenance appears </w:t>
      </w:r>
      <w:proofErr w:type="gramStart"/>
      <w:r>
        <w:t>to</w:t>
      </w:r>
      <w:proofErr w:type="gramEnd"/>
      <w:r>
        <w:t xml:space="preserve"> been some VT36 million per annum at most in recent years and - in reality - probably much less.</w:t>
      </w:r>
      <w:r>
        <w:rPr>
          <w:rStyle w:val="FootnoteReference"/>
        </w:rPr>
        <w:footnoteReference w:id="65"/>
      </w:r>
      <w:r>
        <w:t xml:space="preserve">  The </w:t>
      </w:r>
      <w:proofErr w:type="spellStart"/>
      <w:r>
        <w:t>Bennell</w:t>
      </w:r>
      <w:proofErr w:type="spellEnd"/>
      <w:r>
        <w:t xml:space="preserve"> study was not tasked to assess non-teacher issues hence did not address school maintenance issues.  However, given past and anticipated capital expenditure on new and refurbished classrooms the issue of how existing and new classrooms will be routinely maintained in future cannot be ignored.</w:t>
      </w:r>
      <w:r>
        <w:rPr>
          <w:rStyle w:val="FootnoteReference"/>
        </w:rPr>
        <w:footnoteReference w:id="66"/>
      </w:r>
    </w:p>
    <w:p w:rsidR="00656D87" w:rsidRDefault="00656D87" w:rsidP="00656D87">
      <w:pPr>
        <w:jc w:val="both"/>
      </w:pPr>
    </w:p>
    <w:p w:rsidR="00656D87" w:rsidRDefault="00656D87" w:rsidP="00656D87">
      <w:pPr>
        <w:jc w:val="both"/>
      </w:pPr>
      <w:r>
        <w:t xml:space="preserve">VEMIS data on the number and condition of classrooms have been presented in different ways in respect of the years 2008 to 2011 and while they distinguish between primary and secondary schools they do not distinguish between </w:t>
      </w:r>
      <w:proofErr w:type="spellStart"/>
      <w:r>
        <w:t>GoV</w:t>
      </w:r>
      <w:proofErr w:type="spellEnd"/>
      <w:r>
        <w:t xml:space="preserve">-funded schools (for which the </w:t>
      </w:r>
      <w:proofErr w:type="spellStart"/>
      <w:r>
        <w:t>GoV</w:t>
      </w:r>
      <w:proofErr w:type="spellEnd"/>
      <w:r>
        <w:t xml:space="preserve"> has maintenance responsibility), Government Assisted and other schools.  They are also subject to some surprising variations over time.</w:t>
      </w:r>
      <w:r>
        <w:rPr>
          <w:rStyle w:val="FootnoteReference"/>
        </w:rPr>
        <w:footnoteReference w:id="67"/>
      </w:r>
    </w:p>
    <w:p w:rsidR="00656D87" w:rsidRDefault="00656D87" w:rsidP="00656D87">
      <w:pPr>
        <w:jc w:val="both"/>
      </w:pPr>
    </w:p>
    <w:p w:rsidR="00656D87" w:rsidRDefault="00656D87" w:rsidP="00656D87">
      <w:pPr>
        <w:jc w:val="both"/>
      </w:pPr>
      <w:r>
        <w:t xml:space="preserve">Based on the 2010-2011 estimate of classroom numbers, the number of new and refurbished classrooms to be delivered through the VESP, the unit cost per classroom of routine classroom maintenance as estimated by the VESP Design Team, and a number of heroic assumptions this review estimates the total </w:t>
      </w:r>
      <w:proofErr w:type="spellStart"/>
      <w:r>
        <w:t>GoV</w:t>
      </w:r>
      <w:proofErr w:type="spellEnd"/>
      <w:r>
        <w:t xml:space="preserve"> funding requirement for routine classroom maintenance to be a minimum of VT121.5 million annually.  This is almost certainly an underestimate but is the best that can be made for current projection purposes.</w:t>
      </w:r>
    </w:p>
    <w:p w:rsidR="00656D87" w:rsidRDefault="00656D87" w:rsidP="00656D87">
      <w:pPr>
        <w:jc w:val="both"/>
      </w:pPr>
    </w:p>
    <w:p w:rsidR="00656D87" w:rsidRDefault="00656D87" w:rsidP="00656D87">
      <w:pPr>
        <w:jc w:val="both"/>
      </w:pPr>
      <w:r>
        <w:t xml:space="preserve">The following ‘status quo’ projection of </w:t>
      </w:r>
      <w:proofErr w:type="spellStart"/>
      <w:r>
        <w:t>GoV</w:t>
      </w:r>
      <w:proofErr w:type="spellEnd"/>
      <w:r>
        <w:t>-</w:t>
      </w:r>
      <w:r w:rsidR="000248A2">
        <w:t>funded routine</w:t>
      </w:r>
      <w:r>
        <w:t xml:space="preserve"> maintenance for </w:t>
      </w:r>
      <w:proofErr w:type="spellStart"/>
      <w:r>
        <w:t>GoV</w:t>
      </w:r>
      <w:proofErr w:type="spellEnd"/>
      <w:r>
        <w:t>-funded schools assumes it will continue at a maximum of VT36 million a year.  The alternative scenario assumes that this amount is increased annually from 2014 by equal increments to reach funding of VT121.5 million in 2017.</w:t>
      </w:r>
    </w:p>
    <w:p w:rsidR="00075122" w:rsidRDefault="00075122" w:rsidP="00656D87">
      <w:pPr>
        <w:jc w:val="both"/>
      </w:pPr>
    </w:p>
    <w:tbl>
      <w:tblPr>
        <w:tblStyle w:val="TableGrid"/>
        <w:tblW w:w="0" w:type="auto"/>
        <w:tblLook w:val="04A0" w:firstRow="1" w:lastRow="0" w:firstColumn="1" w:lastColumn="0" w:noHBand="0" w:noVBand="1"/>
        <w:tblCaption w:val="Table 41:  Projections of GoV-funded maintenance costs (VT million)"/>
      </w:tblPr>
      <w:tblGrid>
        <w:gridCol w:w="2734"/>
        <w:gridCol w:w="1367"/>
        <w:gridCol w:w="1367"/>
        <w:gridCol w:w="1367"/>
        <w:gridCol w:w="1367"/>
        <w:gridCol w:w="1368"/>
      </w:tblGrid>
      <w:tr w:rsidR="00656D87" w:rsidTr="00D339A4">
        <w:trPr>
          <w:tblHeader/>
        </w:trPr>
        <w:tc>
          <w:tcPr>
            <w:tcW w:w="9570" w:type="dxa"/>
            <w:gridSpan w:val="6"/>
            <w:shd w:val="clear" w:color="auto" w:fill="BFBFBF" w:themeFill="background1" w:themeFillShade="BF"/>
          </w:tcPr>
          <w:p w:rsidR="00743573" w:rsidRDefault="00656D87">
            <w:pPr>
              <w:jc w:val="both"/>
              <w:rPr>
                <w:sz w:val="20"/>
                <w:szCs w:val="20"/>
              </w:rPr>
            </w:pPr>
            <w:r>
              <w:t xml:space="preserve">Table </w:t>
            </w:r>
            <w:r w:rsidR="00B1406E">
              <w:t>4</w:t>
            </w:r>
            <w:r w:rsidR="00A11254">
              <w:t>1</w:t>
            </w:r>
            <w:r>
              <w:t xml:space="preserve">:  Projections of </w:t>
            </w:r>
            <w:proofErr w:type="spellStart"/>
            <w:r>
              <w:t>GoV</w:t>
            </w:r>
            <w:proofErr w:type="spellEnd"/>
            <w:r>
              <w:t>-funded maintenance costs (VT million)</w:t>
            </w:r>
          </w:p>
        </w:tc>
      </w:tr>
      <w:tr w:rsidR="00656D87" w:rsidTr="00C05FAA">
        <w:tc>
          <w:tcPr>
            <w:tcW w:w="2734" w:type="dxa"/>
          </w:tcPr>
          <w:p w:rsidR="00656D87" w:rsidRDefault="00656D87" w:rsidP="00C05FAA"/>
        </w:tc>
        <w:tc>
          <w:tcPr>
            <w:tcW w:w="1367" w:type="dxa"/>
          </w:tcPr>
          <w:p w:rsidR="00656D87" w:rsidRDefault="00656D87" w:rsidP="00C05FAA">
            <w:pPr>
              <w:jc w:val="center"/>
            </w:pPr>
            <w:r>
              <w:t>2013</w:t>
            </w:r>
          </w:p>
        </w:tc>
        <w:tc>
          <w:tcPr>
            <w:tcW w:w="1367" w:type="dxa"/>
          </w:tcPr>
          <w:p w:rsidR="00656D87" w:rsidRDefault="00656D87" w:rsidP="00C05FAA">
            <w:pPr>
              <w:jc w:val="center"/>
            </w:pPr>
            <w:r>
              <w:t>2014</w:t>
            </w:r>
          </w:p>
        </w:tc>
        <w:tc>
          <w:tcPr>
            <w:tcW w:w="1367" w:type="dxa"/>
          </w:tcPr>
          <w:p w:rsidR="00656D87" w:rsidRDefault="00656D87" w:rsidP="00C05FAA">
            <w:pPr>
              <w:jc w:val="center"/>
            </w:pPr>
            <w:r>
              <w:t>2015</w:t>
            </w:r>
          </w:p>
        </w:tc>
        <w:tc>
          <w:tcPr>
            <w:tcW w:w="1367" w:type="dxa"/>
          </w:tcPr>
          <w:p w:rsidR="00656D87" w:rsidRDefault="00656D87" w:rsidP="00C05FAA">
            <w:pPr>
              <w:jc w:val="center"/>
            </w:pPr>
            <w:r>
              <w:t>2016</w:t>
            </w:r>
          </w:p>
        </w:tc>
        <w:tc>
          <w:tcPr>
            <w:tcW w:w="1368" w:type="dxa"/>
          </w:tcPr>
          <w:p w:rsidR="00656D87" w:rsidRDefault="00656D87" w:rsidP="00C05FAA">
            <w:pPr>
              <w:jc w:val="center"/>
            </w:pPr>
            <w:r>
              <w:t>2017</w:t>
            </w:r>
          </w:p>
        </w:tc>
      </w:tr>
      <w:tr w:rsidR="00656D87" w:rsidTr="00C05FAA">
        <w:tc>
          <w:tcPr>
            <w:tcW w:w="2734" w:type="dxa"/>
          </w:tcPr>
          <w:p w:rsidR="00656D87" w:rsidRDefault="00656D87" w:rsidP="00C05FAA">
            <w:r>
              <w:t>Status quo scenario</w:t>
            </w:r>
          </w:p>
        </w:tc>
        <w:tc>
          <w:tcPr>
            <w:tcW w:w="1367" w:type="dxa"/>
          </w:tcPr>
          <w:p w:rsidR="00656D87" w:rsidRDefault="00656D87" w:rsidP="00C05FAA">
            <w:pPr>
              <w:jc w:val="center"/>
            </w:pPr>
            <w:r>
              <w:t>36.3</w:t>
            </w:r>
          </w:p>
        </w:tc>
        <w:tc>
          <w:tcPr>
            <w:tcW w:w="1367" w:type="dxa"/>
          </w:tcPr>
          <w:p w:rsidR="00656D87" w:rsidRDefault="00656D87" w:rsidP="00C05FAA">
            <w:pPr>
              <w:jc w:val="center"/>
            </w:pPr>
            <w:r>
              <w:t>36.3</w:t>
            </w:r>
          </w:p>
        </w:tc>
        <w:tc>
          <w:tcPr>
            <w:tcW w:w="1367" w:type="dxa"/>
          </w:tcPr>
          <w:p w:rsidR="00656D87" w:rsidRDefault="00656D87" w:rsidP="00C05FAA">
            <w:pPr>
              <w:jc w:val="center"/>
            </w:pPr>
            <w:r>
              <w:t>36.3</w:t>
            </w:r>
          </w:p>
        </w:tc>
        <w:tc>
          <w:tcPr>
            <w:tcW w:w="1367" w:type="dxa"/>
          </w:tcPr>
          <w:p w:rsidR="00656D87" w:rsidRDefault="00656D87" w:rsidP="00C05FAA">
            <w:pPr>
              <w:jc w:val="center"/>
            </w:pPr>
            <w:r>
              <w:t>36.3</w:t>
            </w:r>
          </w:p>
        </w:tc>
        <w:tc>
          <w:tcPr>
            <w:tcW w:w="1368" w:type="dxa"/>
          </w:tcPr>
          <w:p w:rsidR="00656D87" w:rsidRDefault="00656D87" w:rsidP="00C05FAA">
            <w:pPr>
              <w:jc w:val="center"/>
            </w:pPr>
            <w:r>
              <w:t>36.3</w:t>
            </w:r>
          </w:p>
        </w:tc>
      </w:tr>
      <w:tr w:rsidR="00656D87" w:rsidTr="00C05FAA">
        <w:tc>
          <w:tcPr>
            <w:tcW w:w="2734" w:type="dxa"/>
          </w:tcPr>
          <w:p w:rsidR="00656D87" w:rsidRDefault="00656D87" w:rsidP="00C05FAA">
            <w:r>
              <w:t>‘Needs based’ scenario</w:t>
            </w:r>
          </w:p>
        </w:tc>
        <w:tc>
          <w:tcPr>
            <w:tcW w:w="1367" w:type="dxa"/>
          </w:tcPr>
          <w:p w:rsidR="00656D87" w:rsidRDefault="00656D87" w:rsidP="00C05FAA">
            <w:pPr>
              <w:jc w:val="center"/>
            </w:pPr>
            <w:r>
              <w:t>36.3</w:t>
            </w:r>
          </w:p>
        </w:tc>
        <w:tc>
          <w:tcPr>
            <w:tcW w:w="1367" w:type="dxa"/>
          </w:tcPr>
          <w:p w:rsidR="00656D87" w:rsidRDefault="00656D87" w:rsidP="00C05FAA">
            <w:pPr>
              <w:jc w:val="center"/>
            </w:pPr>
            <w:r>
              <w:t>57.6</w:t>
            </w:r>
          </w:p>
        </w:tc>
        <w:tc>
          <w:tcPr>
            <w:tcW w:w="1367" w:type="dxa"/>
          </w:tcPr>
          <w:p w:rsidR="00656D87" w:rsidRDefault="00656D87" w:rsidP="00C05FAA">
            <w:pPr>
              <w:jc w:val="center"/>
            </w:pPr>
            <w:r>
              <w:t>78.9</w:t>
            </w:r>
          </w:p>
        </w:tc>
        <w:tc>
          <w:tcPr>
            <w:tcW w:w="1367" w:type="dxa"/>
          </w:tcPr>
          <w:p w:rsidR="00656D87" w:rsidRDefault="00656D87" w:rsidP="00C05FAA">
            <w:pPr>
              <w:jc w:val="center"/>
            </w:pPr>
            <w:r>
              <w:t>100.2</w:t>
            </w:r>
          </w:p>
        </w:tc>
        <w:tc>
          <w:tcPr>
            <w:tcW w:w="1368" w:type="dxa"/>
          </w:tcPr>
          <w:p w:rsidR="00656D87" w:rsidRDefault="00656D87" w:rsidP="00C05FAA">
            <w:pPr>
              <w:jc w:val="center"/>
            </w:pPr>
            <w:r>
              <w:t>121.5</w:t>
            </w:r>
          </w:p>
        </w:tc>
      </w:tr>
      <w:tr w:rsidR="00656D87" w:rsidTr="00C05FAA">
        <w:tc>
          <w:tcPr>
            <w:tcW w:w="9570" w:type="dxa"/>
            <w:gridSpan w:val="6"/>
          </w:tcPr>
          <w:p w:rsidR="00656D87" w:rsidRDefault="00656D87" w:rsidP="00C05FAA">
            <w:r>
              <w:t>Source: Review estimates based on the stated assumptions.</w:t>
            </w:r>
          </w:p>
        </w:tc>
      </w:tr>
    </w:tbl>
    <w:p w:rsidR="00656D87" w:rsidRDefault="00656D87" w:rsidP="00160C19">
      <w:pPr>
        <w:pStyle w:val="Heading2"/>
      </w:pPr>
      <w:bookmarkStart w:id="243" w:name="_Toc341210815"/>
      <w:bookmarkStart w:id="244" w:name="_Toc341210934"/>
      <w:bookmarkStart w:id="245" w:name="_Toc341265752"/>
      <w:bookmarkStart w:id="246" w:name="_Toc343257315"/>
      <w:bookmarkStart w:id="247" w:name="_Toc343257429"/>
      <w:bookmarkStart w:id="248" w:name="_Toc348711350"/>
      <w:r w:rsidRPr="00D14A25">
        <w:t>2.5.</w:t>
      </w:r>
      <w:r>
        <w:t>7</w:t>
      </w:r>
      <w:r w:rsidRPr="00D14A25">
        <w:t xml:space="preserve"> </w:t>
      </w:r>
      <w:proofErr w:type="spellStart"/>
      <w:r w:rsidRPr="00D14A25">
        <w:t>MoE</w:t>
      </w:r>
      <w:proofErr w:type="spellEnd"/>
      <w:r w:rsidRPr="00D14A25">
        <w:t xml:space="preserve"> ‘corporate overhead’</w:t>
      </w:r>
      <w:bookmarkEnd w:id="243"/>
      <w:bookmarkEnd w:id="244"/>
      <w:bookmarkEnd w:id="245"/>
      <w:bookmarkEnd w:id="246"/>
      <w:bookmarkEnd w:id="247"/>
      <w:bookmarkEnd w:id="248"/>
      <w:r>
        <w:t xml:space="preserve"> </w:t>
      </w:r>
    </w:p>
    <w:p w:rsidR="00656D87" w:rsidRDefault="00656D87" w:rsidP="00656D87">
      <w:pPr>
        <w:jc w:val="both"/>
      </w:pPr>
    </w:p>
    <w:p w:rsidR="00656D87" w:rsidRDefault="00656D87" w:rsidP="00656D87">
      <w:pPr>
        <w:jc w:val="both"/>
      </w:pPr>
      <w:r>
        <w:t xml:space="preserve">For projection purposes this review adopts a broader definition of ‘corporate overhead’ than the programs ‘Cabinet Support’ and ‘Executive Management and Corporate Services’ contained within </w:t>
      </w:r>
      <w:proofErr w:type="spellStart"/>
      <w:r>
        <w:t>MoE’s</w:t>
      </w:r>
      <w:proofErr w:type="spellEnd"/>
      <w:r>
        <w:t xml:space="preserve"> program structure.  In addition to these ‘corporate overhead’ is defined as including also a number of cost centres the funding of which is not allocated to individual schools (at least initially), notably: curriculum development, the Examinations and Assessment Unit, the Office of the Director of Education Services, personal emoluments for the Provincial Education Offices, primary/secondary teachers’ incidentals and the Teaching Service Commission.</w:t>
      </w:r>
    </w:p>
    <w:p w:rsidR="00656D87" w:rsidRDefault="00656D87" w:rsidP="00656D87">
      <w:pPr>
        <w:jc w:val="both"/>
      </w:pPr>
      <w:r>
        <w:lastRenderedPageBreak/>
        <w:t xml:space="preserve">On this broader definition, </w:t>
      </w:r>
      <w:proofErr w:type="spellStart"/>
      <w:r>
        <w:t>GoV</w:t>
      </w:r>
      <w:proofErr w:type="spellEnd"/>
      <w:r>
        <w:t xml:space="preserve"> funding of </w:t>
      </w:r>
      <w:proofErr w:type="spellStart"/>
      <w:r>
        <w:t>MoE’s</w:t>
      </w:r>
      <w:proofErr w:type="spellEnd"/>
      <w:r>
        <w:t xml:space="preserve"> corporate overhead is equivalent to some 24% of its funding of teacher emoluments in 2004.  For projection purposes it is assumed that:</w:t>
      </w:r>
    </w:p>
    <w:p w:rsidR="00656D87" w:rsidRDefault="00656D87" w:rsidP="00656D87">
      <w:pPr>
        <w:jc w:val="both"/>
      </w:pPr>
    </w:p>
    <w:p w:rsidR="00656D87" w:rsidRDefault="00656D87" w:rsidP="00D34AA0">
      <w:pPr>
        <w:pStyle w:val="ListParagraph"/>
        <w:numPr>
          <w:ilvl w:val="0"/>
          <w:numId w:val="61"/>
        </w:numPr>
        <w:jc w:val="both"/>
      </w:pPr>
      <w:r>
        <w:t>this relativity remains unchanged over the next five years;</w:t>
      </w:r>
    </w:p>
    <w:p w:rsidR="00656D87" w:rsidRDefault="00656D87" w:rsidP="00D34AA0">
      <w:pPr>
        <w:pStyle w:val="ListParagraph"/>
        <w:numPr>
          <w:ilvl w:val="0"/>
          <w:numId w:val="61"/>
        </w:numPr>
        <w:jc w:val="both"/>
      </w:pPr>
      <w:proofErr w:type="gramStart"/>
      <w:r>
        <w:t>the</w:t>
      </w:r>
      <w:proofErr w:type="gramEnd"/>
      <w:r>
        <w:t xml:space="preserve"> future funding requirement for corporate overhead will (at least broadly) reflect the future growth of teacher numbers</w:t>
      </w:r>
      <w:r w:rsidR="007F3B85">
        <w:t>.</w:t>
      </w:r>
      <w:r>
        <w:rPr>
          <w:rStyle w:val="FootnoteReference"/>
        </w:rPr>
        <w:footnoteReference w:id="68"/>
      </w:r>
    </w:p>
    <w:p w:rsidR="00656D87" w:rsidRDefault="00656D87" w:rsidP="00656D87">
      <w:pPr>
        <w:jc w:val="both"/>
      </w:pPr>
    </w:p>
    <w:p w:rsidR="00656D87" w:rsidRDefault="00656D87" w:rsidP="00656D87">
      <w:pPr>
        <w:jc w:val="both"/>
      </w:pPr>
      <w:r>
        <w:t xml:space="preserve">Table </w:t>
      </w:r>
      <w:r w:rsidR="00B1406E">
        <w:t>4</w:t>
      </w:r>
      <w:r w:rsidR="005432E0">
        <w:t>2</w:t>
      </w:r>
      <w:r>
        <w:t xml:space="preserve"> presents the projections for </w:t>
      </w:r>
      <w:proofErr w:type="spellStart"/>
      <w:r>
        <w:t>GoV</w:t>
      </w:r>
      <w:proofErr w:type="spellEnd"/>
      <w:r>
        <w:t xml:space="preserve"> funding of </w:t>
      </w:r>
      <w:proofErr w:type="spellStart"/>
      <w:r>
        <w:t>MoE</w:t>
      </w:r>
      <w:proofErr w:type="spellEnd"/>
      <w:r>
        <w:t xml:space="preserve"> corporate overhead derived from these assumptions.</w:t>
      </w:r>
    </w:p>
    <w:p w:rsidR="00656D87" w:rsidRDefault="00656D87" w:rsidP="00656D87">
      <w:pPr>
        <w:jc w:val="both"/>
      </w:pPr>
    </w:p>
    <w:tbl>
      <w:tblPr>
        <w:tblStyle w:val="TableGrid"/>
        <w:tblW w:w="0" w:type="auto"/>
        <w:tblLook w:val="04A0" w:firstRow="1" w:lastRow="0" w:firstColumn="1" w:lastColumn="0" w:noHBand="0" w:noVBand="1"/>
        <w:tblCaption w:val="Table 42: Projected GoV funding requirements for MoE corporate overhead (VT million)"/>
      </w:tblPr>
      <w:tblGrid>
        <w:gridCol w:w="2734"/>
        <w:gridCol w:w="1367"/>
        <w:gridCol w:w="1367"/>
        <w:gridCol w:w="1367"/>
        <w:gridCol w:w="1367"/>
        <w:gridCol w:w="1368"/>
      </w:tblGrid>
      <w:tr w:rsidR="00656D87" w:rsidTr="00D339A4">
        <w:trPr>
          <w:tblHeader/>
        </w:trPr>
        <w:tc>
          <w:tcPr>
            <w:tcW w:w="9570" w:type="dxa"/>
            <w:gridSpan w:val="6"/>
            <w:shd w:val="clear" w:color="auto" w:fill="BFBFBF" w:themeFill="background1" w:themeFillShade="BF"/>
          </w:tcPr>
          <w:p w:rsidR="00743573" w:rsidRDefault="00656D87">
            <w:pPr>
              <w:jc w:val="both"/>
              <w:rPr>
                <w:sz w:val="20"/>
                <w:szCs w:val="20"/>
              </w:rPr>
            </w:pPr>
            <w:r>
              <w:t xml:space="preserve">Table </w:t>
            </w:r>
            <w:r w:rsidR="00B1406E">
              <w:t>4</w:t>
            </w:r>
            <w:r w:rsidR="00A11254">
              <w:t>2</w:t>
            </w:r>
            <w:r>
              <w:t xml:space="preserve">: Projected </w:t>
            </w:r>
            <w:proofErr w:type="spellStart"/>
            <w:r>
              <w:t>GoV</w:t>
            </w:r>
            <w:proofErr w:type="spellEnd"/>
            <w:r>
              <w:t xml:space="preserve"> funding requirements for </w:t>
            </w:r>
            <w:proofErr w:type="spellStart"/>
            <w:r>
              <w:t>MoE</w:t>
            </w:r>
            <w:proofErr w:type="spellEnd"/>
            <w:r>
              <w:t xml:space="preserve"> corporate overhead (VT million)</w:t>
            </w:r>
          </w:p>
        </w:tc>
      </w:tr>
      <w:tr w:rsidR="00656D87" w:rsidTr="00C05FAA">
        <w:tc>
          <w:tcPr>
            <w:tcW w:w="2734" w:type="dxa"/>
          </w:tcPr>
          <w:p w:rsidR="00656D87" w:rsidRDefault="00656D87" w:rsidP="00C05FAA">
            <w:pPr>
              <w:jc w:val="both"/>
            </w:pPr>
          </w:p>
        </w:tc>
        <w:tc>
          <w:tcPr>
            <w:tcW w:w="1367" w:type="dxa"/>
          </w:tcPr>
          <w:p w:rsidR="00656D87" w:rsidRDefault="00656D87" w:rsidP="00C05FAA">
            <w:pPr>
              <w:jc w:val="center"/>
            </w:pPr>
            <w:r>
              <w:t>2013</w:t>
            </w:r>
          </w:p>
        </w:tc>
        <w:tc>
          <w:tcPr>
            <w:tcW w:w="1367" w:type="dxa"/>
          </w:tcPr>
          <w:p w:rsidR="00656D87" w:rsidRDefault="00656D87" w:rsidP="00C05FAA">
            <w:pPr>
              <w:jc w:val="center"/>
            </w:pPr>
            <w:r>
              <w:t>2014</w:t>
            </w:r>
          </w:p>
        </w:tc>
        <w:tc>
          <w:tcPr>
            <w:tcW w:w="1367" w:type="dxa"/>
          </w:tcPr>
          <w:p w:rsidR="00656D87" w:rsidRDefault="00656D87" w:rsidP="00C05FAA">
            <w:pPr>
              <w:jc w:val="center"/>
            </w:pPr>
            <w:r>
              <w:t>2015</w:t>
            </w:r>
          </w:p>
        </w:tc>
        <w:tc>
          <w:tcPr>
            <w:tcW w:w="1367" w:type="dxa"/>
          </w:tcPr>
          <w:p w:rsidR="00656D87" w:rsidRDefault="00656D87" w:rsidP="00C05FAA">
            <w:pPr>
              <w:jc w:val="center"/>
            </w:pPr>
            <w:r>
              <w:t>2016</w:t>
            </w:r>
          </w:p>
        </w:tc>
        <w:tc>
          <w:tcPr>
            <w:tcW w:w="1368" w:type="dxa"/>
          </w:tcPr>
          <w:p w:rsidR="00656D87" w:rsidRDefault="00656D87" w:rsidP="00C05FAA">
            <w:pPr>
              <w:jc w:val="center"/>
            </w:pPr>
            <w:r>
              <w:t>2017</w:t>
            </w:r>
          </w:p>
        </w:tc>
      </w:tr>
      <w:tr w:rsidR="00656D87" w:rsidTr="00C05FAA">
        <w:tc>
          <w:tcPr>
            <w:tcW w:w="2734" w:type="dxa"/>
          </w:tcPr>
          <w:p w:rsidR="00656D87" w:rsidRDefault="00656D87" w:rsidP="00C05FAA">
            <w:pPr>
              <w:jc w:val="both"/>
            </w:pPr>
            <w:r>
              <w:t>Status quo scenario</w:t>
            </w:r>
          </w:p>
        </w:tc>
        <w:tc>
          <w:tcPr>
            <w:tcW w:w="1367" w:type="dxa"/>
          </w:tcPr>
          <w:p w:rsidR="00656D87" w:rsidRDefault="00656D87" w:rsidP="00C05FAA">
            <w:pPr>
              <w:jc w:val="center"/>
            </w:pPr>
            <w:r>
              <w:t>625.3</w:t>
            </w:r>
          </w:p>
        </w:tc>
        <w:tc>
          <w:tcPr>
            <w:tcW w:w="1367" w:type="dxa"/>
          </w:tcPr>
          <w:p w:rsidR="00656D87" w:rsidRDefault="00656D87" w:rsidP="00C05FAA">
            <w:pPr>
              <w:jc w:val="center"/>
            </w:pPr>
            <w:r>
              <w:t>633.6</w:t>
            </w:r>
          </w:p>
        </w:tc>
        <w:tc>
          <w:tcPr>
            <w:tcW w:w="1367" w:type="dxa"/>
          </w:tcPr>
          <w:p w:rsidR="00656D87" w:rsidRDefault="00656D87" w:rsidP="00C05FAA">
            <w:pPr>
              <w:jc w:val="center"/>
            </w:pPr>
            <w:r>
              <w:t>644.4</w:t>
            </w:r>
          </w:p>
        </w:tc>
        <w:tc>
          <w:tcPr>
            <w:tcW w:w="1367" w:type="dxa"/>
          </w:tcPr>
          <w:p w:rsidR="00656D87" w:rsidRDefault="00656D87" w:rsidP="00C05FAA">
            <w:pPr>
              <w:jc w:val="center"/>
            </w:pPr>
            <w:r>
              <w:t>658.8</w:t>
            </w:r>
          </w:p>
        </w:tc>
        <w:tc>
          <w:tcPr>
            <w:tcW w:w="1368" w:type="dxa"/>
          </w:tcPr>
          <w:p w:rsidR="00656D87" w:rsidRDefault="00656D87" w:rsidP="00C05FAA">
            <w:pPr>
              <w:jc w:val="center"/>
            </w:pPr>
            <w:r>
              <w:t>675.4</w:t>
            </w:r>
          </w:p>
        </w:tc>
      </w:tr>
      <w:tr w:rsidR="00656D87" w:rsidTr="00C05FAA">
        <w:tc>
          <w:tcPr>
            <w:tcW w:w="2734" w:type="dxa"/>
          </w:tcPr>
          <w:p w:rsidR="00656D87" w:rsidRDefault="00656D87" w:rsidP="00C05FAA">
            <w:r>
              <w:t>Constrained UPE scenario</w:t>
            </w:r>
          </w:p>
        </w:tc>
        <w:tc>
          <w:tcPr>
            <w:tcW w:w="1367" w:type="dxa"/>
          </w:tcPr>
          <w:p w:rsidR="00656D87" w:rsidRDefault="00656D87" w:rsidP="00C05FAA">
            <w:pPr>
              <w:jc w:val="center"/>
            </w:pPr>
            <w:r>
              <w:t>636.6</w:t>
            </w:r>
          </w:p>
        </w:tc>
        <w:tc>
          <w:tcPr>
            <w:tcW w:w="1367" w:type="dxa"/>
          </w:tcPr>
          <w:p w:rsidR="00656D87" w:rsidRDefault="00656D87" w:rsidP="00C05FAA">
            <w:pPr>
              <w:jc w:val="center"/>
            </w:pPr>
            <w:r>
              <w:t>656.4</w:t>
            </w:r>
          </w:p>
        </w:tc>
        <w:tc>
          <w:tcPr>
            <w:tcW w:w="1367" w:type="dxa"/>
          </w:tcPr>
          <w:p w:rsidR="00656D87" w:rsidRDefault="00656D87" w:rsidP="00C05FAA">
            <w:pPr>
              <w:jc w:val="center"/>
            </w:pPr>
            <w:r>
              <w:t>684.3</w:t>
            </w:r>
          </w:p>
        </w:tc>
        <w:tc>
          <w:tcPr>
            <w:tcW w:w="1367" w:type="dxa"/>
          </w:tcPr>
          <w:p w:rsidR="00656D87" w:rsidRDefault="00656D87" w:rsidP="00C05FAA">
            <w:pPr>
              <w:jc w:val="center"/>
            </w:pPr>
            <w:r>
              <w:t>722.1</w:t>
            </w:r>
          </w:p>
        </w:tc>
        <w:tc>
          <w:tcPr>
            <w:tcW w:w="1368" w:type="dxa"/>
          </w:tcPr>
          <w:p w:rsidR="00656D87" w:rsidRDefault="00656D87" w:rsidP="00C05FAA">
            <w:pPr>
              <w:jc w:val="center"/>
            </w:pPr>
            <w:r>
              <w:t>736.7</w:t>
            </w:r>
          </w:p>
        </w:tc>
      </w:tr>
      <w:tr w:rsidR="00656D87" w:rsidTr="00C05FAA">
        <w:tc>
          <w:tcPr>
            <w:tcW w:w="9570" w:type="dxa"/>
            <w:gridSpan w:val="6"/>
          </w:tcPr>
          <w:p w:rsidR="00C77093" w:rsidRDefault="00656D87">
            <w:pPr>
              <w:rPr>
                <w:sz w:val="20"/>
                <w:szCs w:val="20"/>
              </w:rPr>
            </w:pPr>
            <w:r>
              <w:t xml:space="preserve">Source: Review estimates derived from assumptions as stated and Table </w:t>
            </w:r>
            <w:r w:rsidR="00B1406E">
              <w:t>3</w:t>
            </w:r>
            <w:r w:rsidR="005432E0">
              <w:t>8</w:t>
            </w:r>
            <w:r>
              <w:t>.</w:t>
            </w:r>
          </w:p>
        </w:tc>
      </w:tr>
    </w:tbl>
    <w:p w:rsidR="00656D87" w:rsidRPr="00513D50" w:rsidRDefault="00656D87" w:rsidP="00160C19">
      <w:pPr>
        <w:pStyle w:val="Heading2"/>
      </w:pPr>
      <w:r>
        <w:t xml:space="preserve"> </w:t>
      </w:r>
      <w:bookmarkStart w:id="249" w:name="_Toc341210816"/>
      <w:bookmarkStart w:id="250" w:name="_Toc341210935"/>
      <w:bookmarkStart w:id="251" w:name="_Toc341265753"/>
      <w:bookmarkStart w:id="252" w:name="_Toc343257316"/>
      <w:bookmarkStart w:id="253" w:name="_Toc343257430"/>
      <w:bookmarkStart w:id="254" w:name="_Toc348711351"/>
      <w:r w:rsidRPr="00513D50">
        <w:t xml:space="preserve">2.5.8 Can the </w:t>
      </w:r>
      <w:proofErr w:type="spellStart"/>
      <w:r w:rsidRPr="00513D50">
        <w:t>GoV</w:t>
      </w:r>
      <w:proofErr w:type="spellEnd"/>
      <w:r w:rsidRPr="00513D50">
        <w:t xml:space="preserve"> afford UPE/UBE?</w:t>
      </w:r>
      <w:bookmarkEnd w:id="249"/>
      <w:bookmarkEnd w:id="250"/>
      <w:bookmarkEnd w:id="251"/>
      <w:bookmarkEnd w:id="252"/>
      <w:bookmarkEnd w:id="253"/>
      <w:bookmarkEnd w:id="254"/>
    </w:p>
    <w:p w:rsidR="00656D87" w:rsidRDefault="00656D87" w:rsidP="00656D87">
      <w:pPr>
        <w:jc w:val="both"/>
      </w:pPr>
    </w:p>
    <w:p w:rsidR="00656D87" w:rsidRDefault="00656D87" w:rsidP="00656D87">
      <w:pPr>
        <w:jc w:val="both"/>
      </w:pPr>
      <w:r>
        <w:t xml:space="preserve">The answer obviously depends upon the aggregate budgetary resources available to the </w:t>
      </w:r>
      <w:proofErr w:type="spellStart"/>
      <w:r>
        <w:t>GoV</w:t>
      </w:r>
      <w:proofErr w:type="spellEnd"/>
      <w:r>
        <w:t xml:space="preserve"> and the share of these resources the </w:t>
      </w:r>
      <w:proofErr w:type="spellStart"/>
      <w:r>
        <w:t>GoV</w:t>
      </w:r>
      <w:proofErr w:type="spellEnd"/>
      <w:r>
        <w:t xml:space="preserve"> is prepared to allocate to </w:t>
      </w:r>
      <w:proofErr w:type="spellStart"/>
      <w:r>
        <w:t>MoE</w:t>
      </w:r>
      <w:proofErr w:type="spellEnd"/>
      <w:r>
        <w:t xml:space="preserve"> in pursuit of the UPE/UBE goals.</w:t>
      </w:r>
    </w:p>
    <w:p w:rsidR="00656D87" w:rsidRDefault="00656D87" w:rsidP="00656D87">
      <w:pPr>
        <w:jc w:val="both"/>
      </w:pPr>
    </w:p>
    <w:p w:rsidR="00656D87" w:rsidRDefault="00656D87" w:rsidP="00656D87">
      <w:pPr>
        <w:jc w:val="both"/>
      </w:pPr>
      <w:r>
        <w:t xml:space="preserve">Table </w:t>
      </w:r>
      <w:r w:rsidR="00B1406E">
        <w:t>4</w:t>
      </w:r>
      <w:r w:rsidR="005432E0">
        <w:t>3</w:t>
      </w:r>
      <w:r>
        <w:t xml:space="preserve"> summarises the </w:t>
      </w:r>
      <w:proofErr w:type="spellStart"/>
      <w:r>
        <w:t>GoV</w:t>
      </w:r>
      <w:proofErr w:type="spellEnd"/>
      <w:r>
        <w:t xml:space="preserve"> funding requirements projected in Sections 2.5.2 to 2.5.7.</w:t>
      </w:r>
    </w:p>
    <w:p w:rsidR="00656D87" w:rsidRDefault="00656D87" w:rsidP="00656D87">
      <w:pPr>
        <w:jc w:val="both"/>
      </w:pPr>
    </w:p>
    <w:tbl>
      <w:tblPr>
        <w:tblStyle w:val="TableGrid"/>
        <w:tblW w:w="0" w:type="auto"/>
        <w:tblLook w:val="04A0" w:firstRow="1" w:lastRow="0" w:firstColumn="1" w:lastColumn="0" w:noHBand="0" w:noVBand="1"/>
        <w:tblCaption w:val="Table 43: Total GoV funding requirements, alternative scenarios, in 2012 prices (VT million)  "/>
      </w:tblPr>
      <w:tblGrid>
        <w:gridCol w:w="2734"/>
        <w:gridCol w:w="1367"/>
        <w:gridCol w:w="1367"/>
        <w:gridCol w:w="1367"/>
        <w:gridCol w:w="1367"/>
        <w:gridCol w:w="1368"/>
      </w:tblGrid>
      <w:tr w:rsidR="00656D87" w:rsidTr="00D339A4">
        <w:trPr>
          <w:tblHeader/>
        </w:trPr>
        <w:tc>
          <w:tcPr>
            <w:tcW w:w="9570" w:type="dxa"/>
            <w:gridSpan w:val="6"/>
            <w:shd w:val="clear" w:color="auto" w:fill="BFBFBF" w:themeFill="background1" w:themeFillShade="BF"/>
          </w:tcPr>
          <w:p w:rsidR="00743573" w:rsidRDefault="00656D87">
            <w:pPr>
              <w:jc w:val="both"/>
              <w:rPr>
                <w:sz w:val="20"/>
                <w:szCs w:val="20"/>
              </w:rPr>
            </w:pPr>
            <w:r>
              <w:t xml:space="preserve">Table </w:t>
            </w:r>
            <w:r w:rsidR="00B1406E">
              <w:t>4</w:t>
            </w:r>
            <w:r w:rsidR="00A11254">
              <w:t>3</w:t>
            </w:r>
            <w:r>
              <w:t xml:space="preserve">: Total </w:t>
            </w:r>
            <w:proofErr w:type="spellStart"/>
            <w:r>
              <w:t>GoV</w:t>
            </w:r>
            <w:proofErr w:type="spellEnd"/>
            <w:r>
              <w:t xml:space="preserve"> funding requirements, alternative scenarios, in 2012 prices (VT million)  </w:t>
            </w:r>
          </w:p>
        </w:tc>
      </w:tr>
      <w:tr w:rsidR="00656D87" w:rsidTr="00C05FAA">
        <w:tc>
          <w:tcPr>
            <w:tcW w:w="2734" w:type="dxa"/>
          </w:tcPr>
          <w:p w:rsidR="00656D87" w:rsidRDefault="00656D87" w:rsidP="00C05FAA">
            <w:pPr>
              <w:jc w:val="both"/>
            </w:pPr>
          </w:p>
        </w:tc>
        <w:tc>
          <w:tcPr>
            <w:tcW w:w="1367" w:type="dxa"/>
          </w:tcPr>
          <w:p w:rsidR="00656D87" w:rsidRDefault="00656D87" w:rsidP="00C05FAA">
            <w:pPr>
              <w:jc w:val="center"/>
            </w:pPr>
            <w:r>
              <w:t>2013</w:t>
            </w:r>
          </w:p>
        </w:tc>
        <w:tc>
          <w:tcPr>
            <w:tcW w:w="1367" w:type="dxa"/>
          </w:tcPr>
          <w:p w:rsidR="00656D87" w:rsidRDefault="00656D87" w:rsidP="00C05FAA">
            <w:pPr>
              <w:jc w:val="center"/>
            </w:pPr>
            <w:r>
              <w:t>2014</w:t>
            </w:r>
          </w:p>
        </w:tc>
        <w:tc>
          <w:tcPr>
            <w:tcW w:w="1367" w:type="dxa"/>
          </w:tcPr>
          <w:p w:rsidR="00656D87" w:rsidRDefault="00656D87" w:rsidP="00C05FAA">
            <w:pPr>
              <w:jc w:val="center"/>
            </w:pPr>
            <w:r>
              <w:t>2015</w:t>
            </w:r>
          </w:p>
        </w:tc>
        <w:tc>
          <w:tcPr>
            <w:tcW w:w="1367" w:type="dxa"/>
          </w:tcPr>
          <w:p w:rsidR="00656D87" w:rsidRDefault="00656D87" w:rsidP="00C05FAA">
            <w:pPr>
              <w:jc w:val="center"/>
            </w:pPr>
            <w:r>
              <w:t>2016</w:t>
            </w:r>
          </w:p>
        </w:tc>
        <w:tc>
          <w:tcPr>
            <w:tcW w:w="1368" w:type="dxa"/>
          </w:tcPr>
          <w:p w:rsidR="00656D87" w:rsidRDefault="00656D87" w:rsidP="00C05FAA">
            <w:pPr>
              <w:jc w:val="center"/>
            </w:pPr>
            <w:r>
              <w:t>2017</w:t>
            </w:r>
          </w:p>
        </w:tc>
      </w:tr>
      <w:tr w:rsidR="00656D87" w:rsidTr="00C05FAA">
        <w:tc>
          <w:tcPr>
            <w:tcW w:w="2734" w:type="dxa"/>
          </w:tcPr>
          <w:p w:rsidR="00656D87" w:rsidRDefault="00656D87" w:rsidP="00C05FAA">
            <w:pPr>
              <w:jc w:val="both"/>
            </w:pPr>
            <w:r>
              <w:t>Status quo scenario</w:t>
            </w:r>
          </w:p>
        </w:tc>
        <w:tc>
          <w:tcPr>
            <w:tcW w:w="1367" w:type="dxa"/>
          </w:tcPr>
          <w:p w:rsidR="00656D87" w:rsidRDefault="00656D87" w:rsidP="00C05FAA">
            <w:pPr>
              <w:jc w:val="center"/>
            </w:pPr>
            <w:r>
              <w:t>4,077.6</w:t>
            </w:r>
          </w:p>
        </w:tc>
        <w:tc>
          <w:tcPr>
            <w:tcW w:w="1367" w:type="dxa"/>
          </w:tcPr>
          <w:p w:rsidR="00656D87" w:rsidRDefault="00656D87" w:rsidP="00C05FAA">
            <w:pPr>
              <w:jc w:val="center"/>
            </w:pPr>
            <w:r>
              <w:t>4,170.1</w:t>
            </w:r>
          </w:p>
        </w:tc>
        <w:tc>
          <w:tcPr>
            <w:tcW w:w="1367" w:type="dxa"/>
          </w:tcPr>
          <w:p w:rsidR="00656D87" w:rsidRDefault="00656D87" w:rsidP="00C05FAA">
            <w:pPr>
              <w:jc w:val="center"/>
            </w:pPr>
            <w:r>
              <w:t>4,247.2</w:t>
            </w:r>
          </w:p>
        </w:tc>
        <w:tc>
          <w:tcPr>
            <w:tcW w:w="1367" w:type="dxa"/>
          </w:tcPr>
          <w:p w:rsidR="00656D87" w:rsidRDefault="00656D87" w:rsidP="00C05FAA">
            <w:pPr>
              <w:jc w:val="center"/>
            </w:pPr>
            <w:r>
              <w:t>4,438.3</w:t>
            </w:r>
          </w:p>
        </w:tc>
        <w:tc>
          <w:tcPr>
            <w:tcW w:w="1368" w:type="dxa"/>
          </w:tcPr>
          <w:p w:rsidR="00656D87" w:rsidRDefault="00656D87" w:rsidP="00C05FAA">
            <w:pPr>
              <w:jc w:val="center"/>
            </w:pPr>
            <w:r>
              <w:t>4,552.2</w:t>
            </w:r>
          </w:p>
        </w:tc>
      </w:tr>
      <w:tr w:rsidR="00656D87" w:rsidTr="00C05FAA">
        <w:tc>
          <w:tcPr>
            <w:tcW w:w="2734" w:type="dxa"/>
          </w:tcPr>
          <w:p w:rsidR="00656D87" w:rsidRDefault="00656D87" w:rsidP="00C05FAA">
            <w:pPr>
              <w:jc w:val="both"/>
            </w:pPr>
            <w:r>
              <w:t>Constrained UPE/UBE scenario</w:t>
            </w:r>
          </w:p>
        </w:tc>
        <w:tc>
          <w:tcPr>
            <w:tcW w:w="1367" w:type="dxa"/>
          </w:tcPr>
          <w:p w:rsidR="00656D87" w:rsidRDefault="00656D87" w:rsidP="00C05FAA">
            <w:pPr>
              <w:jc w:val="center"/>
            </w:pPr>
            <w:r>
              <w:t>4,160.5</w:t>
            </w:r>
          </w:p>
        </w:tc>
        <w:tc>
          <w:tcPr>
            <w:tcW w:w="1367" w:type="dxa"/>
          </w:tcPr>
          <w:p w:rsidR="00656D87" w:rsidRDefault="00656D87" w:rsidP="00C05FAA">
            <w:pPr>
              <w:jc w:val="center"/>
            </w:pPr>
            <w:r>
              <w:t>4,359.1</w:t>
            </w:r>
          </w:p>
        </w:tc>
        <w:tc>
          <w:tcPr>
            <w:tcW w:w="1367" w:type="dxa"/>
          </w:tcPr>
          <w:p w:rsidR="00656D87" w:rsidRDefault="00656D87" w:rsidP="00C05FAA">
            <w:pPr>
              <w:jc w:val="center"/>
            </w:pPr>
            <w:r>
              <w:t>4,614.0</w:t>
            </w:r>
          </w:p>
        </w:tc>
        <w:tc>
          <w:tcPr>
            <w:tcW w:w="1367" w:type="dxa"/>
          </w:tcPr>
          <w:p w:rsidR="00656D87" w:rsidRDefault="00656D87" w:rsidP="00C05FAA">
            <w:pPr>
              <w:jc w:val="center"/>
            </w:pPr>
            <w:r>
              <w:t>4,917.7</w:t>
            </w:r>
          </w:p>
        </w:tc>
        <w:tc>
          <w:tcPr>
            <w:tcW w:w="1368" w:type="dxa"/>
          </w:tcPr>
          <w:p w:rsidR="00656D87" w:rsidRDefault="00656D87" w:rsidP="00C05FAA">
            <w:pPr>
              <w:jc w:val="center"/>
            </w:pPr>
            <w:r>
              <w:t>5,038.8</w:t>
            </w:r>
          </w:p>
        </w:tc>
      </w:tr>
      <w:tr w:rsidR="00656D87" w:rsidTr="00C05FAA">
        <w:tc>
          <w:tcPr>
            <w:tcW w:w="9570" w:type="dxa"/>
            <w:gridSpan w:val="6"/>
          </w:tcPr>
          <w:p w:rsidR="00656D87" w:rsidRDefault="00656D87" w:rsidP="00C05FAA">
            <w:r>
              <w:t>Source: Review estimates summed from earlier sub-sections.</w:t>
            </w:r>
          </w:p>
        </w:tc>
      </w:tr>
    </w:tbl>
    <w:p w:rsidR="00656D87" w:rsidRDefault="00656D87" w:rsidP="00656D87">
      <w:pPr>
        <w:jc w:val="both"/>
      </w:pPr>
    </w:p>
    <w:p w:rsidR="00656D87" w:rsidRDefault="00656D87" w:rsidP="00656D87">
      <w:pPr>
        <w:jc w:val="both"/>
      </w:pPr>
      <w:r>
        <w:t xml:space="preserve">As to the resources available to the </w:t>
      </w:r>
      <w:proofErr w:type="spellStart"/>
      <w:r>
        <w:t>GoV</w:t>
      </w:r>
      <w:proofErr w:type="spellEnd"/>
      <w:r>
        <w:t xml:space="preserve">, the review has projected </w:t>
      </w:r>
      <w:r w:rsidR="00B1406E">
        <w:t xml:space="preserve">the following </w:t>
      </w:r>
      <w:r>
        <w:t>scenario:</w:t>
      </w:r>
    </w:p>
    <w:p w:rsidR="00656D87" w:rsidRDefault="00656D87" w:rsidP="00656D87">
      <w:pPr>
        <w:jc w:val="both"/>
      </w:pPr>
    </w:p>
    <w:p w:rsidR="00656D87" w:rsidRDefault="00656D87" w:rsidP="00CE4350">
      <w:pPr>
        <w:pStyle w:val="ListParagraph"/>
        <w:numPr>
          <w:ilvl w:val="0"/>
          <w:numId w:val="86"/>
        </w:numPr>
        <w:jc w:val="both"/>
      </w:pPr>
      <w:r>
        <w:t>Annual real growth of Vanuatu’s GDP is maintained at the annual average rate of the five years 2007-2011, namely 3.9% per year</w:t>
      </w:r>
      <w:r>
        <w:rPr>
          <w:rStyle w:val="FootnoteReference"/>
        </w:rPr>
        <w:footnoteReference w:id="69"/>
      </w:r>
      <w:r>
        <w:t xml:space="preserve">; the </w:t>
      </w:r>
      <w:proofErr w:type="spellStart"/>
      <w:r>
        <w:t>GoV’s</w:t>
      </w:r>
      <w:proofErr w:type="spellEnd"/>
      <w:r>
        <w:t xml:space="preserve"> recurrent revenue share of GDP (excluding grants) is maintained at the average annual rate of the five years 2007-2011, namely 18.9%</w:t>
      </w:r>
      <w:r>
        <w:rPr>
          <w:rStyle w:val="FootnoteReference"/>
        </w:rPr>
        <w:footnoteReference w:id="70"/>
      </w:r>
      <w:r>
        <w:t xml:space="preserve">; and the </w:t>
      </w:r>
      <w:proofErr w:type="spellStart"/>
      <w:r>
        <w:t>MoE’s</w:t>
      </w:r>
      <w:proofErr w:type="spellEnd"/>
      <w:r>
        <w:t xml:space="preserve"> share of </w:t>
      </w:r>
      <w:proofErr w:type="spellStart"/>
      <w:r>
        <w:t>GoV</w:t>
      </w:r>
      <w:proofErr w:type="spellEnd"/>
      <w:r>
        <w:t xml:space="preserve"> recurrent revenues is maintained at the 2007-2011 five-year average of 25%</w:t>
      </w:r>
      <w:r>
        <w:rPr>
          <w:rStyle w:val="FootnoteReference"/>
        </w:rPr>
        <w:footnoteReference w:id="71"/>
      </w:r>
      <w:r>
        <w:t>.</w:t>
      </w:r>
    </w:p>
    <w:p w:rsidR="00656D87" w:rsidRDefault="00656D87" w:rsidP="00656D87">
      <w:pPr>
        <w:jc w:val="both"/>
      </w:pPr>
    </w:p>
    <w:p w:rsidR="00656D87" w:rsidRDefault="00656D87" w:rsidP="00656D87">
      <w:pPr>
        <w:jc w:val="both"/>
      </w:pPr>
      <w:r>
        <w:t xml:space="preserve">Figure </w:t>
      </w:r>
      <w:r w:rsidR="00B1406E">
        <w:t xml:space="preserve">12 </w:t>
      </w:r>
      <w:r>
        <w:t>chart</w:t>
      </w:r>
      <w:r w:rsidR="00B1406E">
        <w:t>s</w:t>
      </w:r>
      <w:r>
        <w:t xml:space="preserve"> the implications of the resulting resource envelopes for </w:t>
      </w:r>
      <w:proofErr w:type="spellStart"/>
      <w:r>
        <w:t>MoE</w:t>
      </w:r>
      <w:proofErr w:type="spellEnd"/>
      <w:r>
        <w:t xml:space="preserve"> in terms of the projected deficits between these resource envelopes and the projected funding requirements of the status quo and constrained UPE/UBE scenarios.</w:t>
      </w:r>
    </w:p>
    <w:p w:rsidR="00B1406E" w:rsidRDefault="00B1406E" w:rsidP="00656D87">
      <w:pPr>
        <w:jc w:val="both"/>
      </w:pPr>
    </w:p>
    <w:p w:rsidR="00D339A4" w:rsidRDefault="00D339A4" w:rsidP="00656D87">
      <w:pPr>
        <w:jc w:val="both"/>
      </w:pPr>
      <w:r>
        <w:br w:type="page"/>
      </w:r>
    </w:p>
    <w:p w:rsidR="00A12909" w:rsidRDefault="00A12909" w:rsidP="00656D87">
      <w:pPr>
        <w:jc w:val="both"/>
      </w:pPr>
      <w:r>
        <w:lastRenderedPageBreak/>
        <w:t xml:space="preserve">Figure 12: Projected </w:t>
      </w:r>
      <w:proofErr w:type="spellStart"/>
      <w:r>
        <w:t>GoV</w:t>
      </w:r>
      <w:proofErr w:type="spellEnd"/>
      <w:r>
        <w:t>-funding deficits</w:t>
      </w:r>
    </w:p>
    <w:p w:rsidR="00A12909" w:rsidRDefault="00A12909" w:rsidP="00656D87">
      <w:pPr>
        <w:jc w:val="both"/>
      </w:pPr>
      <w:r>
        <w:rPr>
          <w:noProof/>
          <w:lang w:eastAsia="en-AU"/>
        </w:rPr>
        <w:drawing>
          <wp:inline distT="0" distB="0" distL="0" distR="0" wp14:anchorId="0BE30D40" wp14:editId="20800514">
            <wp:extent cx="5000625" cy="2743200"/>
            <wp:effectExtent l="0" t="0" r="9525" b="0"/>
            <wp:docPr id="8" name="Picture 1" title="Figure 12: Projected GoV-funding defic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000625" cy="2743200"/>
                    </a:xfrm>
                    <a:prstGeom prst="rect">
                      <a:avLst/>
                    </a:prstGeom>
                    <a:noFill/>
                    <a:ln w="9525">
                      <a:noFill/>
                      <a:miter lim="800000"/>
                      <a:headEnd/>
                      <a:tailEnd/>
                    </a:ln>
                  </pic:spPr>
                </pic:pic>
              </a:graphicData>
            </a:graphic>
          </wp:inline>
        </w:drawing>
      </w:r>
    </w:p>
    <w:p w:rsidR="00B1406E" w:rsidRDefault="00B1406E" w:rsidP="00656D87">
      <w:pPr>
        <w:jc w:val="both"/>
      </w:pPr>
    </w:p>
    <w:p w:rsidR="00656D87" w:rsidRDefault="00656D87" w:rsidP="00656D87">
      <w:pPr>
        <w:jc w:val="both"/>
      </w:pPr>
      <w:r>
        <w:t xml:space="preserve">Figure </w:t>
      </w:r>
      <w:r w:rsidR="00B1406E">
        <w:t>12</w:t>
      </w:r>
      <w:r>
        <w:t xml:space="preserve"> illustrates that the projected </w:t>
      </w:r>
      <w:proofErr w:type="spellStart"/>
      <w:r>
        <w:t>GoV</w:t>
      </w:r>
      <w:proofErr w:type="spellEnd"/>
      <w:r>
        <w:t xml:space="preserve"> funding deficit </w:t>
      </w:r>
      <w:r w:rsidR="00B1406E">
        <w:t xml:space="preserve">declines </w:t>
      </w:r>
      <w:r>
        <w:t xml:space="preserve">under the status quo </w:t>
      </w:r>
      <w:r w:rsidR="00B1406E">
        <w:t xml:space="preserve">scenario but rises under the </w:t>
      </w:r>
      <w:r>
        <w:t>constrained UPE/UBE scenario</w:t>
      </w:r>
      <w:r w:rsidR="00B1406E">
        <w:t xml:space="preserve">.  Over the </w:t>
      </w:r>
      <w:r>
        <w:t>five year period as a whole:</w:t>
      </w:r>
    </w:p>
    <w:p w:rsidR="00656D87" w:rsidRDefault="00656D87" w:rsidP="00656D87">
      <w:pPr>
        <w:jc w:val="both"/>
      </w:pPr>
    </w:p>
    <w:p w:rsidR="00656D87" w:rsidRDefault="00656D87" w:rsidP="00CE4350">
      <w:pPr>
        <w:pStyle w:val="ListParagraph"/>
        <w:numPr>
          <w:ilvl w:val="0"/>
          <w:numId w:val="64"/>
        </w:numPr>
        <w:jc w:val="both"/>
      </w:pPr>
      <w:r>
        <w:t xml:space="preserve">The total </w:t>
      </w:r>
      <w:proofErr w:type="spellStart"/>
      <w:r>
        <w:t>GoV</w:t>
      </w:r>
      <w:proofErr w:type="spellEnd"/>
      <w:r>
        <w:t xml:space="preserve"> funding shortfall for the five years 2013-2017 is projected to be some 4.6% above the projected resource envelope for </w:t>
      </w:r>
      <w:proofErr w:type="spellStart"/>
      <w:r>
        <w:t>MoE</w:t>
      </w:r>
      <w:proofErr w:type="spellEnd"/>
      <w:r>
        <w:t xml:space="preserve"> under the status quo scenario; </w:t>
      </w:r>
    </w:p>
    <w:p w:rsidR="00656D87" w:rsidRDefault="00656D87" w:rsidP="00CE4350">
      <w:pPr>
        <w:pStyle w:val="ListParagraph"/>
        <w:numPr>
          <w:ilvl w:val="0"/>
          <w:numId w:val="64"/>
        </w:numPr>
        <w:jc w:val="both"/>
      </w:pPr>
      <w:r>
        <w:t xml:space="preserve">And some 12.4% above the </w:t>
      </w:r>
      <w:proofErr w:type="spellStart"/>
      <w:r>
        <w:t>MoE</w:t>
      </w:r>
      <w:proofErr w:type="spellEnd"/>
      <w:r>
        <w:t xml:space="preserve"> resource envelope under the constrained UPE/UBE scenario.</w:t>
      </w:r>
    </w:p>
    <w:p w:rsidR="00656D87" w:rsidRDefault="00656D87" w:rsidP="00656D87">
      <w:pPr>
        <w:ind w:left="60"/>
        <w:jc w:val="both"/>
      </w:pPr>
    </w:p>
    <w:p w:rsidR="00656D87" w:rsidRDefault="00656D87" w:rsidP="00656D87">
      <w:pPr>
        <w:jc w:val="both"/>
      </w:pPr>
      <w:r>
        <w:t xml:space="preserve">Parallel computations indicate that, with an unchanged projected annual real GDP growth rate of 3.9%  a year and an unchanged </w:t>
      </w:r>
      <w:proofErr w:type="spellStart"/>
      <w:r>
        <w:t>GoV</w:t>
      </w:r>
      <w:proofErr w:type="spellEnd"/>
      <w:r>
        <w:t xml:space="preserve"> recurrent revenue share in GDP of 18.9%, </w:t>
      </w:r>
      <w:proofErr w:type="spellStart"/>
      <w:r>
        <w:t>MoE’s</w:t>
      </w:r>
      <w:proofErr w:type="spellEnd"/>
      <w:r>
        <w:t xml:space="preserve"> share of total </w:t>
      </w:r>
      <w:proofErr w:type="spellStart"/>
      <w:r>
        <w:t>GoV</w:t>
      </w:r>
      <w:proofErr w:type="spellEnd"/>
      <w:r>
        <w:t xml:space="preserve"> recurrent revenue would need to increase from the projected average of 25% to around 28% to eliminate a </w:t>
      </w:r>
      <w:proofErr w:type="spellStart"/>
      <w:r>
        <w:t>GoV</w:t>
      </w:r>
      <w:proofErr w:type="spellEnd"/>
      <w:r>
        <w:t xml:space="preserve"> funding deficit under the constrained UPE/UBE scenario.</w:t>
      </w:r>
    </w:p>
    <w:p w:rsidR="00656D87" w:rsidRDefault="00656D87" w:rsidP="00656D87">
      <w:pPr>
        <w:jc w:val="both"/>
      </w:pPr>
    </w:p>
    <w:p w:rsidR="00B1406E" w:rsidRPr="0019742B" w:rsidRDefault="00656D87" w:rsidP="00B1406E">
      <w:pPr>
        <w:jc w:val="both"/>
      </w:pPr>
      <w:r>
        <w:t xml:space="preserve">So can the </w:t>
      </w:r>
      <w:proofErr w:type="spellStart"/>
      <w:r>
        <w:t>GoV</w:t>
      </w:r>
      <w:proofErr w:type="spellEnd"/>
      <w:r>
        <w:t xml:space="preserve"> afford to fund the (constrained) UPE/UBE goals over the period 2013-2017?  Of course any number of alternative Resource Envelope scenarios can quite readily be projected.  The above projection simply illustrate</w:t>
      </w:r>
      <w:r w:rsidR="007F3B85">
        <w:t>s</w:t>
      </w:r>
      <w:r>
        <w:t xml:space="preserve"> the point that, using plausible assumptions</w:t>
      </w:r>
      <w:r w:rsidR="007F3B85">
        <w:t>, t</w:t>
      </w:r>
      <w:r>
        <w:t xml:space="preserve">he </w:t>
      </w:r>
      <w:proofErr w:type="spellStart"/>
      <w:r>
        <w:t>GoV</w:t>
      </w:r>
      <w:proofErr w:type="spellEnd"/>
      <w:r>
        <w:t xml:space="preserve"> will be hard-pressed to do so.  Under these assumptions, to ‘balance the books’ for the constrained UPE/UBE scenario over the five year period 2013-2017, the </w:t>
      </w:r>
      <w:proofErr w:type="spellStart"/>
      <w:r>
        <w:t>GoV</w:t>
      </w:r>
      <w:proofErr w:type="spellEnd"/>
      <w:r>
        <w:t xml:space="preserve"> would need to find total savings within </w:t>
      </w:r>
      <w:proofErr w:type="spellStart"/>
      <w:r>
        <w:t>MoE</w:t>
      </w:r>
      <w:proofErr w:type="spellEnd"/>
      <w:r>
        <w:t xml:space="preserve"> of some VT2,550 million or an annual average of some VT510 million.</w:t>
      </w:r>
    </w:p>
    <w:p w:rsidR="00656D87" w:rsidRDefault="00656D87" w:rsidP="00656D87">
      <w:pPr>
        <w:jc w:val="both"/>
      </w:pPr>
    </w:p>
    <w:p w:rsidR="00656D87" w:rsidRDefault="00656D87" w:rsidP="00656D87">
      <w:pPr>
        <w:jc w:val="both"/>
      </w:pPr>
      <w:r>
        <w:t>At least three further conclusions follow from all this:</w:t>
      </w:r>
    </w:p>
    <w:p w:rsidR="00656D87" w:rsidRDefault="00656D87" w:rsidP="00656D87">
      <w:pPr>
        <w:jc w:val="both"/>
      </w:pPr>
    </w:p>
    <w:p w:rsidR="00656D87" w:rsidRDefault="00656D87" w:rsidP="00CE4350">
      <w:pPr>
        <w:pStyle w:val="ListParagraph"/>
        <w:numPr>
          <w:ilvl w:val="0"/>
          <w:numId w:val="65"/>
        </w:numPr>
        <w:jc w:val="both"/>
      </w:pPr>
      <w:r>
        <w:t xml:space="preserve">Under any plausible scenario the </w:t>
      </w:r>
      <w:proofErr w:type="spellStart"/>
      <w:r>
        <w:t>GoV</w:t>
      </w:r>
      <w:proofErr w:type="spellEnd"/>
      <w:r>
        <w:t xml:space="preserve"> will be struggling to meets its commitments for recurrent funding of primary and secondary education.  There is no</w:t>
      </w:r>
      <w:r w:rsidR="002549E6">
        <w:t xml:space="preserve"> significant</w:t>
      </w:r>
      <w:r>
        <w:t xml:space="preserve"> ‘slack’ that would enable it to assume a greater responsibility for funding of development costs such as funding the capital costs of new classrooms. </w:t>
      </w:r>
    </w:p>
    <w:p w:rsidR="00656D87" w:rsidRDefault="00656D87" w:rsidP="00CE4350">
      <w:pPr>
        <w:pStyle w:val="ListParagraph"/>
        <w:numPr>
          <w:ilvl w:val="0"/>
          <w:numId w:val="65"/>
        </w:numPr>
        <w:jc w:val="both"/>
      </w:pPr>
      <w:r>
        <w:t xml:space="preserve">The </w:t>
      </w:r>
      <w:proofErr w:type="spellStart"/>
      <w:r>
        <w:t>GoV</w:t>
      </w:r>
      <w:proofErr w:type="spellEnd"/>
      <w:r>
        <w:t xml:space="preserve"> funding ‘struggle’ could be alleviated to some extent if the </w:t>
      </w:r>
      <w:proofErr w:type="spellStart"/>
      <w:r>
        <w:t>GoV</w:t>
      </w:r>
      <w:proofErr w:type="spellEnd"/>
      <w:r>
        <w:t xml:space="preserve"> were to adopt less ambitious timeline targets for the extension of primary/secondary education, even as compared to the constrained UPE/UBE scenario.</w:t>
      </w:r>
    </w:p>
    <w:p w:rsidR="00656D87" w:rsidRDefault="00656D87" w:rsidP="00CE4350">
      <w:pPr>
        <w:pStyle w:val="ListParagraph"/>
        <w:numPr>
          <w:ilvl w:val="0"/>
          <w:numId w:val="65"/>
        </w:numPr>
        <w:jc w:val="both"/>
      </w:pPr>
      <w:r>
        <w:t xml:space="preserve">Under any circumstances the proposal that has been mooted to increase per-student grant rates for Year 7-8 students would add significantly to the </w:t>
      </w:r>
      <w:proofErr w:type="spellStart"/>
      <w:r>
        <w:t>GoV</w:t>
      </w:r>
      <w:proofErr w:type="spellEnd"/>
      <w:r>
        <w:t xml:space="preserve"> funding challenge - see Table </w:t>
      </w:r>
      <w:r w:rsidR="00CA2905">
        <w:t>4</w:t>
      </w:r>
      <w:r w:rsidR="002549E6">
        <w:t>4</w:t>
      </w:r>
      <w:r>
        <w:t>.</w:t>
      </w:r>
    </w:p>
    <w:p w:rsidR="00656D87" w:rsidRDefault="00656D87" w:rsidP="00656D87">
      <w:pPr>
        <w:jc w:val="both"/>
      </w:pPr>
    </w:p>
    <w:tbl>
      <w:tblPr>
        <w:tblStyle w:val="TableGrid"/>
        <w:tblW w:w="0" w:type="auto"/>
        <w:tblLook w:val="04A0" w:firstRow="1" w:lastRow="0" w:firstColumn="1" w:lastColumn="0" w:noHBand="0" w:noVBand="1"/>
        <w:tblCaption w:val="Table 44:  Projected GoV-funded school grant costs  for Year 7-8 students, status quo estimates of enrolments (VT million)"/>
      </w:tblPr>
      <w:tblGrid>
        <w:gridCol w:w="3588"/>
        <w:gridCol w:w="1197"/>
        <w:gridCol w:w="1196"/>
        <w:gridCol w:w="1196"/>
        <w:gridCol w:w="1196"/>
        <w:gridCol w:w="1197"/>
      </w:tblGrid>
      <w:tr w:rsidR="00656D87" w:rsidTr="00D339A4">
        <w:trPr>
          <w:tblHeader/>
        </w:trPr>
        <w:tc>
          <w:tcPr>
            <w:tcW w:w="9570" w:type="dxa"/>
            <w:gridSpan w:val="6"/>
            <w:shd w:val="clear" w:color="auto" w:fill="BFBFBF" w:themeFill="background1" w:themeFillShade="BF"/>
          </w:tcPr>
          <w:p w:rsidR="00743573" w:rsidRDefault="00656D87">
            <w:pPr>
              <w:jc w:val="both"/>
            </w:pPr>
            <w:r>
              <w:lastRenderedPageBreak/>
              <w:t xml:space="preserve">Table </w:t>
            </w:r>
            <w:r w:rsidR="00CA2905">
              <w:t>4</w:t>
            </w:r>
            <w:r w:rsidR="00A11254">
              <w:t>4</w:t>
            </w:r>
            <w:r>
              <w:t xml:space="preserve">:  Projected </w:t>
            </w:r>
            <w:proofErr w:type="spellStart"/>
            <w:r>
              <w:t>GoV</w:t>
            </w:r>
            <w:proofErr w:type="spellEnd"/>
            <w:r>
              <w:t>-funded school grant costs  for Year 7-8 students, status quo estimates of enrolments (VT million)</w:t>
            </w:r>
          </w:p>
        </w:tc>
      </w:tr>
      <w:tr w:rsidR="00656D87" w:rsidTr="00C05FAA">
        <w:trPr>
          <w:trHeight w:val="285"/>
        </w:trPr>
        <w:tc>
          <w:tcPr>
            <w:tcW w:w="3588" w:type="dxa"/>
          </w:tcPr>
          <w:p w:rsidR="00656D87" w:rsidRDefault="00656D87" w:rsidP="00C05FAA">
            <w:pPr>
              <w:jc w:val="both"/>
            </w:pPr>
          </w:p>
        </w:tc>
        <w:tc>
          <w:tcPr>
            <w:tcW w:w="1197" w:type="dxa"/>
          </w:tcPr>
          <w:p w:rsidR="00656D87" w:rsidRDefault="00656D87" w:rsidP="00C05FAA">
            <w:pPr>
              <w:jc w:val="center"/>
            </w:pPr>
            <w:r>
              <w:t>2013</w:t>
            </w:r>
          </w:p>
        </w:tc>
        <w:tc>
          <w:tcPr>
            <w:tcW w:w="1196" w:type="dxa"/>
          </w:tcPr>
          <w:p w:rsidR="00656D87" w:rsidRDefault="00656D87" w:rsidP="00C05FAA">
            <w:pPr>
              <w:jc w:val="center"/>
            </w:pPr>
            <w:r>
              <w:t>2014</w:t>
            </w:r>
          </w:p>
        </w:tc>
        <w:tc>
          <w:tcPr>
            <w:tcW w:w="1196" w:type="dxa"/>
          </w:tcPr>
          <w:p w:rsidR="00656D87" w:rsidRDefault="00656D87" w:rsidP="00C05FAA">
            <w:pPr>
              <w:jc w:val="center"/>
            </w:pPr>
            <w:r>
              <w:t>2015</w:t>
            </w:r>
          </w:p>
        </w:tc>
        <w:tc>
          <w:tcPr>
            <w:tcW w:w="1196" w:type="dxa"/>
          </w:tcPr>
          <w:p w:rsidR="00656D87" w:rsidRDefault="00656D87" w:rsidP="00C05FAA">
            <w:pPr>
              <w:jc w:val="center"/>
            </w:pPr>
            <w:r>
              <w:t>2016</w:t>
            </w:r>
          </w:p>
        </w:tc>
        <w:tc>
          <w:tcPr>
            <w:tcW w:w="1197" w:type="dxa"/>
          </w:tcPr>
          <w:p w:rsidR="00656D87" w:rsidRDefault="00656D87" w:rsidP="00C05FAA">
            <w:pPr>
              <w:jc w:val="center"/>
            </w:pPr>
            <w:r>
              <w:t>2017</w:t>
            </w:r>
          </w:p>
        </w:tc>
      </w:tr>
      <w:tr w:rsidR="00656D87" w:rsidTr="00C05FAA">
        <w:trPr>
          <w:trHeight w:val="285"/>
        </w:trPr>
        <w:tc>
          <w:tcPr>
            <w:tcW w:w="3588" w:type="dxa"/>
          </w:tcPr>
          <w:p w:rsidR="00656D87" w:rsidRDefault="00656D87" w:rsidP="00C05FAA">
            <w:pPr>
              <w:jc w:val="both"/>
            </w:pPr>
            <w:r>
              <w:t>At current VT3,668 per head</w:t>
            </w:r>
          </w:p>
        </w:tc>
        <w:tc>
          <w:tcPr>
            <w:tcW w:w="1197" w:type="dxa"/>
          </w:tcPr>
          <w:p w:rsidR="00656D87" w:rsidRDefault="00656D87" w:rsidP="00C05FAA">
            <w:pPr>
              <w:jc w:val="center"/>
            </w:pPr>
            <w:r>
              <w:t>27.8</w:t>
            </w:r>
          </w:p>
        </w:tc>
        <w:tc>
          <w:tcPr>
            <w:tcW w:w="1196" w:type="dxa"/>
          </w:tcPr>
          <w:p w:rsidR="00656D87" w:rsidRDefault="00656D87" w:rsidP="00C05FAA">
            <w:pPr>
              <w:jc w:val="center"/>
            </w:pPr>
            <w:r>
              <w:t>28.0</w:t>
            </w:r>
          </w:p>
        </w:tc>
        <w:tc>
          <w:tcPr>
            <w:tcW w:w="1196" w:type="dxa"/>
          </w:tcPr>
          <w:p w:rsidR="00656D87" w:rsidRDefault="00656D87" w:rsidP="00C05FAA">
            <w:pPr>
              <w:jc w:val="center"/>
            </w:pPr>
            <w:r>
              <w:t>28.2</w:t>
            </w:r>
          </w:p>
        </w:tc>
        <w:tc>
          <w:tcPr>
            <w:tcW w:w="1196" w:type="dxa"/>
          </w:tcPr>
          <w:p w:rsidR="00656D87" w:rsidRDefault="00656D87" w:rsidP="00C05FAA">
            <w:pPr>
              <w:jc w:val="center"/>
            </w:pPr>
            <w:r>
              <w:t>28.4</w:t>
            </w:r>
          </w:p>
        </w:tc>
        <w:tc>
          <w:tcPr>
            <w:tcW w:w="1197" w:type="dxa"/>
          </w:tcPr>
          <w:p w:rsidR="00656D87" w:rsidRDefault="00656D87" w:rsidP="00C05FAA">
            <w:pPr>
              <w:jc w:val="center"/>
            </w:pPr>
            <w:r>
              <w:t>28.6</w:t>
            </w:r>
          </w:p>
        </w:tc>
      </w:tr>
      <w:tr w:rsidR="00656D87" w:rsidTr="00C05FAA">
        <w:trPr>
          <w:trHeight w:val="285"/>
        </w:trPr>
        <w:tc>
          <w:tcPr>
            <w:tcW w:w="3588" w:type="dxa"/>
          </w:tcPr>
          <w:p w:rsidR="00656D87" w:rsidRDefault="00656D87" w:rsidP="00C05FAA">
            <w:pPr>
              <w:jc w:val="both"/>
            </w:pPr>
            <w:r>
              <w:t>At an increase to VT8,900 per head</w:t>
            </w:r>
            <w:r>
              <w:rPr>
                <w:rStyle w:val="FootnoteReference"/>
              </w:rPr>
              <w:footnoteReference w:id="72"/>
            </w:r>
          </w:p>
        </w:tc>
        <w:tc>
          <w:tcPr>
            <w:tcW w:w="1197" w:type="dxa"/>
          </w:tcPr>
          <w:p w:rsidR="00656D87" w:rsidRDefault="00656D87" w:rsidP="00C05FAA">
            <w:pPr>
              <w:jc w:val="center"/>
            </w:pPr>
            <w:r>
              <w:t>67.5</w:t>
            </w:r>
          </w:p>
        </w:tc>
        <w:tc>
          <w:tcPr>
            <w:tcW w:w="1196" w:type="dxa"/>
          </w:tcPr>
          <w:p w:rsidR="00656D87" w:rsidRDefault="00656D87" w:rsidP="00C05FAA">
            <w:pPr>
              <w:jc w:val="center"/>
            </w:pPr>
            <w:r>
              <w:t>68.0</w:t>
            </w:r>
          </w:p>
        </w:tc>
        <w:tc>
          <w:tcPr>
            <w:tcW w:w="1196" w:type="dxa"/>
          </w:tcPr>
          <w:p w:rsidR="00656D87" w:rsidRDefault="00656D87" w:rsidP="00C05FAA">
            <w:pPr>
              <w:jc w:val="center"/>
            </w:pPr>
            <w:r>
              <w:t>68.4</w:t>
            </w:r>
          </w:p>
        </w:tc>
        <w:tc>
          <w:tcPr>
            <w:tcW w:w="1196" w:type="dxa"/>
          </w:tcPr>
          <w:p w:rsidR="00656D87" w:rsidRDefault="00656D87" w:rsidP="00C05FAA">
            <w:pPr>
              <w:jc w:val="center"/>
            </w:pPr>
            <w:r>
              <w:t>68.9</w:t>
            </w:r>
          </w:p>
        </w:tc>
        <w:tc>
          <w:tcPr>
            <w:tcW w:w="1197" w:type="dxa"/>
          </w:tcPr>
          <w:p w:rsidR="00656D87" w:rsidRDefault="00656D87" w:rsidP="00C05FAA">
            <w:pPr>
              <w:jc w:val="center"/>
            </w:pPr>
            <w:r>
              <w:t>69.4</w:t>
            </w:r>
          </w:p>
        </w:tc>
      </w:tr>
      <w:tr w:rsidR="00656D87" w:rsidTr="00C05FAA">
        <w:trPr>
          <w:trHeight w:val="285"/>
        </w:trPr>
        <w:tc>
          <w:tcPr>
            <w:tcW w:w="3588" w:type="dxa"/>
          </w:tcPr>
          <w:p w:rsidR="00656D87" w:rsidRDefault="00656D87" w:rsidP="00C05FAA">
            <w:pPr>
              <w:jc w:val="both"/>
            </w:pPr>
            <w:r>
              <w:t>Difference</w:t>
            </w:r>
          </w:p>
        </w:tc>
        <w:tc>
          <w:tcPr>
            <w:tcW w:w="1197" w:type="dxa"/>
          </w:tcPr>
          <w:p w:rsidR="00656D87" w:rsidRDefault="00656D87" w:rsidP="00C05FAA">
            <w:pPr>
              <w:jc w:val="center"/>
            </w:pPr>
            <w:r>
              <w:t>39.7</w:t>
            </w:r>
          </w:p>
        </w:tc>
        <w:tc>
          <w:tcPr>
            <w:tcW w:w="1196" w:type="dxa"/>
          </w:tcPr>
          <w:p w:rsidR="00656D87" w:rsidRDefault="00656D87" w:rsidP="00C05FAA">
            <w:pPr>
              <w:jc w:val="center"/>
            </w:pPr>
            <w:r>
              <w:t>40.0</w:t>
            </w:r>
          </w:p>
        </w:tc>
        <w:tc>
          <w:tcPr>
            <w:tcW w:w="1196" w:type="dxa"/>
          </w:tcPr>
          <w:p w:rsidR="00656D87" w:rsidRDefault="00656D87" w:rsidP="00C05FAA">
            <w:pPr>
              <w:jc w:val="center"/>
            </w:pPr>
            <w:r>
              <w:t>40.2</w:t>
            </w:r>
          </w:p>
        </w:tc>
        <w:tc>
          <w:tcPr>
            <w:tcW w:w="1196" w:type="dxa"/>
          </w:tcPr>
          <w:p w:rsidR="00656D87" w:rsidRDefault="00656D87" w:rsidP="00C05FAA">
            <w:pPr>
              <w:jc w:val="center"/>
            </w:pPr>
            <w:r>
              <w:t>40.5</w:t>
            </w:r>
          </w:p>
        </w:tc>
        <w:tc>
          <w:tcPr>
            <w:tcW w:w="1197" w:type="dxa"/>
          </w:tcPr>
          <w:p w:rsidR="00656D87" w:rsidRDefault="00656D87" w:rsidP="00C05FAA">
            <w:pPr>
              <w:jc w:val="center"/>
            </w:pPr>
            <w:r>
              <w:t>40.8</w:t>
            </w:r>
          </w:p>
        </w:tc>
      </w:tr>
    </w:tbl>
    <w:p w:rsidR="00075122" w:rsidRDefault="00075122" w:rsidP="00656D87">
      <w:pPr>
        <w:sectPr w:rsidR="00075122" w:rsidSect="006425FC">
          <w:pgSz w:w="11906" w:h="16838" w:code="9"/>
          <w:pgMar w:top="1134" w:right="1134" w:bottom="1134" w:left="1418" w:header="709" w:footer="709" w:gutter="0"/>
          <w:cols w:space="708"/>
          <w:docGrid w:linePitch="360"/>
        </w:sectPr>
      </w:pPr>
    </w:p>
    <w:p w:rsidR="004644CE" w:rsidRDefault="004644CE" w:rsidP="005727F2">
      <w:pPr>
        <w:pStyle w:val="Heading1"/>
      </w:pPr>
      <w:bookmarkStart w:id="255" w:name="_Toc341210817"/>
      <w:bookmarkStart w:id="256" w:name="_Toc341210936"/>
      <w:bookmarkStart w:id="257" w:name="_Toc341265754"/>
      <w:bookmarkStart w:id="258" w:name="_Toc343257317"/>
      <w:bookmarkStart w:id="259" w:name="_Toc343257431"/>
      <w:bookmarkStart w:id="260" w:name="_Toc348711352"/>
      <w:r>
        <w:lastRenderedPageBreak/>
        <w:t>Section 3:</w:t>
      </w:r>
      <w:r w:rsidRPr="00235950">
        <w:t xml:space="preserve"> Findings and recommendations</w:t>
      </w:r>
      <w:bookmarkEnd w:id="255"/>
      <w:bookmarkEnd w:id="256"/>
      <w:bookmarkEnd w:id="257"/>
      <w:bookmarkEnd w:id="258"/>
      <w:bookmarkEnd w:id="259"/>
      <w:bookmarkEnd w:id="260"/>
    </w:p>
    <w:p w:rsidR="004644CE" w:rsidRDefault="004644CE" w:rsidP="00160C19">
      <w:pPr>
        <w:pStyle w:val="Heading2"/>
      </w:pPr>
      <w:bookmarkStart w:id="261" w:name="_Toc341210818"/>
      <w:bookmarkStart w:id="262" w:name="_Toc341210937"/>
      <w:bookmarkStart w:id="263" w:name="_Toc341265755"/>
      <w:bookmarkStart w:id="264" w:name="_Toc343257318"/>
      <w:bookmarkStart w:id="265" w:name="_Toc343257432"/>
      <w:bookmarkStart w:id="266" w:name="_Toc348711353"/>
      <w:r w:rsidRPr="00235950">
        <w:t>3.1 Findings</w:t>
      </w:r>
      <w:bookmarkEnd w:id="261"/>
      <w:bookmarkEnd w:id="262"/>
      <w:bookmarkEnd w:id="263"/>
      <w:bookmarkEnd w:id="264"/>
      <w:bookmarkEnd w:id="265"/>
      <w:bookmarkEnd w:id="266"/>
    </w:p>
    <w:p w:rsidR="004644CE" w:rsidRDefault="004644CE" w:rsidP="004644CE">
      <w:pPr>
        <w:jc w:val="both"/>
      </w:pPr>
    </w:p>
    <w:p w:rsidR="004644CE" w:rsidRDefault="004644CE" w:rsidP="004644CE">
      <w:pPr>
        <w:jc w:val="both"/>
      </w:pPr>
      <w:r>
        <w:t>The review’s main findings are presented in the form of answers to a series of questions (including those posed in the review’s terms of reference).</w:t>
      </w:r>
    </w:p>
    <w:p w:rsidR="004644CE" w:rsidRDefault="004644CE" w:rsidP="00160C19">
      <w:pPr>
        <w:pStyle w:val="Heading3"/>
      </w:pPr>
      <w:bookmarkStart w:id="267" w:name="_Toc341210819"/>
      <w:bookmarkStart w:id="268" w:name="_Toc343257319"/>
      <w:r w:rsidRPr="00235950">
        <w:t>Is budgeted expenditure on education allocated in line with strategic objectives?</w:t>
      </w:r>
      <w:bookmarkEnd w:id="267"/>
      <w:bookmarkEnd w:id="268"/>
      <w:r w:rsidRPr="00235950">
        <w:t xml:space="preserve"> </w:t>
      </w:r>
    </w:p>
    <w:p w:rsidR="004644CE" w:rsidRDefault="004644CE" w:rsidP="004644CE">
      <w:pPr>
        <w:jc w:val="both"/>
      </w:pPr>
    </w:p>
    <w:p w:rsidR="004644CE" w:rsidRDefault="004644CE" w:rsidP="004644CE">
      <w:pPr>
        <w:jc w:val="both"/>
      </w:pPr>
      <w:r>
        <w:t xml:space="preserve">At the aggregate level </w:t>
      </w:r>
      <w:proofErr w:type="spellStart"/>
      <w:r>
        <w:t>MoE’s</w:t>
      </w:r>
      <w:proofErr w:type="spellEnd"/>
      <w:r>
        <w:t xml:space="preserve"> budgets and expenditures as a proportion of total </w:t>
      </w:r>
      <w:proofErr w:type="spellStart"/>
      <w:r>
        <w:t>GoV</w:t>
      </w:r>
      <w:proofErr w:type="spellEnd"/>
      <w:r>
        <w:t>-funded recurrent expenditure  have been trending upwards over the past decade, albeit with fluctuations from year to year.  Its budgets have also been on a (slightly) upward trend as a proportion of Vanuatu’s GDP.  Both trends are consistent with the high priority attached by successive governments to raising access to and the quality of education.</w:t>
      </w:r>
    </w:p>
    <w:p w:rsidR="004644CE" w:rsidRDefault="004644CE" w:rsidP="004644CE">
      <w:pPr>
        <w:jc w:val="both"/>
      </w:pPr>
    </w:p>
    <w:p w:rsidR="004644CE" w:rsidRDefault="004644CE" w:rsidP="004644CE">
      <w:pPr>
        <w:jc w:val="both"/>
      </w:pPr>
      <w:r>
        <w:t xml:space="preserve">At the sub sector level, Pool Partner funding of priorities identified in the VERM and any </w:t>
      </w:r>
      <w:proofErr w:type="spellStart"/>
      <w:r>
        <w:t>GoV</w:t>
      </w:r>
      <w:proofErr w:type="spellEnd"/>
      <w:r>
        <w:t xml:space="preserve"> funding directly linked to Pool Partner funding has been aligned with the main priorities articulated by the VERM.  Beyond this it is difficult to compare </w:t>
      </w:r>
      <w:proofErr w:type="spellStart"/>
      <w:r>
        <w:t>GoV</w:t>
      </w:r>
      <w:proofErr w:type="spellEnd"/>
      <w:r>
        <w:t xml:space="preserve"> budget and expenditure trends at sub sector levels to the </w:t>
      </w:r>
      <w:proofErr w:type="spellStart"/>
      <w:r>
        <w:t>GoV’s</w:t>
      </w:r>
      <w:proofErr w:type="spellEnd"/>
      <w:r>
        <w:t xml:space="preserve"> stated priorities at these levels because:</w:t>
      </w:r>
    </w:p>
    <w:p w:rsidR="004644CE" w:rsidRDefault="004644CE" w:rsidP="004644CE">
      <w:pPr>
        <w:jc w:val="both"/>
      </w:pPr>
    </w:p>
    <w:p w:rsidR="004644CE" w:rsidRDefault="004644CE" w:rsidP="00501831">
      <w:pPr>
        <w:pStyle w:val="ListParagraph"/>
        <w:numPr>
          <w:ilvl w:val="0"/>
          <w:numId w:val="28"/>
        </w:numPr>
        <w:jc w:val="both"/>
      </w:pPr>
      <w:r>
        <w:t xml:space="preserve">the </w:t>
      </w:r>
      <w:proofErr w:type="spellStart"/>
      <w:r>
        <w:t>GoV</w:t>
      </w:r>
      <w:proofErr w:type="spellEnd"/>
      <w:r>
        <w:t xml:space="preserve"> has articulated via multiple policy statements for the education sector as a whole and sub sectors within it an extensive number of ‘priorities’ covering all sub sectors;</w:t>
      </w:r>
    </w:p>
    <w:p w:rsidR="004644CE" w:rsidRDefault="004644CE" w:rsidP="00501831">
      <w:pPr>
        <w:pStyle w:val="ListParagraph"/>
        <w:numPr>
          <w:ilvl w:val="0"/>
          <w:numId w:val="28"/>
        </w:numPr>
        <w:jc w:val="both"/>
      </w:pPr>
      <w:r>
        <w:t xml:space="preserve">in almost all cases these sub-sector ‘priorities’ have not been costed or integrated within an annual </w:t>
      </w:r>
      <w:r w:rsidR="00157C6F">
        <w:t xml:space="preserve">or </w:t>
      </w:r>
      <w:r>
        <w:t>medium-term budget framework for the education sector as a whole.</w:t>
      </w:r>
    </w:p>
    <w:p w:rsidR="004644CE" w:rsidRDefault="004644CE" w:rsidP="004644CE">
      <w:pPr>
        <w:jc w:val="both"/>
      </w:pPr>
    </w:p>
    <w:p w:rsidR="004644CE" w:rsidRDefault="004644CE" w:rsidP="004644CE">
      <w:pPr>
        <w:jc w:val="both"/>
      </w:pPr>
      <w:r>
        <w:t xml:space="preserve">In addition to its own stated priorities the </w:t>
      </w:r>
      <w:proofErr w:type="spellStart"/>
      <w:r>
        <w:t>GoV</w:t>
      </w:r>
      <w:proofErr w:type="spellEnd"/>
      <w:r>
        <w:t xml:space="preserve"> has subscribed to the MDG and EFA goals, both of which place principal emphasis on improving the quantity and quality of primary education.  Assessed against this priority, </w:t>
      </w:r>
      <w:proofErr w:type="spellStart"/>
      <w:r>
        <w:t>GoV</w:t>
      </w:r>
      <w:proofErr w:type="spellEnd"/>
      <w:r>
        <w:t xml:space="preserve">-funded budgets and expenditures have been heading in the opposite direction.  Table </w:t>
      </w:r>
      <w:r w:rsidR="00CA2905">
        <w:t>4</w:t>
      </w:r>
      <w:r w:rsidR="002549E6">
        <w:t>5</w:t>
      </w:r>
      <w:r>
        <w:t>, reproduced from Section 2.1, demonstrates the point.</w:t>
      </w:r>
    </w:p>
    <w:p w:rsidR="004644CE" w:rsidRDefault="004644CE" w:rsidP="004644CE">
      <w:pPr>
        <w:jc w:val="both"/>
      </w:pPr>
    </w:p>
    <w:tbl>
      <w:tblPr>
        <w:tblStyle w:val="TableGrid"/>
        <w:tblW w:w="8505" w:type="dxa"/>
        <w:jc w:val="center"/>
        <w:tblLook w:val="04A0" w:firstRow="1" w:lastRow="0" w:firstColumn="1" w:lastColumn="0" w:noHBand="0" w:noVBand="1"/>
        <w:tblCaption w:val="Table 45: Percentage changes in sub sector budgeted expenditures, 2011 on 2007, in real terms (2006 prices)"/>
      </w:tblPr>
      <w:tblGrid>
        <w:gridCol w:w="5980"/>
        <w:gridCol w:w="2525"/>
      </w:tblGrid>
      <w:tr w:rsidR="004644CE" w:rsidTr="00D339A4">
        <w:trPr>
          <w:tblHeader/>
          <w:jc w:val="center"/>
        </w:trPr>
        <w:tc>
          <w:tcPr>
            <w:tcW w:w="9570" w:type="dxa"/>
            <w:gridSpan w:val="2"/>
            <w:shd w:val="clear" w:color="auto" w:fill="BFBFBF" w:themeFill="background1" w:themeFillShade="BF"/>
          </w:tcPr>
          <w:p w:rsidR="00743573" w:rsidRDefault="004644CE">
            <w:r>
              <w:t xml:space="preserve">Table </w:t>
            </w:r>
            <w:r w:rsidR="00CA2905">
              <w:t>4</w:t>
            </w:r>
            <w:r w:rsidR="00A11254">
              <w:t>5</w:t>
            </w:r>
            <w:r>
              <w:t>: Percentage changes in sub sector budgeted expenditures, 2011 on 2007, in real terms (2006 prices)</w:t>
            </w:r>
          </w:p>
        </w:tc>
      </w:tr>
      <w:tr w:rsidR="004644CE" w:rsidTr="00C05FAA">
        <w:trPr>
          <w:jc w:val="center"/>
        </w:trPr>
        <w:tc>
          <w:tcPr>
            <w:tcW w:w="6771" w:type="dxa"/>
          </w:tcPr>
          <w:p w:rsidR="004644CE" w:rsidRDefault="004644CE" w:rsidP="00C05FAA">
            <w:pPr>
              <w:jc w:val="both"/>
            </w:pPr>
          </w:p>
        </w:tc>
        <w:tc>
          <w:tcPr>
            <w:tcW w:w="2799" w:type="dxa"/>
          </w:tcPr>
          <w:p w:rsidR="004644CE" w:rsidRDefault="004644CE" w:rsidP="00C05FAA">
            <w:pPr>
              <w:jc w:val="center"/>
            </w:pPr>
            <w:r>
              <w:t>Real change</w:t>
            </w:r>
          </w:p>
        </w:tc>
      </w:tr>
      <w:tr w:rsidR="004644CE" w:rsidTr="00C05FAA">
        <w:trPr>
          <w:jc w:val="center"/>
        </w:trPr>
        <w:tc>
          <w:tcPr>
            <w:tcW w:w="6771" w:type="dxa"/>
          </w:tcPr>
          <w:p w:rsidR="004644CE" w:rsidRDefault="004644CE" w:rsidP="00C05FAA">
            <w:pPr>
              <w:jc w:val="both"/>
            </w:pPr>
            <w:r>
              <w:t>Primary schools</w:t>
            </w:r>
          </w:p>
        </w:tc>
        <w:tc>
          <w:tcPr>
            <w:tcW w:w="2799" w:type="dxa"/>
          </w:tcPr>
          <w:p w:rsidR="004644CE" w:rsidRDefault="004644CE" w:rsidP="00C05FAA">
            <w:pPr>
              <w:jc w:val="center"/>
            </w:pPr>
            <w:r>
              <w:t>- 0.6%</w:t>
            </w:r>
          </w:p>
        </w:tc>
      </w:tr>
      <w:tr w:rsidR="004644CE" w:rsidTr="00C05FAA">
        <w:trPr>
          <w:jc w:val="center"/>
        </w:trPr>
        <w:tc>
          <w:tcPr>
            <w:tcW w:w="6771" w:type="dxa"/>
          </w:tcPr>
          <w:p w:rsidR="004644CE" w:rsidRDefault="004644CE" w:rsidP="00C05FAA">
            <w:pPr>
              <w:jc w:val="both"/>
            </w:pPr>
            <w:r>
              <w:t>Secondary Schools</w:t>
            </w:r>
          </w:p>
        </w:tc>
        <w:tc>
          <w:tcPr>
            <w:tcW w:w="2799" w:type="dxa"/>
          </w:tcPr>
          <w:p w:rsidR="004644CE" w:rsidRDefault="004644CE" w:rsidP="00C05FAA">
            <w:pPr>
              <w:jc w:val="center"/>
            </w:pPr>
            <w:r>
              <w:t>- 7.3%</w:t>
            </w:r>
          </w:p>
        </w:tc>
      </w:tr>
      <w:tr w:rsidR="004644CE" w:rsidTr="00C05FAA">
        <w:trPr>
          <w:jc w:val="center"/>
        </w:trPr>
        <w:tc>
          <w:tcPr>
            <w:tcW w:w="6771" w:type="dxa"/>
          </w:tcPr>
          <w:p w:rsidR="004644CE" w:rsidRDefault="004644CE" w:rsidP="00C05FAA">
            <w:pPr>
              <w:jc w:val="both"/>
            </w:pPr>
            <w:r>
              <w:t xml:space="preserve">VIT, VITE, MYDT and MFEM </w:t>
            </w:r>
            <w:proofErr w:type="spellStart"/>
            <w:r>
              <w:t>post secondary</w:t>
            </w:r>
            <w:proofErr w:type="spellEnd"/>
            <w:r>
              <w:t xml:space="preserve"> budgets</w:t>
            </w:r>
          </w:p>
        </w:tc>
        <w:tc>
          <w:tcPr>
            <w:tcW w:w="2799" w:type="dxa"/>
          </w:tcPr>
          <w:p w:rsidR="004644CE" w:rsidRDefault="004644CE" w:rsidP="00C05FAA">
            <w:pPr>
              <w:jc w:val="center"/>
            </w:pPr>
            <w:r>
              <w:t>+ 90.9%</w:t>
            </w:r>
          </w:p>
        </w:tc>
      </w:tr>
      <w:tr w:rsidR="004644CE" w:rsidTr="00C05FAA">
        <w:trPr>
          <w:jc w:val="center"/>
        </w:trPr>
        <w:tc>
          <w:tcPr>
            <w:tcW w:w="6771" w:type="dxa"/>
          </w:tcPr>
          <w:p w:rsidR="004644CE" w:rsidRDefault="004644CE" w:rsidP="00C05FAA">
            <w:pPr>
              <w:jc w:val="both"/>
            </w:pPr>
            <w:r>
              <w:t>Scholarships</w:t>
            </w:r>
          </w:p>
        </w:tc>
        <w:tc>
          <w:tcPr>
            <w:tcW w:w="2799" w:type="dxa"/>
          </w:tcPr>
          <w:p w:rsidR="004644CE" w:rsidRDefault="004644CE" w:rsidP="00C05FAA">
            <w:pPr>
              <w:jc w:val="center"/>
            </w:pPr>
            <w:r>
              <w:t>+ 464.1%</w:t>
            </w:r>
          </w:p>
        </w:tc>
      </w:tr>
      <w:tr w:rsidR="004644CE" w:rsidTr="00C05FAA">
        <w:trPr>
          <w:jc w:val="center"/>
        </w:trPr>
        <w:tc>
          <w:tcPr>
            <w:tcW w:w="9570" w:type="dxa"/>
            <w:gridSpan w:val="2"/>
          </w:tcPr>
          <w:p w:rsidR="004644CE" w:rsidRDefault="004644CE" w:rsidP="00C05FAA">
            <w:r>
              <w:t xml:space="preserve">Source:  Derived from dissection of </w:t>
            </w:r>
            <w:proofErr w:type="spellStart"/>
            <w:r>
              <w:t>MoE</w:t>
            </w:r>
            <w:proofErr w:type="spellEnd"/>
            <w:r>
              <w:t xml:space="preserve"> original budgets 2007-2011, converted to2006 prices by the GDP Price Deflator from ADB Key Indicators for Asia and the Pacific. </w:t>
            </w:r>
          </w:p>
        </w:tc>
      </w:tr>
    </w:tbl>
    <w:p w:rsidR="004644CE" w:rsidRDefault="004644CE" w:rsidP="004644CE">
      <w:pPr>
        <w:jc w:val="both"/>
      </w:pPr>
    </w:p>
    <w:p w:rsidR="004644CE" w:rsidRDefault="004644CE" w:rsidP="004644CE">
      <w:pPr>
        <w:jc w:val="both"/>
      </w:pPr>
      <w:r>
        <w:t xml:space="preserve">The </w:t>
      </w:r>
      <w:r w:rsidRPr="002B09C9">
        <w:rPr>
          <w:i/>
        </w:rPr>
        <w:t>development</w:t>
      </w:r>
      <w:r>
        <w:t xml:space="preserve"> challenges facing the primary school sub sector in particular are being addressed almost exclusively by </w:t>
      </w:r>
      <w:r w:rsidR="008C4967">
        <w:t>d</w:t>
      </w:r>
      <w:r>
        <w:t xml:space="preserve">evelopment </w:t>
      </w:r>
      <w:r w:rsidR="008C4967">
        <w:t>p</w:t>
      </w:r>
      <w:r>
        <w:t xml:space="preserve">artner funding. </w:t>
      </w:r>
    </w:p>
    <w:p w:rsidR="004644CE" w:rsidRDefault="004644CE" w:rsidP="00160C19">
      <w:pPr>
        <w:pStyle w:val="Heading3"/>
      </w:pPr>
      <w:bookmarkStart w:id="269" w:name="_Toc341210820"/>
      <w:bookmarkStart w:id="270" w:name="_Toc343257320"/>
      <w:r w:rsidRPr="00235950">
        <w:t>Are education budgets executed as intended?</w:t>
      </w:r>
      <w:bookmarkEnd w:id="269"/>
      <w:bookmarkEnd w:id="270"/>
    </w:p>
    <w:p w:rsidR="004644CE" w:rsidRDefault="004644CE" w:rsidP="004644CE">
      <w:pPr>
        <w:jc w:val="both"/>
      </w:pPr>
    </w:p>
    <w:p w:rsidR="004644CE" w:rsidRDefault="004644CE" w:rsidP="004644CE">
      <w:pPr>
        <w:jc w:val="both"/>
      </w:pPr>
      <w:r>
        <w:t xml:space="preserve">Yes, broadly speaking, at the level of </w:t>
      </w:r>
      <w:proofErr w:type="spellStart"/>
      <w:r>
        <w:t>MoE</w:t>
      </w:r>
      <w:proofErr w:type="spellEnd"/>
      <w:r>
        <w:t xml:space="preserve"> as a whole.  Below that level, non-salary expenditure patterns increasingly diverge from original budgets in the descending hierarchy of </w:t>
      </w:r>
      <w:proofErr w:type="spellStart"/>
      <w:r>
        <w:t>MoE</w:t>
      </w:r>
      <w:proofErr w:type="spellEnd"/>
      <w:r>
        <w:t xml:space="preserve"> programs</w:t>
      </w:r>
      <w:r w:rsidR="00157C6F">
        <w:t xml:space="preserve"> and </w:t>
      </w:r>
      <w:r>
        <w:t>cost centres</w:t>
      </w:r>
      <w:r w:rsidR="00157C6F">
        <w:t>.</w:t>
      </w:r>
    </w:p>
    <w:p w:rsidR="004644CE" w:rsidRDefault="004644CE" w:rsidP="004644CE">
      <w:pPr>
        <w:jc w:val="both"/>
      </w:pPr>
    </w:p>
    <w:p w:rsidR="00356D92" w:rsidRDefault="004644CE" w:rsidP="003E13EF">
      <w:pPr>
        <w:jc w:val="both"/>
        <w:rPr>
          <w:i/>
        </w:rPr>
      </w:pPr>
      <w:proofErr w:type="spellStart"/>
      <w:r>
        <w:lastRenderedPageBreak/>
        <w:t>MoE’s</w:t>
      </w:r>
      <w:proofErr w:type="spellEnd"/>
      <w:r>
        <w:t xml:space="preserve"> aggregate </w:t>
      </w:r>
      <w:proofErr w:type="spellStart"/>
      <w:r>
        <w:t>GoV</w:t>
      </w:r>
      <w:proofErr w:type="spellEnd"/>
      <w:r>
        <w:t>-funded expenditures over the period 2008-2011 were within plus 1.9% at most of its original annual budgets and within minus 0.8% to plus 1.5% of its final budgets. This relatively narrow divergence between aggregate budgets and actual expenditures almost certainly reflects - primarily - tight ‘macro’ expenditure control by MFEM.  At the program level there are</w:t>
      </w:r>
      <w:r w:rsidR="00157C6F">
        <w:t xml:space="preserve"> </w:t>
      </w:r>
      <w:r>
        <w:t>large variations between budgets and actual expenditures (up to around 34% over budget and 25% below budget in some cases)</w:t>
      </w:r>
      <w:r w:rsidR="00157C6F">
        <w:t xml:space="preserve">.  At the cost centre level data on original budgets and actual expenditures at this level indicate that in 2011 some one-third of </w:t>
      </w:r>
      <w:proofErr w:type="spellStart"/>
      <w:r w:rsidR="00157C6F">
        <w:t>MoE’s</w:t>
      </w:r>
      <w:proofErr w:type="spellEnd"/>
      <w:r w:rsidR="00157C6F">
        <w:t xml:space="preserve"> 58 cost centres in that year recorded divergences of 10% or more between their original budgets and actual expenditures.  This indicates </w:t>
      </w:r>
      <w:r>
        <w:t xml:space="preserve">significant weaknesses in budget planning and/or subsequent expenditure control within </w:t>
      </w:r>
      <w:proofErr w:type="spellStart"/>
      <w:r>
        <w:t>MoE</w:t>
      </w:r>
      <w:proofErr w:type="spellEnd"/>
      <w:r w:rsidR="00157C6F">
        <w:t>.</w:t>
      </w:r>
      <w:bookmarkStart w:id="271" w:name="_Toc341210821"/>
    </w:p>
    <w:p w:rsidR="00356D92" w:rsidRPr="003E13EF" w:rsidRDefault="0038270A" w:rsidP="00160C19">
      <w:pPr>
        <w:pStyle w:val="Heading3"/>
      </w:pPr>
      <w:bookmarkStart w:id="272" w:name="_Toc343257321"/>
      <w:r w:rsidRPr="003E13EF">
        <w:t>Does education spending reach its intended beneficiaries?</w:t>
      </w:r>
      <w:bookmarkEnd w:id="271"/>
      <w:bookmarkEnd w:id="272"/>
    </w:p>
    <w:p w:rsidR="004644CE" w:rsidRDefault="004644CE" w:rsidP="004644CE">
      <w:pPr>
        <w:jc w:val="both"/>
      </w:pPr>
    </w:p>
    <w:p w:rsidR="004644CE" w:rsidRDefault="004644CE" w:rsidP="004644CE">
      <w:pPr>
        <w:jc w:val="both"/>
      </w:pPr>
      <w:r>
        <w:t xml:space="preserve">Some 80% of </w:t>
      </w:r>
      <w:proofErr w:type="spellStart"/>
      <w:r>
        <w:t>MoE’s</w:t>
      </w:r>
      <w:proofErr w:type="spellEnd"/>
      <w:r>
        <w:t xml:space="preserve"> budgeted expenditure in 2012 was for personal emoluments while 82% of that 80% was for primary and secondary teacher emoluments.  Following a major ‘cleansing’ of the teacher payroll in 2009 it appears that the great majority, if not all, teachers and other </w:t>
      </w:r>
      <w:proofErr w:type="spellStart"/>
      <w:r>
        <w:t>MoE</w:t>
      </w:r>
      <w:proofErr w:type="spellEnd"/>
      <w:r>
        <w:t xml:space="preserve"> employees being paid are entitled to be paid.  Thus it can be said that the greater part of </w:t>
      </w:r>
      <w:proofErr w:type="spellStart"/>
      <w:r>
        <w:t>MoE’s</w:t>
      </w:r>
      <w:proofErr w:type="spellEnd"/>
      <w:r>
        <w:t xml:space="preserve"> budgeted expenditure reaches its intended beneficiaries.  Problems in relation to teacher emoluments are not primarily problems of teachers receiving pay to which they are not entitled (although the administration of allowances in particular appears haphazard).  The bigger problem by far is lack of funding to remunerate teachers recruited in numbers that exceed budget provisions.</w:t>
      </w:r>
    </w:p>
    <w:p w:rsidR="004644CE" w:rsidRDefault="004644CE" w:rsidP="004644CE">
      <w:pPr>
        <w:jc w:val="both"/>
      </w:pPr>
    </w:p>
    <w:p w:rsidR="004644CE" w:rsidRDefault="004644CE" w:rsidP="004644CE">
      <w:pPr>
        <w:jc w:val="both"/>
      </w:pPr>
      <w:r>
        <w:t xml:space="preserve">Payment of school grants amounted to approximately 27% of </w:t>
      </w:r>
      <w:proofErr w:type="spellStart"/>
      <w:r>
        <w:t>MoE’s</w:t>
      </w:r>
      <w:proofErr w:type="spellEnd"/>
      <w:r>
        <w:t xml:space="preserve"> non-salary recurrent expenditure in 2011.  The rationalisation of school bank accounts and accompanying revised arrangements in 2010 for payment of school grants direct to schools have markedly strengthened the likelihood that this component of </w:t>
      </w:r>
      <w:proofErr w:type="spellStart"/>
      <w:r>
        <w:t>MoE’s</w:t>
      </w:r>
      <w:proofErr w:type="spellEnd"/>
      <w:r>
        <w:t xml:space="preserve"> non-salary recurrent spending reaches its intended beneficiaries (i.e. schools).</w:t>
      </w:r>
    </w:p>
    <w:p w:rsidR="004644CE" w:rsidRDefault="004644CE" w:rsidP="004644CE">
      <w:pPr>
        <w:jc w:val="both"/>
      </w:pPr>
    </w:p>
    <w:p w:rsidR="004644CE" w:rsidRDefault="004644CE" w:rsidP="004644CE">
      <w:pPr>
        <w:jc w:val="both"/>
        <w:rPr>
          <w:iCs/>
          <w:lang w:bidi="en-US"/>
        </w:rPr>
      </w:pPr>
      <w:r>
        <w:t xml:space="preserve">As for the balance, </w:t>
      </w:r>
      <w:r w:rsidR="00157C6F">
        <w:t>i</w:t>
      </w:r>
      <w:r>
        <w:t xml:space="preserve">t appears clear, however, that significant unbudgeted expenditures are incurred and that some of these, at least, are charged to cost centres/account codes unrelated to the purpose of the unbudgeted expenditures.  </w:t>
      </w:r>
      <w:r>
        <w:rPr>
          <w:iCs/>
          <w:lang w:bidi="en-US"/>
        </w:rPr>
        <w:t>By definition, to the extent unbudgeted expenditures are incurred and funded at the expense of original budgets the originally budgeted expenditure is not reaching its intended beneficiaries.</w:t>
      </w:r>
    </w:p>
    <w:p w:rsidR="004644CE" w:rsidRPr="006E6B2F" w:rsidRDefault="004644CE" w:rsidP="00160C19">
      <w:pPr>
        <w:pStyle w:val="Heading3"/>
      </w:pPr>
      <w:r w:rsidRPr="006E6B2F">
        <w:t xml:space="preserve"> </w:t>
      </w:r>
      <w:bookmarkStart w:id="273" w:name="_Toc341210822"/>
      <w:bookmarkStart w:id="274" w:name="_Toc343257322"/>
      <w:r w:rsidRPr="006E6B2F">
        <w:t>Is education spending efficient?</w:t>
      </w:r>
      <w:bookmarkEnd w:id="273"/>
      <w:bookmarkEnd w:id="274"/>
    </w:p>
    <w:p w:rsidR="004644CE" w:rsidRDefault="004644CE" w:rsidP="004644CE">
      <w:pPr>
        <w:jc w:val="both"/>
      </w:pPr>
    </w:p>
    <w:p w:rsidR="004644CE" w:rsidRDefault="004644CE" w:rsidP="004644CE">
      <w:pPr>
        <w:jc w:val="both"/>
      </w:pPr>
      <w:r>
        <w:t xml:space="preserve">Prior studies over the years have highlighted the high-cost nature of Vanuatu’s education system including historic, linguistic, geographic and other features of Vanuatu contributing to this.  The </w:t>
      </w:r>
      <w:r w:rsidR="00157C6F">
        <w:t>P</w:t>
      </w:r>
      <w:r>
        <w:t>acific region indicators available</w:t>
      </w:r>
      <w:r w:rsidR="00157C6F">
        <w:t xml:space="preserve"> </w:t>
      </w:r>
      <w:r>
        <w:t xml:space="preserve">suggest that, notwithstanding the relatively high share of education in the </w:t>
      </w:r>
      <w:proofErr w:type="spellStart"/>
      <w:r>
        <w:t>GoV’s</w:t>
      </w:r>
      <w:proofErr w:type="spellEnd"/>
      <w:r>
        <w:t xml:space="preserve"> recurrent spending the ‘efficiency’ of the primary sector in terms of net enrolment rates and survival rates to the last primary grade are at the lower end of regional norms.</w:t>
      </w:r>
      <w:r w:rsidR="00990A62">
        <w:t xml:space="preserve">  Moreover the </w:t>
      </w:r>
      <w:r>
        <w:t xml:space="preserve">available data suggest </w:t>
      </w:r>
      <w:r w:rsidR="00990A62">
        <w:t xml:space="preserve">that efficiency has not improved </w:t>
      </w:r>
      <w:r>
        <w:t>in recent years.  Section 2.2 has reviewed the evidence in relation to both the ‘internal’ efficiency of the education system and the efficiency of system management.  It has concluded that:</w:t>
      </w:r>
    </w:p>
    <w:p w:rsidR="004644CE" w:rsidRDefault="004644CE" w:rsidP="004644CE">
      <w:pPr>
        <w:jc w:val="both"/>
      </w:pPr>
    </w:p>
    <w:p w:rsidR="004644CE" w:rsidRDefault="004644CE" w:rsidP="00CE4350">
      <w:pPr>
        <w:pStyle w:val="ListParagraph"/>
        <w:numPr>
          <w:ilvl w:val="0"/>
          <w:numId w:val="67"/>
        </w:numPr>
        <w:jc w:val="both"/>
      </w:pPr>
      <w:r>
        <w:t>As measured by intake, enrolment, repeater and drop-out rates over the period 2007-2011 the internal efficiency of both primary and secondary sectors has been essentially static.</w:t>
      </w:r>
    </w:p>
    <w:p w:rsidR="004644CE" w:rsidRDefault="004644CE" w:rsidP="00CE4350">
      <w:pPr>
        <w:pStyle w:val="ListParagraph"/>
        <w:numPr>
          <w:ilvl w:val="0"/>
          <w:numId w:val="67"/>
        </w:numPr>
        <w:jc w:val="both"/>
      </w:pPr>
      <w:r>
        <w:t xml:space="preserve">While some useful improvements in management of the education system have been made substantial weaknesses remain, especially but not limited to teacher recruitment, training and deployment practices. </w:t>
      </w:r>
    </w:p>
    <w:p w:rsidR="004644CE" w:rsidRDefault="004644CE" w:rsidP="00160C19">
      <w:pPr>
        <w:pStyle w:val="Heading3"/>
      </w:pPr>
      <w:bookmarkStart w:id="275" w:name="_Toc341210823"/>
      <w:bookmarkStart w:id="276" w:name="_Toc343257323"/>
      <w:r>
        <w:lastRenderedPageBreak/>
        <w:t>Has education spending had its intended impacts?</w:t>
      </w:r>
      <w:bookmarkEnd w:id="275"/>
      <w:bookmarkEnd w:id="276"/>
    </w:p>
    <w:p w:rsidR="004644CE" w:rsidRDefault="004644CE" w:rsidP="004644CE">
      <w:pPr>
        <w:jc w:val="both"/>
      </w:pPr>
    </w:p>
    <w:p w:rsidR="004644CE" w:rsidRDefault="004644CE" w:rsidP="004644CE">
      <w:pPr>
        <w:jc w:val="both"/>
      </w:pPr>
      <w:r>
        <w:t xml:space="preserve">From a long-term perspective Vanuatu’s public expenditure on education has certainly had a substantial positive impact on </w:t>
      </w:r>
      <w:r w:rsidRPr="00791D6E">
        <w:rPr>
          <w:i/>
        </w:rPr>
        <w:t>access</w:t>
      </w:r>
      <w:r>
        <w:t xml:space="preserve"> to primary and secondary education, the proportion of the population aged 6 to 19 years rising from 58% in 1967 to 72% at the 2009 National Census notwithst</w:t>
      </w:r>
      <w:r w:rsidR="00142AAB">
        <w:t>anding rapid population growth.</w:t>
      </w:r>
    </w:p>
    <w:p w:rsidR="004644CE" w:rsidRDefault="004644CE" w:rsidP="004644CE">
      <w:pPr>
        <w:jc w:val="both"/>
      </w:pPr>
    </w:p>
    <w:p w:rsidR="004644CE" w:rsidRDefault="004644CE" w:rsidP="004644CE">
      <w:pPr>
        <w:jc w:val="both"/>
      </w:pPr>
      <w:r>
        <w:t>Recent trends are less encouraging when set against the VERM strategic goal for access.  Net Intake and Enrolment Rates at primary level have been static (at best) over the period 2008-2011.  Net enrolments rates for Years 7 plus continue to fall substantially below any measure of universal access to secondary education.  Survival rates to Years 6, 10 and 13 fell over the period 2009-2011.</w:t>
      </w:r>
    </w:p>
    <w:p w:rsidR="004644CE" w:rsidRDefault="004644CE" w:rsidP="004644CE">
      <w:pPr>
        <w:jc w:val="both"/>
      </w:pPr>
    </w:p>
    <w:p w:rsidR="004644CE" w:rsidRDefault="004644CE" w:rsidP="004644CE">
      <w:pPr>
        <w:jc w:val="both"/>
      </w:pPr>
      <w:r>
        <w:t xml:space="preserve">It is not possible to draw evidence-based conclusions regarding the impacts of public expenditure on the </w:t>
      </w:r>
      <w:r w:rsidRPr="00791D6E">
        <w:rPr>
          <w:i/>
        </w:rPr>
        <w:t>quality</w:t>
      </w:r>
      <w:r>
        <w:t xml:space="preserve"> of education outcomes in Vanuatu pending the establishment of robust time series data in relation to literacy and numeracy in particular.  The limited data available suggest</w:t>
      </w:r>
      <w:r w:rsidR="00990A62">
        <w:t xml:space="preserve"> </w:t>
      </w:r>
      <w:r>
        <w:t xml:space="preserve">that increased </w:t>
      </w:r>
      <w:r w:rsidRPr="00791D6E">
        <w:t xml:space="preserve">access </w:t>
      </w:r>
      <w:r>
        <w:t xml:space="preserve">to primary and secondary education in recent years, in terms of total numbers enrolled, may have been at the expense of improved </w:t>
      </w:r>
      <w:r w:rsidRPr="00791D6E">
        <w:t>quality</w:t>
      </w:r>
      <w:r>
        <w:t>.</w:t>
      </w:r>
    </w:p>
    <w:p w:rsidR="004644CE" w:rsidRDefault="004644CE" w:rsidP="00160C19">
      <w:pPr>
        <w:pStyle w:val="Heading3"/>
      </w:pPr>
      <w:bookmarkStart w:id="277" w:name="_Toc341210824"/>
      <w:bookmarkStart w:id="278" w:name="_Toc343257324"/>
      <w:r>
        <w:t>Is education spending equitable?</w:t>
      </w:r>
      <w:bookmarkEnd w:id="277"/>
      <w:bookmarkEnd w:id="278"/>
    </w:p>
    <w:p w:rsidR="004644CE" w:rsidRDefault="004644CE" w:rsidP="004644CE">
      <w:pPr>
        <w:jc w:val="both"/>
      </w:pPr>
    </w:p>
    <w:p w:rsidR="004644CE" w:rsidRDefault="00990A62" w:rsidP="004644CE">
      <w:pPr>
        <w:jc w:val="both"/>
      </w:pPr>
      <w:r>
        <w:t>T</w:t>
      </w:r>
      <w:r w:rsidR="004644CE">
        <w:t>he review finds:</w:t>
      </w:r>
    </w:p>
    <w:p w:rsidR="004644CE" w:rsidRDefault="004644CE" w:rsidP="004644CE">
      <w:pPr>
        <w:jc w:val="both"/>
      </w:pPr>
    </w:p>
    <w:p w:rsidR="004644CE" w:rsidRPr="00413D58" w:rsidRDefault="004644CE" w:rsidP="00D34AA0">
      <w:pPr>
        <w:pStyle w:val="ListParagraph"/>
        <w:numPr>
          <w:ilvl w:val="0"/>
          <w:numId w:val="50"/>
        </w:numPr>
        <w:jc w:val="both"/>
        <w:rPr>
          <w:rFonts w:eastAsia="Arial"/>
        </w:rPr>
      </w:pPr>
      <w:r w:rsidRPr="00413D58">
        <w:rPr>
          <w:rFonts w:eastAsia="Arial"/>
        </w:rPr>
        <w:t>There is no evidence of significant imbalance between males and females in access to either primary or secondary education although for those seeking tertiary scholarships it would (currently) be better to be a male.</w:t>
      </w:r>
    </w:p>
    <w:p w:rsidR="004644CE" w:rsidRPr="00413D58" w:rsidRDefault="004644CE" w:rsidP="00D34AA0">
      <w:pPr>
        <w:pStyle w:val="ListParagraph"/>
        <w:numPr>
          <w:ilvl w:val="0"/>
          <w:numId w:val="50"/>
        </w:numPr>
        <w:jc w:val="both"/>
        <w:rPr>
          <w:rFonts w:eastAsia="Arial"/>
        </w:rPr>
      </w:pPr>
      <w:r w:rsidRPr="00413D58">
        <w:rPr>
          <w:rFonts w:eastAsia="Arial"/>
        </w:rPr>
        <w:t xml:space="preserve">There is no systematic pattern of differentials between Provinces in access to or the quality of primary education.  The data do, however, suggest systematic differences favouring urban relative to rural areas in terms of access to and the quality of primary schools, and in terms of educational attainment.  </w:t>
      </w:r>
    </w:p>
    <w:p w:rsidR="004644CE" w:rsidRPr="00413D58" w:rsidRDefault="004644CE" w:rsidP="00D34AA0">
      <w:pPr>
        <w:pStyle w:val="ListParagraph"/>
        <w:numPr>
          <w:ilvl w:val="0"/>
          <w:numId w:val="50"/>
        </w:numPr>
        <w:jc w:val="both"/>
        <w:rPr>
          <w:rFonts w:eastAsia="Arial"/>
        </w:rPr>
      </w:pPr>
      <w:r w:rsidRPr="00413D58">
        <w:rPr>
          <w:rFonts w:eastAsia="Arial"/>
        </w:rPr>
        <w:t>Access to secondary and post-secondary (including tertiary) education is clearly more favourable for the relevant age groups residing in urban areas.</w:t>
      </w:r>
    </w:p>
    <w:p w:rsidR="004644CE" w:rsidRPr="00413D58" w:rsidRDefault="004644CE" w:rsidP="00D34AA0">
      <w:pPr>
        <w:pStyle w:val="ListParagraph"/>
        <w:numPr>
          <w:ilvl w:val="0"/>
          <w:numId w:val="50"/>
        </w:numPr>
        <w:jc w:val="both"/>
        <w:rPr>
          <w:rFonts w:eastAsia="Arial"/>
        </w:rPr>
      </w:pPr>
      <w:r w:rsidRPr="00413D58">
        <w:rPr>
          <w:rFonts w:eastAsia="Arial"/>
        </w:rPr>
        <w:t>While the data are dated, access to education at all levels and levels of educational attainment are correlated with household income/wealth (the richer the household, the higher the level of education access and attainment).</w:t>
      </w:r>
    </w:p>
    <w:p w:rsidR="004644CE" w:rsidRDefault="004644CE" w:rsidP="004644CE">
      <w:pPr>
        <w:jc w:val="both"/>
      </w:pPr>
    </w:p>
    <w:p w:rsidR="004644CE" w:rsidRPr="00413D58" w:rsidRDefault="004644CE" w:rsidP="004644CE">
      <w:pPr>
        <w:jc w:val="both"/>
        <w:rPr>
          <w:rFonts w:eastAsia="Arial"/>
        </w:rPr>
      </w:pPr>
      <w:r w:rsidRPr="00413D58">
        <w:rPr>
          <w:rFonts w:eastAsia="Arial"/>
        </w:rPr>
        <w:t>Whether these patterns are ‘equitable’ or otherwise requires subjective judgments</w:t>
      </w:r>
      <w:r w:rsidR="00AA2515">
        <w:rPr>
          <w:rFonts w:eastAsia="Arial"/>
        </w:rPr>
        <w:t>.</w:t>
      </w:r>
      <w:r w:rsidRPr="00413D58">
        <w:rPr>
          <w:rFonts w:eastAsia="Arial"/>
        </w:rPr>
        <w:t xml:space="preserve">  Moreover judgments as to the ‘equity’ of access to education (who benefits) should not be framed in isolation from the issue of ‘who pays’, not just by way of school fees but more broadly in terms of the incidence of taxation in Vanuatu.  </w:t>
      </w:r>
    </w:p>
    <w:p w:rsidR="004644CE" w:rsidRDefault="004644CE" w:rsidP="00160C19">
      <w:pPr>
        <w:pStyle w:val="Heading3"/>
      </w:pPr>
      <w:bookmarkStart w:id="279" w:name="_Toc341210825"/>
      <w:bookmarkStart w:id="280" w:name="_Toc343257325"/>
      <w:r>
        <w:t>Can Vanuatu afford the goals of universal primary and basic education?</w:t>
      </w:r>
      <w:bookmarkEnd w:id="279"/>
      <w:bookmarkEnd w:id="280"/>
    </w:p>
    <w:p w:rsidR="004644CE" w:rsidRDefault="004644CE" w:rsidP="004644CE">
      <w:pPr>
        <w:jc w:val="both"/>
      </w:pPr>
    </w:p>
    <w:p w:rsidR="004644CE" w:rsidRDefault="004644CE" w:rsidP="004644CE">
      <w:pPr>
        <w:jc w:val="both"/>
      </w:pPr>
      <w:r>
        <w:t>Not over the next five years unless:</w:t>
      </w:r>
    </w:p>
    <w:p w:rsidR="004644CE" w:rsidRDefault="004644CE" w:rsidP="004644CE">
      <w:pPr>
        <w:jc w:val="both"/>
      </w:pPr>
    </w:p>
    <w:p w:rsidR="004644CE" w:rsidRDefault="004644CE" w:rsidP="00CE4350">
      <w:pPr>
        <w:pStyle w:val="ListParagraph"/>
        <w:numPr>
          <w:ilvl w:val="0"/>
          <w:numId w:val="66"/>
        </w:numPr>
        <w:jc w:val="both"/>
      </w:pPr>
      <w:r>
        <w:t>Vanuatu’s annual real growth rate of GDP is significantly faster than the average for the period 2007-2011; and/or</w:t>
      </w:r>
    </w:p>
    <w:p w:rsidR="004644CE" w:rsidRDefault="004644CE" w:rsidP="00CE4350">
      <w:pPr>
        <w:pStyle w:val="ListParagraph"/>
        <w:numPr>
          <w:ilvl w:val="0"/>
          <w:numId w:val="66"/>
        </w:numPr>
        <w:jc w:val="both"/>
      </w:pPr>
      <w:r>
        <w:t xml:space="preserve">The </w:t>
      </w:r>
      <w:proofErr w:type="spellStart"/>
      <w:r>
        <w:t>GoV’s</w:t>
      </w:r>
      <w:proofErr w:type="spellEnd"/>
      <w:r>
        <w:t xml:space="preserve"> recurrent revenue share of GDP is significantly increased; and/or</w:t>
      </w:r>
    </w:p>
    <w:p w:rsidR="004644CE" w:rsidRDefault="004644CE" w:rsidP="00CE4350">
      <w:pPr>
        <w:pStyle w:val="ListParagraph"/>
        <w:numPr>
          <w:ilvl w:val="0"/>
          <w:numId w:val="66"/>
        </w:numPr>
        <w:jc w:val="both"/>
      </w:pPr>
      <w:proofErr w:type="spellStart"/>
      <w:r>
        <w:t>MoE’s</w:t>
      </w:r>
      <w:proofErr w:type="spellEnd"/>
      <w:r>
        <w:t xml:space="preserve"> share of </w:t>
      </w:r>
      <w:proofErr w:type="spellStart"/>
      <w:r>
        <w:t>GoV</w:t>
      </w:r>
      <w:proofErr w:type="spellEnd"/>
      <w:r>
        <w:t xml:space="preserve"> recurrent revenue rises beyond its already high share of around 26%.</w:t>
      </w:r>
    </w:p>
    <w:p w:rsidR="004644CE" w:rsidRDefault="004644CE" w:rsidP="004644CE">
      <w:pPr>
        <w:jc w:val="both"/>
      </w:pPr>
    </w:p>
    <w:p w:rsidR="004644CE" w:rsidRDefault="004644CE" w:rsidP="004644CE">
      <w:pPr>
        <w:jc w:val="both"/>
      </w:pPr>
      <w:r>
        <w:lastRenderedPageBreak/>
        <w:t xml:space="preserve">The review’s projections suggest that, if none of these change, achievement of the constrained UPE/UBE scenario (at current prices) would add an </w:t>
      </w:r>
      <w:r w:rsidRPr="00355D6B">
        <w:rPr>
          <w:i/>
        </w:rPr>
        <w:t>annual</w:t>
      </w:r>
      <w:r>
        <w:t xml:space="preserve"> average of some VT510 million (12%) to </w:t>
      </w:r>
      <w:proofErr w:type="spellStart"/>
      <w:r>
        <w:t>MoE’s</w:t>
      </w:r>
      <w:proofErr w:type="spellEnd"/>
      <w:r>
        <w:t xml:space="preserve"> recurrent funding requirement over the period 2013-2017 compared to the status quo.  The principal driver of the higher costs associated with the </w:t>
      </w:r>
      <w:r w:rsidR="008D05EC">
        <w:t xml:space="preserve">constrained </w:t>
      </w:r>
      <w:r>
        <w:t>UPE/UBE scenario is the projected increase in the transition rate from primary to secondary schooling.</w:t>
      </w:r>
    </w:p>
    <w:p w:rsidR="004644CE" w:rsidRDefault="004644CE" w:rsidP="004644CE">
      <w:pPr>
        <w:jc w:val="both"/>
      </w:pPr>
    </w:p>
    <w:p w:rsidR="004644CE" w:rsidRPr="00DE6FC2" w:rsidRDefault="004644CE" w:rsidP="004644CE">
      <w:pPr>
        <w:jc w:val="both"/>
      </w:pPr>
      <w:r w:rsidRPr="00DE6FC2">
        <w:t xml:space="preserve">Under any plausible scenario the </w:t>
      </w:r>
      <w:proofErr w:type="spellStart"/>
      <w:r w:rsidRPr="00DE6FC2">
        <w:t>GoV</w:t>
      </w:r>
      <w:proofErr w:type="spellEnd"/>
      <w:r w:rsidRPr="00DE6FC2">
        <w:t xml:space="preserve"> will be struggling to meets its commitments for recurrent funding of primary and secondary education.</w:t>
      </w:r>
      <w:r>
        <w:t xml:space="preserve">  There is unlikely to be any </w:t>
      </w:r>
      <w:r w:rsidRPr="00DE6FC2">
        <w:t>‘slack’</w:t>
      </w:r>
      <w:r>
        <w:t xml:space="preserve"> that would enable the </w:t>
      </w:r>
      <w:proofErr w:type="spellStart"/>
      <w:r>
        <w:t>GoV</w:t>
      </w:r>
      <w:proofErr w:type="spellEnd"/>
      <w:r>
        <w:t xml:space="preserve"> to fund an increase in the per-student school grant for Years 7-8 students, much less </w:t>
      </w:r>
      <w:r w:rsidRPr="00DE6FC2">
        <w:t xml:space="preserve">to assume greater responsibility for funding of development costs such as the capital costs of new classrooms. </w:t>
      </w:r>
    </w:p>
    <w:p w:rsidR="00356D92" w:rsidRPr="003E13EF" w:rsidRDefault="0038270A" w:rsidP="00160C19">
      <w:pPr>
        <w:pStyle w:val="Heading3"/>
      </w:pPr>
      <w:bookmarkStart w:id="281" w:name="_Toc343257326"/>
      <w:r w:rsidRPr="003E13EF">
        <w:t>What are the principal weaknesses in public financial management of the education sector?</w:t>
      </w:r>
      <w:bookmarkEnd w:id="281"/>
    </w:p>
    <w:p w:rsidR="00990A62" w:rsidRDefault="00990A62" w:rsidP="00990A62">
      <w:pPr>
        <w:jc w:val="both"/>
      </w:pPr>
    </w:p>
    <w:p w:rsidR="00990A62" w:rsidRDefault="00990A62" w:rsidP="00990A62">
      <w:pPr>
        <w:jc w:val="both"/>
      </w:pPr>
      <w:r>
        <w:t xml:space="preserve">The review suggests that there are five key weaknesses of public expenditure management contributing to poor outcomes from </w:t>
      </w:r>
      <w:proofErr w:type="spellStart"/>
      <w:r>
        <w:t>GoV</w:t>
      </w:r>
      <w:proofErr w:type="spellEnd"/>
      <w:r>
        <w:t xml:space="preserve"> spending on the education sector.</w:t>
      </w:r>
    </w:p>
    <w:p w:rsidR="004644CE" w:rsidRDefault="004644CE" w:rsidP="004644CE">
      <w:pPr>
        <w:jc w:val="both"/>
      </w:pPr>
    </w:p>
    <w:p w:rsidR="004644CE" w:rsidRDefault="004644CE" w:rsidP="00CE4350">
      <w:pPr>
        <w:pStyle w:val="ListParagraph"/>
        <w:numPr>
          <w:ilvl w:val="0"/>
          <w:numId w:val="68"/>
        </w:numPr>
        <w:jc w:val="both"/>
      </w:pPr>
      <w:r>
        <w:t xml:space="preserve">The </w:t>
      </w:r>
      <w:proofErr w:type="spellStart"/>
      <w:r>
        <w:t>GoV</w:t>
      </w:r>
      <w:proofErr w:type="spellEnd"/>
      <w:r>
        <w:t xml:space="preserve"> is trying to do too much relative to current and prospective funding availability.  Every education sub-sector is a ‘priority’ in policy terms which means that in public expenditure terms there are no effective priorities.  The medium-term public expenditure implications of stated policy priorities are not assessed, let alone reconciled as between one ‘priority’ and another. </w:t>
      </w:r>
    </w:p>
    <w:p w:rsidR="004644CE" w:rsidRDefault="00990A62" w:rsidP="00CE4350">
      <w:pPr>
        <w:pStyle w:val="ListParagraph"/>
        <w:numPr>
          <w:ilvl w:val="0"/>
          <w:numId w:val="68"/>
        </w:numPr>
        <w:jc w:val="both"/>
      </w:pPr>
      <w:r>
        <w:t xml:space="preserve">In </w:t>
      </w:r>
      <w:r w:rsidR="004644CE">
        <w:t xml:space="preserve">the absence of systematic </w:t>
      </w:r>
      <w:proofErr w:type="spellStart"/>
      <w:r w:rsidR="004644CE">
        <w:t>GoV</w:t>
      </w:r>
      <w:proofErr w:type="spellEnd"/>
      <w:r w:rsidR="004644CE">
        <w:t xml:space="preserve"> consideration of its education sector expenditure priorities, </w:t>
      </w:r>
      <w:proofErr w:type="spellStart"/>
      <w:r w:rsidR="004644CE">
        <w:t>GoV</w:t>
      </w:r>
      <w:proofErr w:type="spellEnd"/>
      <w:r w:rsidR="004644CE">
        <w:t xml:space="preserve"> recurrent budget allocations are typically determined on the basis ‘last year’s budget plus or minus a small amount’.  Serious debate concerning expenditure priorities is confined to the allocation of development partner funding while </w:t>
      </w:r>
      <w:proofErr w:type="spellStart"/>
      <w:r w:rsidR="004644CE">
        <w:t>GoV</w:t>
      </w:r>
      <w:proofErr w:type="spellEnd"/>
      <w:r w:rsidR="004644CE">
        <w:t xml:space="preserve"> recurrent funding broadly rolls on from one year to the next on a ‘business as usual’ basis.</w:t>
      </w:r>
    </w:p>
    <w:p w:rsidR="004644CE" w:rsidRDefault="004644CE" w:rsidP="00CE4350">
      <w:pPr>
        <w:pStyle w:val="ListParagraph"/>
        <w:numPr>
          <w:ilvl w:val="0"/>
          <w:numId w:val="68"/>
        </w:numPr>
        <w:jc w:val="both"/>
      </w:pPr>
      <w:r>
        <w:t xml:space="preserve">Other than at an aggregate level within ceilings enforced by MFEM, the </w:t>
      </w:r>
      <w:proofErr w:type="spellStart"/>
      <w:r>
        <w:t>GoV</w:t>
      </w:r>
      <w:proofErr w:type="spellEnd"/>
      <w:r>
        <w:t xml:space="preserve"> and </w:t>
      </w:r>
      <w:proofErr w:type="spellStart"/>
      <w:r>
        <w:t>MoE</w:t>
      </w:r>
      <w:proofErr w:type="spellEnd"/>
      <w:r>
        <w:t xml:space="preserve"> have lost control of education expenditures relative to budgets.  There are myriad symptoms of this.  If the </w:t>
      </w:r>
      <w:proofErr w:type="spellStart"/>
      <w:r>
        <w:t>GoV</w:t>
      </w:r>
      <w:proofErr w:type="spellEnd"/>
      <w:r>
        <w:t>/</w:t>
      </w:r>
      <w:proofErr w:type="spellStart"/>
      <w:r>
        <w:t>MoE</w:t>
      </w:r>
      <w:proofErr w:type="spellEnd"/>
      <w:r>
        <w:t xml:space="preserve"> cannot control at a program and cost centre level their expenditures relative to budgets they have no prospect of relating inputs to outputs/outcomes or of holding managers accountable for the results of public spending.</w:t>
      </w:r>
    </w:p>
    <w:p w:rsidR="004644CE" w:rsidRDefault="00990A62" w:rsidP="00CE4350">
      <w:pPr>
        <w:pStyle w:val="ListParagraph"/>
        <w:numPr>
          <w:ilvl w:val="0"/>
          <w:numId w:val="68"/>
        </w:numPr>
        <w:jc w:val="both"/>
      </w:pPr>
      <w:r>
        <w:t>D</w:t>
      </w:r>
      <w:r w:rsidR="004644CE">
        <w:t xml:space="preserve">espite the best endeavours of </w:t>
      </w:r>
      <w:proofErr w:type="spellStart"/>
      <w:r w:rsidR="004644CE">
        <w:t>MoE</w:t>
      </w:r>
      <w:proofErr w:type="spellEnd"/>
      <w:r w:rsidR="004644CE">
        <w:t xml:space="preserve"> senior management it appears that decisions and instructions from a political level pay scant regard to either stated policy priorities or funding availability.</w:t>
      </w:r>
    </w:p>
    <w:p w:rsidR="004644CE" w:rsidRPr="003713E5" w:rsidRDefault="004644CE" w:rsidP="00CE4350">
      <w:pPr>
        <w:pStyle w:val="ListParagraph"/>
        <w:numPr>
          <w:ilvl w:val="0"/>
          <w:numId w:val="68"/>
        </w:numPr>
        <w:jc w:val="both"/>
      </w:pPr>
      <w:r w:rsidRPr="003713E5">
        <w:t xml:space="preserve">Whether reflecting capacity constraints or other causes legislative requirements (and regulations/instructions pursuant to legislation) in relation to financial reporting on public expenditure at the level of Ministries, Provinces and schools are persistently and comprehensively ignored by most players at most levels.  Consequently the </w:t>
      </w:r>
      <w:proofErr w:type="spellStart"/>
      <w:r w:rsidRPr="003713E5">
        <w:t>GoV</w:t>
      </w:r>
      <w:proofErr w:type="spellEnd"/>
      <w:r w:rsidRPr="003713E5">
        <w:t>, the Parliament and communit</w:t>
      </w:r>
      <w:r>
        <w:t xml:space="preserve">ies </w:t>
      </w:r>
      <w:r w:rsidRPr="003713E5">
        <w:t>at large have very little basis for assessing how public expenditure has actually been spent.</w:t>
      </w:r>
    </w:p>
    <w:p w:rsidR="004644CE" w:rsidRDefault="004644CE" w:rsidP="004644CE">
      <w:pPr>
        <w:ind w:left="120"/>
        <w:jc w:val="both"/>
      </w:pPr>
    </w:p>
    <w:p w:rsidR="00AA2515" w:rsidRPr="00AA2515" w:rsidRDefault="004644CE" w:rsidP="00142AAB">
      <w:pPr>
        <w:jc w:val="both"/>
      </w:pPr>
      <w:r>
        <w:t xml:space="preserve">With the partial exception of the last point the review suggests that these weaknesses are not primarily a function of either funding or ‘capacity’ constraints.  They are almost entirely within the competence and ability of the </w:t>
      </w:r>
      <w:proofErr w:type="spellStart"/>
      <w:r>
        <w:t>GoV</w:t>
      </w:r>
      <w:proofErr w:type="spellEnd"/>
      <w:r>
        <w:t xml:space="preserve"> to address if it wishes to do so.</w:t>
      </w:r>
      <w:bookmarkStart w:id="282" w:name="_Toc341210827"/>
      <w:bookmarkStart w:id="283" w:name="_Toc341210938"/>
      <w:bookmarkStart w:id="284" w:name="_Toc341265756"/>
      <w:r w:rsidR="00142AAB" w:rsidRPr="00AA2515">
        <w:t xml:space="preserve"> </w:t>
      </w:r>
    </w:p>
    <w:p w:rsidR="00142AAB" w:rsidRDefault="00142AAB" w:rsidP="00160C19">
      <w:pPr>
        <w:pStyle w:val="Heading2"/>
      </w:pPr>
      <w:bookmarkStart w:id="285" w:name="_Toc343257327"/>
      <w:bookmarkStart w:id="286" w:name="_Toc343257433"/>
      <w:r>
        <w:br w:type="page"/>
      </w:r>
    </w:p>
    <w:p w:rsidR="004644CE" w:rsidRDefault="004644CE" w:rsidP="00160C19">
      <w:pPr>
        <w:pStyle w:val="Heading2"/>
      </w:pPr>
      <w:bookmarkStart w:id="287" w:name="_Toc348711354"/>
      <w:r w:rsidRPr="00A72512">
        <w:lastRenderedPageBreak/>
        <w:t>3.2 Recommend</w:t>
      </w:r>
      <w:r>
        <w:t>a</w:t>
      </w:r>
      <w:r w:rsidRPr="00A72512">
        <w:t>tions</w:t>
      </w:r>
      <w:bookmarkEnd w:id="282"/>
      <w:bookmarkEnd w:id="283"/>
      <w:bookmarkEnd w:id="284"/>
      <w:bookmarkEnd w:id="285"/>
      <w:bookmarkEnd w:id="286"/>
      <w:bookmarkEnd w:id="287"/>
    </w:p>
    <w:p w:rsidR="00974556" w:rsidRDefault="00974556" w:rsidP="004644CE"/>
    <w:p w:rsidR="00356D92" w:rsidRDefault="004644CE">
      <w:pPr>
        <w:jc w:val="both"/>
      </w:pPr>
      <w:r>
        <w:t xml:space="preserve">Prior studies and reviews by both technical advisors and </w:t>
      </w:r>
      <w:proofErr w:type="spellStart"/>
      <w:r>
        <w:t>GoV</w:t>
      </w:r>
      <w:proofErr w:type="spellEnd"/>
      <w:r>
        <w:t xml:space="preserve"> agencies have previously recommended a range of measures aimed in various ways at improving the efficiency (‘value for money’) of Vanuatu’s public expenditure on education.  The review endorses and recommends the following in particular.</w:t>
      </w:r>
    </w:p>
    <w:p w:rsidR="00EA26BB" w:rsidRDefault="00EA26BB" w:rsidP="00EA26BB">
      <w:pPr>
        <w:jc w:val="both"/>
      </w:pPr>
    </w:p>
    <w:tbl>
      <w:tblPr>
        <w:tblStyle w:val="TableGrid"/>
        <w:tblW w:w="0" w:type="auto"/>
        <w:tblLook w:val="04A0" w:firstRow="1" w:lastRow="0" w:firstColumn="1" w:lastColumn="0" w:noHBand="0" w:noVBand="1"/>
        <w:tblCaption w:val="Recommendation 1:  That the Government of Vanuatu actively seek to implement and/or enforce the following recommendations of prior reviews:"/>
        <w:tblDescription w:val="a) Amend the Teaching Service Act to vest teacher appointment powers solely and unambiguously in the hands of the Teaching Service Commission. &#10;b) Strengthen the administrative resources of the Teaching Service Commission.&#10;c) Transition to application of correct age entry to Year 1 of primary schooling. &#10;d) Strictly apply the salary rates specified for unqualified/uncertified teachers.&#10;e) Enforce stricter administration of teacher housing allowances.&#10;f) Rotate teachers between schools less frequently and, possibly, provide some preference in teacher appointments for appointees originating from specific rural/remote locations.&#10;g) Review teacher pay structures and conditions aimed at rewarding good performance (possibly implemented over time by application to new teaching service entrants).&#10;h) Enforce transparent public tendering and outsourcing of school supplies including strict adherence to the provisions of the Public Contracts and Tenders Act.&#10;i) Strictly apply merit-based principles for the award of GoV-funded scholarships, re-call scholarship recipients failing intermediate stages in their progress to an award and provide for representation of the PMO and MFEM on the National Education Commission.&#10;j) Define a financially sustainable policy on the issue of leases for school sites.&#10;k) Ensure that appointments to education-related governing and advisory bodies are made strictly on merit.&#10;l) Improve the coding of expenditure transactions conducted through school bank accounts to better track the uses to which funding is being put by schools."/>
      </w:tblPr>
      <w:tblGrid>
        <w:gridCol w:w="9570"/>
      </w:tblGrid>
      <w:tr w:rsidR="00EA26BB" w:rsidTr="00FC5C59">
        <w:trPr>
          <w:tblHeader/>
        </w:trPr>
        <w:tc>
          <w:tcPr>
            <w:tcW w:w="9570" w:type="dxa"/>
            <w:shd w:val="clear" w:color="auto" w:fill="BFBFBF" w:themeFill="background1" w:themeFillShade="BF"/>
          </w:tcPr>
          <w:p w:rsidR="00EA26BB" w:rsidRDefault="00EA26BB" w:rsidP="00EA26BB">
            <w:pPr>
              <w:jc w:val="both"/>
            </w:pPr>
            <w:r w:rsidRPr="00426416">
              <w:rPr>
                <w:b/>
              </w:rPr>
              <w:t>Recommendation 1</w:t>
            </w:r>
            <w:r>
              <w:t>:  That the Government of Vanuatu actively seek to implement and/or enforce the following recommendations of prior reviews:</w:t>
            </w:r>
          </w:p>
          <w:p w:rsidR="00EA26BB" w:rsidRDefault="00EA26BB" w:rsidP="00EA26BB">
            <w:pPr>
              <w:jc w:val="both"/>
            </w:pPr>
          </w:p>
          <w:p w:rsidR="00356D92" w:rsidRDefault="00EA26BB" w:rsidP="003E13EF">
            <w:pPr>
              <w:pStyle w:val="ListParagraph"/>
              <w:numPr>
                <w:ilvl w:val="0"/>
                <w:numId w:val="109"/>
              </w:numPr>
              <w:jc w:val="both"/>
            </w:pPr>
            <w:r>
              <w:t>Amend the Teaching Service Act to vest teacher appointment powers solely and unambiguously in the hands of the Teaching Service Commission.</w:t>
            </w:r>
            <w:r w:rsidR="008705CA">
              <w:rPr>
                <w:rStyle w:val="FootnoteReference"/>
              </w:rPr>
              <w:footnoteReference w:id="73"/>
            </w:r>
          </w:p>
          <w:p w:rsidR="00356D92" w:rsidRDefault="00EA26BB" w:rsidP="003E13EF">
            <w:pPr>
              <w:pStyle w:val="ListParagraph"/>
              <w:numPr>
                <w:ilvl w:val="0"/>
                <w:numId w:val="109"/>
              </w:numPr>
              <w:jc w:val="both"/>
            </w:pPr>
            <w:r>
              <w:t>Strengthen the administrative resources of the Teaching Service Commission.</w:t>
            </w:r>
          </w:p>
          <w:p w:rsidR="00356D92" w:rsidRDefault="00EA26BB" w:rsidP="003E13EF">
            <w:pPr>
              <w:pStyle w:val="ListParagraph"/>
              <w:numPr>
                <w:ilvl w:val="0"/>
                <w:numId w:val="109"/>
              </w:numPr>
              <w:jc w:val="both"/>
            </w:pPr>
            <w:r>
              <w:t xml:space="preserve">Transition to application of correct age entry to Year 1 of primary schooling. </w:t>
            </w:r>
          </w:p>
          <w:p w:rsidR="00356D92" w:rsidRDefault="00EA26BB" w:rsidP="003E13EF">
            <w:pPr>
              <w:pStyle w:val="ListParagraph"/>
              <w:numPr>
                <w:ilvl w:val="0"/>
                <w:numId w:val="109"/>
              </w:numPr>
              <w:jc w:val="both"/>
            </w:pPr>
            <w:r>
              <w:t>Strictly apply the salary rates specified for unqualified/uncertified teachers.</w:t>
            </w:r>
          </w:p>
          <w:p w:rsidR="00356D92" w:rsidRDefault="00EA26BB" w:rsidP="003E13EF">
            <w:pPr>
              <w:pStyle w:val="ListParagraph"/>
              <w:numPr>
                <w:ilvl w:val="0"/>
                <w:numId w:val="109"/>
              </w:numPr>
              <w:jc w:val="both"/>
            </w:pPr>
            <w:r>
              <w:t>Enforce stricter administration of teacher housing allowances.</w:t>
            </w:r>
          </w:p>
          <w:p w:rsidR="00356D92" w:rsidRDefault="00EA26BB" w:rsidP="003E13EF">
            <w:pPr>
              <w:pStyle w:val="ListParagraph"/>
              <w:numPr>
                <w:ilvl w:val="0"/>
                <w:numId w:val="109"/>
              </w:numPr>
              <w:jc w:val="both"/>
            </w:pPr>
            <w:r>
              <w:t>Rotate teachers between schools less frequently and, possibly, provide some preference in teacher appointments for appointees originating from specific rural/remote locations.</w:t>
            </w:r>
          </w:p>
          <w:p w:rsidR="00356D92" w:rsidRDefault="00EA26BB" w:rsidP="003E13EF">
            <w:pPr>
              <w:pStyle w:val="ListParagraph"/>
              <w:numPr>
                <w:ilvl w:val="0"/>
                <w:numId w:val="109"/>
              </w:numPr>
              <w:jc w:val="both"/>
            </w:pPr>
            <w:r>
              <w:t>Review teacher pay structures and conditions aimed at rewarding good performance (possibly implemented over time by application to new teaching service entrants).</w:t>
            </w:r>
          </w:p>
          <w:p w:rsidR="00356D92" w:rsidRDefault="00EA26BB" w:rsidP="003E13EF">
            <w:pPr>
              <w:pStyle w:val="ListParagraph"/>
              <w:numPr>
                <w:ilvl w:val="0"/>
                <w:numId w:val="109"/>
              </w:numPr>
              <w:jc w:val="both"/>
            </w:pPr>
            <w:r>
              <w:t>Enforce transparent public tendering and outsourcing of school supplies including strict adherence to the provisions of the Public Contracts and Tenders Act.</w:t>
            </w:r>
          </w:p>
          <w:p w:rsidR="00356D92" w:rsidRDefault="00EA26BB" w:rsidP="003E13EF">
            <w:pPr>
              <w:pStyle w:val="ListParagraph"/>
              <w:numPr>
                <w:ilvl w:val="0"/>
                <w:numId w:val="109"/>
              </w:numPr>
              <w:jc w:val="both"/>
            </w:pPr>
            <w:r>
              <w:t xml:space="preserve">Strictly apply merit-based principles for the award of </w:t>
            </w:r>
            <w:proofErr w:type="spellStart"/>
            <w:r>
              <w:t>GoV</w:t>
            </w:r>
            <w:proofErr w:type="spellEnd"/>
            <w:r>
              <w:t>-funded scholarships, re-call scholarship recipients failing intermediate stages in their progress to an award and provide for representation of the PMO and MFEM on the National Education Commission.</w:t>
            </w:r>
          </w:p>
          <w:p w:rsidR="00356D92" w:rsidRDefault="00EA26BB" w:rsidP="003E13EF">
            <w:pPr>
              <w:pStyle w:val="ListParagraph"/>
              <w:numPr>
                <w:ilvl w:val="0"/>
                <w:numId w:val="109"/>
              </w:numPr>
              <w:jc w:val="both"/>
            </w:pPr>
            <w:r>
              <w:t>Define a financially sustainable policy on the issue of leases for school sites.</w:t>
            </w:r>
          </w:p>
          <w:p w:rsidR="00356D92" w:rsidRDefault="00EA26BB" w:rsidP="003E13EF">
            <w:pPr>
              <w:pStyle w:val="ListParagraph"/>
              <w:numPr>
                <w:ilvl w:val="0"/>
                <w:numId w:val="109"/>
              </w:numPr>
              <w:jc w:val="both"/>
            </w:pPr>
            <w:r>
              <w:t>Ensure that appointments to education-related governing and advisory bodies are made strictly on merit.</w:t>
            </w:r>
          </w:p>
          <w:p w:rsidR="00356D92" w:rsidRDefault="00EA26BB" w:rsidP="003E13EF">
            <w:pPr>
              <w:pStyle w:val="ListParagraph"/>
              <w:numPr>
                <w:ilvl w:val="0"/>
                <w:numId w:val="109"/>
              </w:numPr>
              <w:jc w:val="both"/>
            </w:pPr>
            <w:r>
              <w:t>Improve the coding of expenditure transactions conducted through school bank accounts to better track the uses to which funding is being put by schools.</w:t>
            </w:r>
          </w:p>
          <w:p w:rsidR="00EA26BB" w:rsidRDefault="00EA26BB" w:rsidP="00EA26BB">
            <w:pPr>
              <w:jc w:val="both"/>
            </w:pPr>
          </w:p>
        </w:tc>
      </w:tr>
    </w:tbl>
    <w:p w:rsidR="008705CA" w:rsidRDefault="008705CA" w:rsidP="004644CE">
      <w:pPr>
        <w:jc w:val="both"/>
      </w:pPr>
    </w:p>
    <w:p w:rsidR="004644CE" w:rsidRDefault="004644CE" w:rsidP="004644CE">
      <w:pPr>
        <w:jc w:val="both"/>
      </w:pPr>
      <w:r>
        <w:t>The review notes that none of these actions would entail a significant cost (indeed some would produce savings) yet, overall, could be expected to markedly improve the ‘value for money’ of public spending.</w:t>
      </w:r>
      <w:r w:rsidR="008705CA">
        <w:rPr>
          <w:rStyle w:val="FootnoteReference"/>
        </w:rPr>
        <w:footnoteReference w:id="74"/>
      </w:r>
    </w:p>
    <w:p w:rsidR="004644CE" w:rsidRDefault="004644CE" w:rsidP="004644CE">
      <w:pPr>
        <w:jc w:val="both"/>
      </w:pPr>
    </w:p>
    <w:p w:rsidR="004644CE" w:rsidRDefault="004644CE" w:rsidP="004644CE">
      <w:pPr>
        <w:jc w:val="both"/>
      </w:pPr>
      <w:r>
        <w:t>In addition to these actions the review has identified five priorities for action from a public financial management perspective and a recommendation associated with each.  These are presented in descending order of priority as the review sees them.</w:t>
      </w:r>
    </w:p>
    <w:p w:rsidR="00356D92" w:rsidRDefault="00356D92" w:rsidP="003E13EF">
      <w:pPr>
        <w:rPr>
          <w:i/>
        </w:rPr>
      </w:pPr>
      <w:bookmarkStart w:id="288" w:name="_Toc341210828"/>
    </w:p>
    <w:p w:rsidR="004644CE" w:rsidRDefault="0038270A" w:rsidP="004644CE">
      <w:pPr>
        <w:jc w:val="both"/>
      </w:pPr>
      <w:r w:rsidRPr="003E13EF">
        <w:rPr>
          <w:i/>
        </w:rPr>
        <w:t>Strengthen control of annual funding inputs</w:t>
      </w:r>
      <w:r w:rsidR="00363154">
        <w:rPr>
          <w:i/>
        </w:rPr>
        <w:t>:</w:t>
      </w:r>
      <w:bookmarkEnd w:id="288"/>
      <w:r w:rsidR="00363154">
        <w:t xml:space="preserve">  </w:t>
      </w:r>
      <w:r w:rsidR="004644CE">
        <w:t xml:space="preserve">It is a cardinal principle of public financial management that before governments can hope to influence outputs, much less outcomes, they should establish firm control of financial inputs.  As this review has documented, while the </w:t>
      </w:r>
      <w:proofErr w:type="spellStart"/>
      <w:r w:rsidR="004644CE">
        <w:t>GoV</w:t>
      </w:r>
      <w:proofErr w:type="spellEnd"/>
      <w:r w:rsidR="004644CE">
        <w:t xml:space="preserve"> </w:t>
      </w:r>
      <w:r w:rsidR="004644CE">
        <w:lastRenderedPageBreak/>
        <w:t xml:space="preserve">(through MFEM) has exercised good control of </w:t>
      </w:r>
      <w:proofErr w:type="spellStart"/>
      <w:r w:rsidR="004644CE">
        <w:t>MoE</w:t>
      </w:r>
      <w:proofErr w:type="spellEnd"/>
      <w:r w:rsidR="004644CE">
        <w:t xml:space="preserve"> expenditure at an aggregate level expenditures below that level are not well-controlled for reasons both within and beyond the control of the </w:t>
      </w:r>
      <w:proofErr w:type="spellStart"/>
      <w:r w:rsidR="004644CE">
        <w:t>MoE</w:t>
      </w:r>
      <w:proofErr w:type="spellEnd"/>
      <w:r w:rsidR="004644CE">
        <w:t xml:space="preserve">.  In addition to addressing the issue of unbudgeted teacher appointments the </w:t>
      </w:r>
      <w:proofErr w:type="spellStart"/>
      <w:r w:rsidR="004644CE">
        <w:t>GoV</w:t>
      </w:r>
      <w:proofErr w:type="spellEnd"/>
      <w:r w:rsidR="004644CE">
        <w:t xml:space="preserve">, MFEM and </w:t>
      </w:r>
      <w:proofErr w:type="spellStart"/>
      <w:r w:rsidR="004644CE">
        <w:t>MoE</w:t>
      </w:r>
      <w:proofErr w:type="spellEnd"/>
      <w:r w:rsidR="004644CE">
        <w:t xml:space="preserve"> can gain better control of annual expenditure inputs in </w:t>
      </w:r>
      <w:r w:rsidR="00E939C0">
        <w:t xml:space="preserve">four </w:t>
      </w:r>
      <w:r w:rsidR="004644CE">
        <w:t xml:space="preserve">main ways. </w:t>
      </w:r>
    </w:p>
    <w:p w:rsidR="00EA26BB" w:rsidRDefault="00EA26BB" w:rsidP="00EA26BB">
      <w:pPr>
        <w:jc w:val="both"/>
      </w:pPr>
    </w:p>
    <w:tbl>
      <w:tblPr>
        <w:tblStyle w:val="TableGrid"/>
        <w:tblW w:w="0" w:type="auto"/>
        <w:tblLook w:val="04A0" w:firstRow="1" w:lastRow="0" w:firstColumn="1" w:lastColumn="0" w:noHBand="0" w:noVBand="1"/>
        <w:tblCaption w:val="Recommendation 2:  Strengthen control of annual funding inputs by the following means."/>
        <w:tblDescription w:val="a) Via MoE and MFEM, systematically review proposed funding allocations to MoE cost centres for 2013 and annually thereafter to ensure these reflect realistic assessments at each cost centre level of what is to be spent (within the aggregate funding ceiling) rather than the prior year’s cost centre budget.&#10;b) In conjunction with (a) undertake a thorough review of actual expenditures at the cost centre level in 2012 to determine the extent to which actual expenditures were posted to the correct cost centres/codes.&#10;c) Ensure in 2013 and beyond that any unbudgeted expenditure to be funded from within MoE’s original budget ceiling is formally vired within Smartstream to the appropriate cost centre/code from the cost centre/code providing the funding source.&#10;d) Introduce a requirement via an MFEM directive that any proposed unbudgeted expenditure exceeding (say) VT5 million in any given year is to be formally submitted to MFEM and/or the Ministerial Budget Committee for approval of both that expenditure and how it is to be funded."/>
      </w:tblPr>
      <w:tblGrid>
        <w:gridCol w:w="9570"/>
      </w:tblGrid>
      <w:tr w:rsidR="00EA26BB" w:rsidTr="00FC5C59">
        <w:trPr>
          <w:tblHeader/>
        </w:trPr>
        <w:tc>
          <w:tcPr>
            <w:tcW w:w="9570" w:type="dxa"/>
            <w:shd w:val="clear" w:color="auto" w:fill="BFBFBF" w:themeFill="background1" w:themeFillShade="BF"/>
          </w:tcPr>
          <w:p w:rsidR="00EA26BB" w:rsidRDefault="00EA26BB" w:rsidP="00EA26BB">
            <w:pPr>
              <w:jc w:val="both"/>
            </w:pPr>
            <w:r w:rsidRPr="00BF71B2">
              <w:rPr>
                <w:b/>
              </w:rPr>
              <w:t>Recommendation 2</w:t>
            </w:r>
            <w:r>
              <w:t>:  Strengthen control of annual funding inputs by the following means.</w:t>
            </w:r>
          </w:p>
          <w:p w:rsidR="00EA26BB" w:rsidRDefault="00EA26BB" w:rsidP="00EA26BB">
            <w:pPr>
              <w:jc w:val="both"/>
            </w:pPr>
          </w:p>
          <w:p w:rsidR="00EA26BB" w:rsidRDefault="00EA26BB" w:rsidP="00EA26BB">
            <w:pPr>
              <w:pStyle w:val="ListParagraph"/>
              <w:numPr>
                <w:ilvl w:val="0"/>
                <w:numId w:val="104"/>
              </w:numPr>
              <w:jc w:val="both"/>
            </w:pPr>
            <w:r>
              <w:t xml:space="preserve">Via </w:t>
            </w:r>
            <w:proofErr w:type="spellStart"/>
            <w:r>
              <w:t>MoE</w:t>
            </w:r>
            <w:proofErr w:type="spellEnd"/>
            <w:r>
              <w:t xml:space="preserve"> and MFEM, systematically review proposed funding allocations to </w:t>
            </w:r>
            <w:proofErr w:type="spellStart"/>
            <w:r>
              <w:t>MoE</w:t>
            </w:r>
            <w:proofErr w:type="spellEnd"/>
            <w:r>
              <w:t xml:space="preserve"> cost centres for 2013 and annually thereafter to ensure these reflect realistic assessments at each cost centre level of what is to be spent (within the aggregate funding ceiling) rather than the prior year’s cost centre budget.</w:t>
            </w:r>
          </w:p>
          <w:p w:rsidR="00EA26BB" w:rsidRDefault="00EA26BB" w:rsidP="00EA26BB">
            <w:pPr>
              <w:pStyle w:val="ListParagraph"/>
              <w:numPr>
                <w:ilvl w:val="0"/>
                <w:numId w:val="104"/>
              </w:numPr>
              <w:jc w:val="both"/>
            </w:pPr>
            <w:r>
              <w:t>In conjunction with (a) undertake a thorough review of actual expenditures at the cost centre level in 2012 to determine the extent to which actual expenditures were posted to the correct cost centres/codes.</w:t>
            </w:r>
          </w:p>
          <w:p w:rsidR="00EA26BB" w:rsidRDefault="00EA26BB" w:rsidP="00EA26BB">
            <w:pPr>
              <w:pStyle w:val="ListParagraph"/>
              <w:numPr>
                <w:ilvl w:val="0"/>
                <w:numId w:val="104"/>
              </w:numPr>
              <w:jc w:val="both"/>
            </w:pPr>
            <w:r>
              <w:t xml:space="preserve">Ensure in 2013 and beyond that any unbudgeted expenditure to be funded from within </w:t>
            </w:r>
            <w:proofErr w:type="spellStart"/>
            <w:r>
              <w:t>MoE’s</w:t>
            </w:r>
            <w:proofErr w:type="spellEnd"/>
            <w:r>
              <w:t xml:space="preserve"> original budget ceiling is formally </w:t>
            </w:r>
            <w:proofErr w:type="spellStart"/>
            <w:r>
              <w:t>vired</w:t>
            </w:r>
            <w:proofErr w:type="spellEnd"/>
            <w:r>
              <w:t xml:space="preserve"> within </w:t>
            </w:r>
            <w:proofErr w:type="spellStart"/>
            <w:r>
              <w:t>Smartstream</w:t>
            </w:r>
            <w:proofErr w:type="spellEnd"/>
            <w:r>
              <w:t xml:space="preserve"> to the appropriate cost centre/code from the cost centre/code providing the funding source.</w:t>
            </w:r>
          </w:p>
          <w:p w:rsidR="002A594B" w:rsidRDefault="00EA26BB">
            <w:pPr>
              <w:pStyle w:val="ListParagraph"/>
              <w:numPr>
                <w:ilvl w:val="0"/>
                <w:numId w:val="104"/>
              </w:numPr>
              <w:jc w:val="both"/>
            </w:pPr>
            <w:r>
              <w:t>Introduce a requirement via an MFEM directive that any proposed unbudgeted expenditure exceeding (say) VT5 million in any given year is to be formally submitted to MFEM and/or the Ministerial Budget Committee for approval of both that expenditure and how it is to be funded.</w:t>
            </w:r>
          </w:p>
          <w:p w:rsidR="00356D92" w:rsidRDefault="00356D92" w:rsidP="003E13EF">
            <w:pPr>
              <w:ind w:left="360"/>
              <w:jc w:val="both"/>
            </w:pPr>
          </w:p>
        </w:tc>
      </w:tr>
    </w:tbl>
    <w:p w:rsidR="00EA26BB" w:rsidRDefault="00EA26BB" w:rsidP="00EA26BB"/>
    <w:p w:rsidR="00B35206" w:rsidRDefault="00B35206" w:rsidP="00B35206">
      <w:pPr>
        <w:jc w:val="both"/>
      </w:pPr>
      <w:r>
        <w:t xml:space="preserve">Item (b) </w:t>
      </w:r>
      <w:r w:rsidR="00363154">
        <w:t xml:space="preserve">should </w:t>
      </w:r>
      <w:r>
        <w:t xml:space="preserve">be undertaken as part of a wider tracking survey to better establish the extent to which the </w:t>
      </w:r>
      <w:proofErr w:type="spellStart"/>
      <w:r>
        <w:t>GoV’s</w:t>
      </w:r>
      <w:proofErr w:type="spellEnd"/>
      <w:r>
        <w:t xml:space="preserve"> budgeted recurrent expenditures have been reaching intended beneficiaries.</w:t>
      </w:r>
    </w:p>
    <w:p w:rsidR="00356D92" w:rsidRDefault="00356D92" w:rsidP="003E13EF">
      <w:pPr>
        <w:rPr>
          <w:i/>
        </w:rPr>
      </w:pPr>
      <w:bookmarkStart w:id="289" w:name="_Toc341210829"/>
    </w:p>
    <w:p w:rsidR="00064D2C" w:rsidRDefault="0038270A" w:rsidP="00EA26BB">
      <w:pPr>
        <w:jc w:val="both"/>
      </w:pPr>
      <w:r w:rsidRPr="003E13EF">
        <w:rPr>
          <w:i/>
        </w:rPr>
        <w:t xml:space="preserve"> Identify and align genuine policy priorities with </w:t>
      </w:r>
      <w:proofErr w:type="spellStart"/>
      <w:r w:rsidRPr="003E13EF">
        <w:rPr>
          <w:i/>
        </w:rPr>
        <w:t>GoV</w:t>
      </w:r>
      <w:proofErr w:type="spellEnd"/>
      <w:r w:rsidRPr="003E13EF">
        <w:rPr>
          <w:i/>
        </w:rPr>
        <w:t>-funded recurrent education spending over the medium-term</w:t>
      </w:r>
      <w:r w:rsidR="00363154">
        <w:rPr>
          <w:i/>
        </w:rPr>
        <w:t>:</w:t>
      </w:r>
      <w:bookmarkEnd w:id="289"/>
      <w:r w:rsidR="00363154">
        <w:t xml:space="preserve">  </w:t>
      </w:r>
      <w:r w:rsidR="004644CE">
        <w:t xml:space="preserve">The review has </w:t>
      </w:r>
      <w:r w:rsidR="00363154">
        <w:t xml:space="preserve">documented </w:t>
      </w:r>
      <w:r w:rsidR="004644CE">
        <w:t xml:space="preserve">the wide array of policy ‘priorities’ for the education sector articulated by the </w:t>
      </w:r>
      <w:proofErr w:type="spellStart"/>
      <w:r w:rsidR="004644CE">
        <w:t>GoV</w:t>
      </w:r>
      <w:proofErr w:type="spellEnd"/>
      <w:r w:rsidR="004644CE">
        <w:t xml:space="preserve"> in recent years together with the fact that, with the partial exception of increased school grants in 2010, these have not been costed in a meaningful way.  The review has further noted that, based on relatively simple forward projections of costs associated with the UPE/UBE goals, the </w:t>
      </w:r>
      <w:proofErr w:type="spellStart"/>
      <w:r w:rsidR="004644CE">
        <w:t>GoV</w:t>
      </w:r>
      <w:proofErr w:type="spellEnd"/>
      <w:r w:rsidR="004644CE">
        <w:t xml:space="preserve"> faces a substantial funding challenge in meeting its recurrent funding obligations associated with these goals.  There is a pressing need to take stock of the </w:t>
      </w:r>
      <w:proofErr w:type="spellStart"/>
      <w:r w:rsidR="004644CE">
        <w:t>GoV’s</w:t>
      </w:r>
      <w:proofErr w:type="spellEnd"/>
      <w:r w:rsidR="004644CE">
        <w:t xml:space="preserve"> multiple policy priorities for the education sector, raise awareness at a political level of their expenditure implications, and seek to quantify how the highest priority objectives are to be funded over the next 3-5 years.</w:t>
      </w:r>
      <w:r w:rsidR="004644CE">
        <w:rPr>
          <w:rStyle w:val="FootnoteReference"/>
        </w:rPr>
        <w:footnoteReference w:id="75"/>
      </w:r>
    </w:p>
    <w:p w:rsidR="00974556" w:rsidRDefault="00974556" w:rsidP="00EA26BB">
      <w:pPr>
        <w:jc w:val="both"/>
      </w:pPr>
    </w:p>
    <w:p w:rsidR="00AA2515" w:rsidRDefault="00AA2515" w:rsidP="00EA26BB">
      <w:pPr>
        <w:jc w:val="both"/>
      </w:pPr>
    </w:p>
    <w:tbl>
      <w:tblPr>
        <w:tblStyle w:val="TableGrid"/>
        <w:tblW w:w="0" w:type="auto"/>
        <w:tblLook w:val="04A0" w:firstRow="1" w:lastRow="0" w:firstColumn="1" w:lastColumn="0" w:noHBand="0" w:noVBand="1"/>
        <w:tblCaption w:val="  Recommendation 3: Consider the following means of better aligning GoV recurrent expenditures with GoV policy priorities for the education sector"/>
        <w:tblDescription w:val="a) Refine projections of the likely resource envelope for the education sector over the period to 2017, identifying in consolidated form both the GoV’s likely recurrent resources and expected inputs by the principal development partners.&#10;b) Having regard to the projected resource envelope rigorously review, via the Ministerial Budget Committee, existing  policy statements and their objectives to distinguish between those that are to be funded, by whom and to what extent, from those that are of an ‘aspirational’ nature.&#10;c) As part of this process, from amongst the Minimum Quality Standards defined for primary schools select a sub-set that can (realistically) be funded and implement them via New Policy Proposals. &#10;d) Ensure that, insofar as future policy statements of objectives require medium-term funding to achieve them, these are adequately costed with funding sources quantified, and that these costings are submitted to the Ministerial Budget Committee for review and endorsement prior to public statements of the policies.&#10;e) Via the PMO, MFEM and the Ministerial Budget Committee ensure that not only New Policy Proposals but also proposed allocations of ongoing GoV-funded recurrent expenditures are consistent with the GoV’s highest medium-term funding priorities."/>
      </w:tblPr>
      <w:tblGrid>
        <w:gridCol w:w="9570"/>
      </w:tblGrid>
      <w:tr w:rsidR="00EA26BB" w:rsidTr="00FC5C59">
        <w:trPr>
          <w:tblHeader/>
        </w:trPr>
        <w:tc>
          <w:tcPr>
            <w:tcW w:w="9570" w:type="dxa"/>
            <w:shd w:val="clear" w:color="auto" w:fill="BFBFBF" w:themeFill="background1" w:themeFillShade="BF"/>
          </w:tcPr>
          <w:p w:rsidR="00EA26BB" w:rsidRDefault="004644CE" w:rsidP="00EA26BB">
            <w:pPr>
              <w:jc w:val="both"/>
            </w:pPr>
            <w:r>
              <w:lastRenderedPageBreak/>
              <w:t xml:space="preserve">  </w:t>
            </w:r>
            <w:r w:rsidR="00EA26BB" w:rsidRPr="00115A10">
              <w:rPr>
                <w:b/>
              </w:rPr>
              <w:t>Recommendation 3</w:t>
            </w:r>
            <w:r w:rsidR="00EA26BB">
              <w:t xml:space="preserve">: Consider the following means of better aligning </w:t>
            </w:r>
            <w:proofErr w:type="spellStart"/>
            <w:r w:rsidR="00EA26BB">
              <w:t>GoV</w:t>
            </w:r>
            <w:proofErr w:type="spellEnd"/>
            <w:r w:rsidR="00EA26BB">
              <w:t xml:space="preserve"> recurrent expenditures with </w:t>
            </w:r>
            <w:proofErr w:type="spellStart"/>
            <w:r w:rsidR="00EA26BB">
              <w:t>GoV</w:t>
            </w:r>
            <w:proofErr w:type="spellEnd"/>
            <w:r w:rsidR="00EA26BB">
              <w:t xml:space="preserve"> policy priorities for the education sector.</w:t>
            </w:r>
          </w:p>
          <w:p w:rsidR="00EA26BB" w:rsidRDefault="00EA26BB" w:rsidP="00EA26BB">
            <w:pPr>
              <w:jc w:val="both"/>
            </w:pPr>
          </w:p>
          <w:p w:rsidR="00EA26BB" w:rsidRDefault="00EA26BB" w:rsidP="00EA26BB">
            <w:pPr>
              <w:pStyle w:val="ListParagraph"/>
              <w:numPr>
                <w:ilvl w:val="0"/>
                <w:numId w:val="105"/>
              </w:numPr>
              <w:jc w:val="both"/>
            </w:pPr>
            <w:r>
              <w:t xml:space="preserve">Refine projections of the likely resource envelope for the education sector over the period to 2017, identifying in consolidated form both the </w:t>
            </w:r>
            <w:proofErr w:type="spellStart"/>
            <w:r>
              <w:t>GoV’s</w:t>
            </w:r>
            <w:proofErr w:type="spellEnd"/>
            <w:r>
              <w:t xml:space="preserve"> likely recurrent resources and expected inputs by the principal development partners.</w:t>
            </w:r>
          </w:p>
          <w:p w:rsidR="00EA26BB" w:rsidRDefault="00EA26BB" w:rsidP="00EA26BB">
            <w:pPr>
              <w:pStyle w:val="ListParagraph"/>
              <w:numPr>
                <w:ilvl w:val="0"/>
                <w:numId w:val="105"/>
              </w:numPr>
              <w:jc w:val="both"/>
            </w:pPr>
            <w:r>
              <w:t>Having regard to the projected resource envelope rigorously review, via the Ministerial Budget Committee, existing  policy statements and their objectives to distinguish between those that are to be funded, by whom and to what extent, from those that are of an ‘aspirational’ nature.</w:t>
            </w:r>
          </w:p>
          <w:p w:rsidR="00EA26BB" w:rsidRDefault="00EA26BB" w:rsidP="00EA26BB">
            <w:pPr>
              <w:pStyle w:val="ListParagraph"/>
              <w:numPr>
                <w:ilvl w:val="0"/>
                <w:numId w:val="105"/>
              </w:numPr>
              <w:jc w:val="both"/>
            </w:pPr>
            <w:r>
              <w:t xml:space="preserve">As part of this process, from amongst the Minimum Quality Standards defined for primary schools select a sub-set that can (realistically) be funded and implement them via New Policy Proposals. </w:t>
            </w:r>
          </w:p>
          <w:p w:rsidR="00EA26BB" w:rsidRDefault="00EA26BB" w:rsidP="00EA26BB">
            <w:pPr>
              <w:pStyle w:val="ListParagraph"/>
              <w:numPr>
                <w:ilvl w:val="0"/>
                <w:numId w:val="105"/>
              </w:numPr>
              <w:jc w:val="both"/>
            </w:pPr>
            <w:r>
              <w:t xml:space="preserve">Ensure that, insofar as future policy statements of objectives require medium-term funding to achieve them, these are adequately costed with funding sources quantified, and that these </w:t>
            </w:r>
            <w:proofErr w:type="spellStart"/>
            <w:r>
              <w:t>costings</w:t>
            </w:r>
            <w:proofErr w:type="spellEnd"/>
            <w:r>
              <w:t xml:space="preserve"> are submitted to the Ministerial Budget Committee for review and endorsement prior to public statements of the policies.</w:t>
            </w:r>
          </w:p>
          <w:p w:rsidR="00EA26BB" w:rsidRDefault="00EA26BB" w:rsidP="00EA26BB">
            <w:pPr>
              <w:pStyle w:val="ListParagraph"/>
              <w:numPr>
                <w:ilvl w:val="0"/>
                <w:numId w:val="105"/>
              </w:numPr>
              <w:jc w:val="both"/>
            </w:pPr>
            <w:r>
              <w:t xml:space="preserve">Via the PMO, MFEM and the Ministerial Budget Committee ensure that not only New Policy Proposals but also proposed allocations of ongoing </w:t>
            </w:r>
            <w:proofErr w:type="spellStart"/>
            <w:r>
              <w:t>GoV</w:t>
            </w:r>
            <w:proofErr w:type="spellEnd"/>
            <w:r>
              <w:t xml:space="preserve">-funded recurrent expenditures are consistent with the </w:t>
            </w:r>
            <w:proofErr w:type="spellStart"/>
            <w:r>
              <w:t>GoV’s</w:t>
            </w:r>
            <w:proofErr w:type="spellEnd"/>
            <w:r>
              <w:t xml:space="preserve"> highest medium-term funding priorities.</w:t>
            </w:r>
          </w:p>
          <w:p w:rsidR="00EA26BB" w:rsidRDefault="00EA26BB" w:rsidP="00EA26BB">
            <w:pPr>
              <w:jc w:val="both"/>
            </w:pPr>
          </w:p>
        </w:tc>
      </w:tr>
    </w:tbl>
    <w:p w:rsidR="00EA26BB" w:rsidRDefault="00EA26BB" w:rsidP="00EA26BB"/>
    <w:p w:rsidR="00545629" w:rsidRPr="00545629" w:rsidRDefault="00545629" w:rsidP="00545629">
      <w:pPr>
        <w:jc w:val="both"/>
      </w:pPr>
      <w:r>
        <w:t xml:space="preserve">Underlying each of these suggestions is the need to shift the focus of education sector planning from what is desirable in the long term to what is affordable in the medium term. </w:t>
      </w:r>
    </w:p>
    <w:p w:rsidR="00356D92" w:rsidRDefault="00356D92" w:rsidP="003E13EF">
      <w:bookmarkStart w:id="290" w:name="_Toc341210830"/>
    </w:p>
    <w:p w:rsidR="00E076DF" w:rsidRDefault="0038270A" w:rsidP="004644CE">
      <w:pPr>
        <w:jc w:val="both"/>
      </w:pPr>
      <w:r w:rsidRPr="003E13EF">
        <w:rPr>
          <w:i/>
        </w:rPr>
        <w:t xml:space="preserve">Reverse the trend of declining real </w:t>
      </w:r>
      <w:proofErr w:type="spellStart"/>
      <w:r w:rsidRPr="003E13EF">
        <w:rPr>
          <w:i/>
        </w:rPr>
        <w:t>GoV</w:t>
      </w:r>
      <w:proofErr w:type="spellEnd"/>
      <w:r w:rsidRPr="003E13EF">
        <w:rPr>
          <w:i/>
        </w:rPr>
        <w:t>-funded expenditure on Vanuatu’s primary education sub-sector</w:t>
      </w:r>
      <w:r w:rsidR="00363154">
        <w:rPr>
          <w:i/>
        </w:rPr>
        <w:t>:</w:t>
      </w:r>
      <w:r w:rsidR="00E076DF">
        <w:rPr>
          <w:i/>
        </w:rPr>
        <w:t xml:space="preserve">  </w:t>
      </w:r>
      <w:r w:rsidR="00E076DF">
        <w:t xml:space="preserve">There has been ample research over the years demonstrating that the social (as distinct from private) returns to investment in education are highest at the primary level.  In the Vanuatu context, public investment in the primary sector is likely to favour rural areas in particular which may be regarded as improving the equity of public spending as well as primary outcomes.  The draft design of the VESP orientates Pool Partner funding towards the ECE and primary sectors in particular.  The </w:t>
      </w:r>
      <w:proofErr w:type="spellStart"/>
      <w:r w:rsidR="00E076DF">
        <w:t>GoV</w:t>
      </w:r>
      <w:proofErr w:type="spellEnd"/>
      <w:r w:rsidR="00E076DF">
        <w:t xml:space="preserve"> should also aim to reorientate its recurrent spending back towards the primary sector.</w:t>
      </w:r>
      <w:bookmarkEnd w:id="290"/>
      <w:r w:rsidR="00363154">
        <w:t xml:space="preserve"> </w:t>
      </w:r>
    </w:p>
    <w:p w:rsidR="00EA26BB" w:rsidRDefault="00EA26BB" w:rsidP="00EA26BB">
      <w:pPr>
        <w:jc w:val="both"/>
      </w:pPr>
    </w:p>
    <w:tbl>
      <w:tblPr>
        <w:tblStyle w:val="TableGrid"/>
        <w:tblW w:w="0" w:type="auto"/>
        <w:tblLook w:val="04A0" w:firstRow="1" w:lastRow="0" w:firstColumn="1" w:lastColumn="0" w:noHBand="0" w:noVBand="1"/>
        <w:tblCaption w:val="Recommendation 4: Seek to reverse the trend of declining real GoV-funded expenditure on primary schooling by, within the aggregate medium-term resource envelope:"/>
        <w:tblDescription w:val="a) Steadily reducing GoV net funding of scholarships to no more than VT250 million by 2017 and beyond - the budgeted amount for 2010 - by either cutting the future number of scholarship awards and/or introducing substantial co-payments (possibly via loans) by scholarship recipients.&#10;b) Not increasing in real or nominal terms the rates of per student school grants for either Year 7-8 or Years 9 plus students."/>
      </w:tblPr>
      <w:tblGrid>
        <w:gridCol w:w="9570"/>
      </w:tblGrid>
      <w:tr w:rsidR="00EA26BB" w:rsidTr="00FC5C59">
        <w:trPr>
          <w:tblHeader/>
        </w:trPr>
        <w:tc>
          <w:tcPr>
            <w:tcW w:w="9570" w:type="dxa"/>
            <w:shd w:val="clear" w:color="auto" w:fill="BFBFBF" w:themeFill="background1" w:themeFillShade="BF"/>
          </w:tcPr>
          <w:p w:rsidR="00EA26BB" w:rsidRDefault="00EA26BB" w:rsidP="00EA26BB">
            <w:pPr>
              <w:jc w:val="both"/>
            </w:pPr>
            <w:r w:rsidRPr="00EC19BB">
              <w:rPr>
                <w:b/>
                <w:shd w:val="clear" w:color="auto" w:fill="BFBFBF" w:themeFill="background1" w:themeFillShade="BF"/>
              </w:rPr>
              <w:t>Recommendation 4</w:t>
            </w:r>
            <w:r>
              <w:t xml:space="preserve">: Seek to reverse the trend of declining real </w:t>
            </w:r>
            <w:proofErr w:type="spellStart"/>
            <w:r>
              <w:t>GoV</w:t>
            </w:r>
            <w:proofErr w:type="spellEnd"/>
            <w:r>
              <w:t>-funded expenditure on primary schooling by, within the aggregate medium-term resource envelope:</w:t>
            </w:r>
          </w:p>
          <w:p w:rsidR="00EA26BB" w:rsidRDefault="00EA26BB" w:rsidP="00EA26BB">
            <w:pPr>
              <w:jc w:val="both"/>
            </w:pPr>
          </w:p>
          <w:p w:rsidR="00EA26BB" w:rsidRDefault="00EA26BB" w:rsidP="00EA26BB">
            <w:pPr>
              <w:pStyle w:val="ListParagraph"/>
              <w:numPr>
                <w:ilvl w:val="0"/>
                <w:numId w:val="106"/>
              </w:numPr>
              <w:jc w:val="both"/>
            </w:pPr>
            <w:r>
              <w:t xml:space="preserve">Steadily reducing </w:t>
            </w:r>
            <w:proofErr w:type="spellStart"/>
            <w:r>
              <w:t>GoV</w:t>
            </w:r>
            <w:proofErr w:type="spellEnd"/>
            <w:r>
              <w:t xml:space="preserve"> net funding of scholarships to no more than VT250 million by 2017 and beyond - the budgeted amount for 2010 - by either cutting the future number of scholarship awards and/or introducing substantial co-payments (possibly via loans) by scholarship recipients.</w:t>
            </w:r>
          </w:p>
          <w:p w:rsidR="00356D92" w:rsidRDefault="00EA26BB" w:rsidP="003E13EF">
            <w:pPr>
              <w:pStyle w:val="ListParagraph"/>
              <w:numPr>
                <w:ilvl w:val="0"/>
                <w:numId w:val="106"/>
              </w:numPr>
              <w:jc w:val="both"/>
            </w:pPr>
            <w:r>
              <w:t xml:space="preserve">Not increasing in real or nominal terms the rates of per student school grants for </w:t>
            </w:r>
            <w:proofErr w:type="gramStart"/>
            <w:r>
              <w:t>either Year</w:t>
            </w:r>
            <w:proofErr w:type="gramEnd"/>
            <w:r>
              <w:t xml:space="preserve"> 7-8 or Years 9 plus students.</w:t>
            </w:r>
          </w:p>
          <w:p w:rsidR="00356D92" w:rsidRDefault="00356D92" w:rsidP="003E13EF">
            <w:pPr>
              <w:ind w:left="480"/>
              <w:jc w:val="both"/>
            </w:pPr>
          </w:p>
        </w:tc>
      </w:tr>
    </w:tbl>
    <w:p w:rsidR="00EA26BB" w:rsidRDefault="00EA26BB" w:rsidP="004644CE">
      <w:pPr>
        <w:jc w:val="both"/>
      </w:pPr>
    </w:p>
    <w:p w:rsidR="00157C6F" w:rsidRDefault="00B61FC7">
      <w:pPr>
        <w:jc w:val="both"/>
      </w:pPr>
      <w:r>
        <w:t xml:space="preserve">Compared to the status quo and based on </w:t>
      </w:r>
      <w:proofErr w:type="spellStart"/>
      <w:r>
        <w:t>MoE’s</w:t>
      </w:r>
      <w:proofErr w:type="spellEnd"/>
      <w:r>
        <w:t xml:space="preserve"> supplementary funding request for 2012 item (a) would save around VT260 million a year in and from 2017 at 2012 prices.  In projected 2017 price terms item (b) would save around VT16 million a year by 2017 and avoid additional expenditure on Year 7-8 grants of around VT48 million.</w:t>
      </w:r>
      <w:r w:rsidR="000838FE">
        <w:rPr>
          <w:rStyle w:val="FootnoteReference"/>
        </w:rPr>
        <w:footnoteReference w:id="76"/>
      </w:r>
    </w:p>
    <w:p w:rsidR="00356D92" w:rsidRDefault="00356D92" w:rsidP="003E13EF">
      <w:bookmarkStart w:id="291" w:name="_Toc341210831"/>
    </w:p>
    <w:p w:rsidR="004644CE" w:rsidRDefault="0038270A" w:rsidP="004644CE">
      <w:pPr>
        <w:jc w:val="both"/>
      </w:pPr>
      <w:r w:rsidRPr="003E13EF">
        <w:rPr>
          <w:i/>
        </w:rPr>
        <w:t xml:space="preserve">Target ‘discretionary’ </w:t>
      </w:r>
      <w:proofErr w:type="spellStart"/>
      <w:r w:rsidRPr="003E13EF">
        <w:rPr>
          <w:i/>
        </w:rPr>
        <w:t>GoV</w:t>
      </w:r>
      <w:proofErr w:type="spellEnd"/>
      <w:r w:rsidRPr="003E13EF">
        <w:rPr>
          <w:i/>
        </w:rPr>
        <w:t>-funded spending on education better</w:t>
      </w:r>
      <w:r w:rsidR="00363154">
        <w:rPr>
          <w:i/>
        </w:rPr>
        <w:t>:</w:t>
      </w:r>
      <w:bookmarkEnd w:id="291"/>
      <w:r w:rsidR="00363154">
        <w:rPr>
          <w:i/>
        </w:rPr>
        <w:t xml:space="preserve">  </w:t>
      </w:r>
      <w:r w:rsidR="004644CE">
        <w:t xml:space="preserve">How teachers are trained, deployed and remunerated are major aspects of targeting.  For example, evidence suggests that the ‘best’ primary school teachers (however assessed) should be steered towards teaching of Year 1 students.  This aside, from a public expenditure perspective </w:t>
      </w:r>
      <w:proofErr w:type="spellStart"/>
      <w:r w:rsidR="004644CE">
        <w:t>MoE’s</w:t>
      </w:r>
      <w:proofErr w:type="spellEnd"/>
      <w:r w:rsidR="004644CE">
        <w:t xml:space="preserve"> ‘discretionary’ expenditure comprises primarily its expenditure on school grants, non-salary expenditure on Provincial Education Offices and other goods and services.</w:t>
      </w:r>
      <w:r w:rsidR="004644CE">
        <w:rPr>
          <w:rStyle w:val="FootnoteReference"/>
        </w:rPr>
        <w:footnoteReference w:id="77"/>
      </w:r>
      <w:r w:rsidR="004644CE">
        <w:t xml:space="preserve">  Between them these categories accounted for some 10% of </w:t>
      </w:r>
      <w:proofErr w:type="spellStart"/>
      <w:r w:rsidR="004644CE">
        <w:t>MoE’s</w:t>
      </w:r>
      <w:proofErr w:type="spellEnd"/>
      <w:r w:rsidR="004644CE">
        <w:t xml:space="preserve"> direct budgeted recurrent expenditure on the primary and secondary sub-sectors in 2012.</w:t>
      </w:r>
    </w:p>
    <w:p w:rsidR="00BC2378" w:rsidRDefault="00BC2378" w:rsidP="004644CE">
      <w:pPr>
        <w:jc w:val="both"/>
      </w:pPr>
    </w:p>
    <w:p w:rsidR="004644CE" w:rsidRDefault="004644CE" w:rsidP="004644CE">
      <w:pPr>
        <w:jc w:val="both"/>
      </w:pPr>
      <w:r>
        <w:t xml:space="preserve">Primary school grants have displaced, on a non means-tested basis, a minimum of VT300 million from funding of the primary sub-sector that was previously supplied by parents in cash.  Whatever the equity merits (or de-merits) of this, particularly in terms of the rural-urban divide, they constitutes a major funding commitment by the </w:t>
      </w:r>
      <w:proofErr w:type="spellStart"/>
      <w:r>
        <w:t>GoV</w:t>
      </w:r>
      <w:proofErr w:type="spellEnd"/>
      <w:r>
        <w:t xml:space="preserve"> which in their present form neither target individual school needs nor reward schools for the performance improvements they are able to achieve.  The (lower rates of) per-student grants for secondary school students are similarly non-targeted.</w:t>
      </w:r>
    </w:p>
    <w:p w:rsidR="00BC2378" w:rsidRDefault="00BC2378" w:rsidP="004644CE">
      <w:pPr>
        <w:jc w:val="both"/>
      </w:pPr>
    </w:p>
    <w:p w:rsidR="004644CE" w:rsidRDefault="004644CE" w:rsidP="004644CE">
      <w:pPr>
        <w:jc w:val="both"/>
      </w:pPr>
      <w:r>
        <w:t>Funding of the Provincial Education Offices, especially non-salary funding including provisions intended for school maintenance, are with rare exceptions identical across the six Provinces.  Again, budget provisions for non-salary expenditure do not appear related in any way to an assessment of needs at the Province level.</w:t>
      </w:r>
    </w:p>
    <w:p w:rsidR="00EA26BB" w:rsidRDefault="00EA26BB" w:rsidP="00EA26BB">
      <w:pPr>
        <w:jc w:val="both"/>
      </w:pPr>
    </w:p>
    <w:tbl>
      <w:tblPr>
        <w:tblStyle w:val="TableGrid"/>
        <w:tblW w:w="0" w:type="auto"/>
        <w:tblLook w:val="04A0" w:firstRow="1" w:lastRow="0" w:firstColumn="1" w:lastColumn="0" w:noHBand="0" w:noVBand="1"/>
        <w:tblCaption w:val="Recommendation 5:  Consider the following steps to improve targeting of non-salary primary school funding within aggregate resource availability."/>
        <w:tblDescription w:val="a) Freeze the current per-student school grant for Years 1-6 (VT8,900 per student) at the current amount for the next five years and redirect the savings in real terms to establishment of a schools improvement fund accessible on a competitive basis by individual primary schools based on criteria for assessment of their relative improvement needs, past performance in addressing them and parental/community commitment to co-financing them.&#10;b) In conjunction with the proposed VESP support for classroom construction and school maintenance, rigorously assess the current allocation of non-salary funding of Provincial Education Offices to better align its school maintenance component with the highest priority school maintenance needs across Provinces.&#10;"/>
      </w:tblPr>
      <w:tblGrid>
        <w:gridCol w:w="9570"/>
      </w:tblGrid>
      <w:tr w:rsidR="00EA26BB" w:rsidTr="00FC5C59">
        <w:trPr>
          <w:tblHeader/>
        </w:trPr>
        <w:tc>
          <w:tcPr>
            <w:tcW w:w="9570" w:type="dxa"/>
            <w:shd w:val="clear" w:color="auto" w:fill="BFBFBF" w:themeFill="background1" w:themeFillShade="BF"/>
          </w:tcPr>
          <w:p w:rsidR="00EA26BB" w:rsidRDefault="00EA26BB" w:rsidP="00EA26BB">
            <w:pPr>
              <w:jc w:val="both"/>
            </w:pPr>
            <w:r w:rsidRPr="00386014">
              <w:rPr>
                <w:b/>
              </w:rPr>
              <w:t>Recommendation 5</w:t>
            </w:r>
            <w:r>
              <w:t>:  Consider the following steps to improve targeting of non-salary primary school funding within aggregate resource availability.</w:t>
            </w:r>
          </w:p>
          <w:p w:rsidR="00EA26BB" w:rsidRDefault="00EA26BB" w:rsidP="00EA26BB">
            <w:pPr>
              <w:jc w:val="both"/>
            </w:pPr>
          </w:p>
          <w:p w:rsidR="00EA26BB" w:rsidRDefault="00EA26BB" w:rsidP="00EA26BB">
            <w:pPr>
              <w:pStyle w:val="ListParagraph"/>
              <w:numPr>
                <w:ilvl w:val="0"/>
                <w:numId w:val="107"/>
              </w:numPr>
              <w:jc w:val="both"/>
            </w:pPr>
            <w:r>
              <w:t>Freeze the current per-student school grant for Years 1-6 (VT8</w:t>
            </w:r>
            <w:proofErr w:type="gramStart"/>
            <w:r>
              <w:t>,900</w:t>
            </w:r>
            <w:proofErr w:type="gramEnd"/>
            <w:r>
              <w:t xml:space="preserve"> per student) at the current amount for the next five years and redirect the savings in real terms to establishment of a schools improvement fund accessible on a competitive basis by individual primary schools based on criteria for assessment of their relative improvement needs, past performance in addressing them and parental/community commitment to co-financing them.</w:t>
            </w:r>
          </w:p>
          <w:p w:rsidR="00EA26BB" w:rsidRDefault="00EA26BB" w:rsidP="00EA26BB">
            <w:pPr>
              <w:pStyle w:val="ListParagraph"/>
              <w:numPr>
                <w:ilvl w:val="0"/>
                <w:numId w:val="107"/>
              </w:numPr>
              <w:jc w:val="both"/>
            </w:pPr>
            <w:r>
              <w:t>In conjunction with the proposed VESP support for classroom construction and school maintenance, rigorously assess the current allocation of non-salary funding of Provincial Education Offices to better align its school maintenance component with the highest priority school maintenance needs across Provinces.</w:t>
            </w:r>
          </w:p>
          <w:p w:rsidR="00EA26BB" w:rsidRDefault="00EA26BB" w:rsidP="00EA26BB">
            <w:pPr>
              <w:jc w:val="both"/>
            </w:pPr>
          </w:p>
        </w:tc>
      </w:tr>
    </w:tbl>
    <w:p w:rsidR="00EA26BB" w:rsidRDefault="00EA26BB" w:rsidP="004644CE">
      <w:pPr>
        <w:jc w:val="both"/>
      </w:pPr>
    </w:p>
    <w:p w:rsidR="00356D92" w:rsidRDefault="00B61FC7" w:rsidP="003E13EF">
      <w:pPr>
        <w:jc w:val="both"/>
      </w:pPr>
      <w:r>
        <w:t xml:space="preserve">The review projects that item (a) could, in 2017 price terms, deliver annual savings to the </w:t>
      </w:r>
      <w:proofErr w:type="spellStart"/>
      <w:r>
        <w:t>GoV</w:t>
      </w:r>
      <w:proofErr w:type="spellEnd"/>
      <w:r>
        <w:t xml:space="preserve"> of some VT60 million in 2017 for funding of the primary schools improvement fund but the precise amount is less important than the principle.</w:t>
      </w:r>
      <w:r w:rsidR="000A150A">
        <w:t xml:space="preserve">  Access to the schools improvement fund could be determined in the following way:</w:t>
      </w:r>
    </w:p>
    <w:p w:rsidR="00356D92" w:rsidRDefault="00356D92" w:rsidP="003E13EF"/>
    <w:p w:rsidR="00EF0C33" w:rsidRDefault="000A150A">
      <w:pPr>
        <w:pStyle w:val="ListParagraph"/>
        <w:numPr>
          <w:ilvl w:val="0"/>
          <w:numId w:val="87"/>
        </w:numPr>
        <w:jc w:val="both"/>
      </w:pPr>
      <w:r>
        <w:t xml:space="preserve">A </w:t>
      </w:r>
      <w:r w:rsidR="00D24407">
        <w:t>fixed pool of grant money each year, allocated by Province on a primary schools enrolment basis, open to competitive bidding by schools for matching funds.</w:t>
      </w:r>
    </w:p>
    <w:p w:rsidR="00EF0C33" w:rsidRDefault="00D24407">
      <w:pPr>
        <w:pStyle w:val="ListParagraph"/>
        <w:numPr>
          <w:ilvl w:val="0"/>
          <w:numId w:val="87"/>
        </w:numPr>
        <w:jc w:val="both"/>
      </w:pPr>
      <w:r>
        <w:t xml:space="preserve">Applications by individual primary schools based on school improvement plans identifying improvement priorities that cannot (in the school’s view) be funded from per-student grants and how the desired improvements are proposed to be funded - including via ‘voluntary’ community/parental contributions. </w:t>
      </w:r>
    </w:p>
    <w:p w:rsidR="00EF0C33" w:rsidRDefault="00D24407">
      <w:pPr>
        <w:pStyle w:val="ListParagraph"/>
        <w:numPr>
          <w:ilvl w:val="0"/>
          <w:numId w:val="87"/>
        </w:numPr>
        <w:jc w:val="both"/>
      </w:pPr>
      <w:r>
        <w:lastRenderedPageBreak/>
        <w:t>Initial assessment of school ‘bids’ for the improvement funds to be undertaken by SI</w:t>
      </w:r>
      <w:r w:rsidR="006D51DC">
        <w:t>A</w:t>
      </w:r>
      <w:r>
        <w:t xml:space="preserve">s/ZCAs, reviewed by PEOs and then subject to recommendations (within available funds) by the SBM Unit in </w:t>
      </w:r>
      <w:proofErr w:type="spellStart"/>
      <w:r>
        <w:t>MoE</w:t>
      </w:r>
      <w:proofErr w:type="spellEnd"/>
      <w:r>
        <w:t xml:space="preserve">.  </w:t>
      </w:r>
    </w:p>
    <w:p w:rsidR="00EF0C33" w:rsidRDefault="00EA757D">
      <w:pPr>
        <w:pStyle w:val="ListParagraph"/>
        <w:numPr>
          <w:ilvl w:val="0"/>
          <w:numId w:val="87"/>
        </w:numPr>
        <w:jc w:val="both"/>
      </w:pPr>
      <w:r>
        <w:t>Criteria against which funding applications would be assessed to include:</w:t>
      </w:r>
    </w:p>
    <w:p w:rsidR="00EF0C33" w:rsidRDefault="00EA757D">
      <w:pPr>
        <w:pStyle w:val="ListParagraph"/>
        <w:numPr>
          <w:ilvl w:val="0"/>
          <w:numId w:val="88"/>
        </w:numPr>
        <w:jc w:val="both"/>
      </w:pPr>
      <w:r>
        <w:t>potential contribution to minimum quality standards (what and how);</w:t>
      </w:r>
    </w:p>
    <w:p w:rsidR="00EF0C33" w:rsidRDefault="00EA757D">
      <w:pPr>
        <w:pStyle w:val="ListParagraph"/>
        <w:numPr>
          <w:ilvl w:val="0"/>
          <w:numId w:val="88"/>
        </w:numPr>
        <w:jc w:val="both"/>
      </w:pPr>
      <w:r>
        <w:t>scale of intended community contribution in cash or kind (as a proxy for scale of community support);</w:t>
      </w:r>
    </w:p>
    <w:p w:rsidR="00EF0C33" w:rsidRDefault="00EA757D">
      <w:pPr>
        <w:pStyle w:val="ListParagraph"/>
        <w:numPr>
          <w:ilvl w:val="0"/>
          <w:numId w:val="88"/>
        </w:numPr>
        <w:jc w:val="both"/>
      </w:pPr>
      <w:proofErr w:type="gramStart"/>
      <w:r>
        <w:t>past</w:t>
      </w:r>
      <w:proofErr w:type="gramEnd"/>
      <w:r>
        <w:t xml:space="preserve"> compliance with requirements for financial management of grants.</w:t>
      </w:r>
    </w:p>
    <w:p w:rsidR="00356D92" w:rsidRDefault="00356D92" w:rsidP="003E13EF">
      <w:bookmarkStart w:id="292" w:name="_Toc341210832"/>
    </w:p>
    <w:p w:rsidR="004644CE" w:rsidRDefault="0038270A" w:rsidP="004644CE">
      <w:pPr>
        <w:jc w:val="both"/>
      </w:pPr>
      <w:r w:rsidRPr="003E13EF">
        <w:rPr>
          <w:i/>
        </w:rPr>
        <w:t>Over the medium-</w:t>
      </w:r>
      <w:r w:rsidR="000A150A">
        <w:rPr>
          <w:i/>
        </w:rPr>
        <w:t xml:space="preserve"> and </w:t>
      </w:r>
      <w:r w:rsidR="00691333">
        <w:rPr>
          <w:i/>
        </w:rPr>
        <w:t xml:space="preserve">longer-term </w:t>
      </w:r>
      <w:r w:rsidRPr="003E13EF">
        <w:rPr>
          <w:i/>
        </w:rPr>
        <w:t>term, actively pursue and resource devolution of funding responsibilities and accountabilities to the school/community level</w:t>
      </w:r>
      <w:bookmarkEnd w:id="292"/>
      <w:r w:rsidR="00363154">
        <w:rPr>
          <w:i/>
        </w:rPr>
        <w:t>:</w:t>
      </w:r>
      <w:r w:rsidR="00363154">
        <w:t xml:space="preserve">  </w:t>
      </w:r>
      <w:r w:rsidR="004644CE">
        <w:t xml:space="preserve">Over the years the </w:t>
      </w:r>
      <w:proofErr w:type="spellStart"/>
      <w:r w:rsidR="004644CE">
        <w:t>GoV</w:t>
      </w:r>
      <w:proofErr w:type="spellEnd"/>
      <w:r w:rsidR="004644CE">
        <w:t xml:space="preserve"> with development partner support has dramatically raised access to education.  For the future, the review is convinced that better efficiency and effectiveness will need to be driven primarily by better transparency of public spending and accountability for performance outcomes.  The stakeholders best-placed, in principle, to monitor funding and assess performance outcomes are the ultimate clients, notably at primary and secondary levels individual schools and their communities.</w:t>
      </w:r>
    </w:p>
    <w:p w:rsidR="004644CE" w:rsidRDefault="004644CE" w:rsidP="004644CE">
      <w:pPr>
        <w:jc w:val="both"/>
      </w:pPr>
    </w:p>
    <w:p w:rsidR="004644CE" w:rsidRDefault="004644CE" w:rsidP="004644CE">
      <w:pPr>
        <w:jc w:val="both"/>
      </w:pPr>
      <w:r>
        <w:t xml:space="preserve">Devolution of funding management and related responsibilities to the school/community level will realistically need to proceed at a measured pace over the next decade at least.  It will need to be accompanied by ongoing, systematic and adequately funded training and community awareness activities to strengthen capacity at the school/community level to manage resources and account for the use of public funds.  But in a country as diverse as Vanuatu and with the limitations it faces in the capacity of its national agencies this is the only viable direction for long-term improvement in public expenditure and effectiveness. </w:t>
      </w:r>
    </w:p>
    <w:p w:rsidR="009E2261" w:rsidRDefault="009E2261" w:rsidP="009E2261">
      <w:pPr>
        <w:jc w:val="both"/>
      </w:pPr>
    </w:p>
    <w:tbl>
      <w:tblPr>
        <w:tblStyle w:val="TableGrid"/>
        <w:tblW w:w="0" w:type="auto"/>
        <w:tblLook w:val="04A0" w:firstRow="1" w:lastRow="0" w:firstColumn="1" w:lastColumn="0" w:noHBand="0" w:noVBand="1"/>
        <w:tblCaption w:val="Recommendation 6:  Over the medium-term, actively pursue devolution of funding responsibilities and accountabilities to the school/community level including by:"/>
        <w:tblDescription w:val="a) Clearly defining and communicating which levels of service delivery (MoE/TSC central, Provincial Education Offices/Boards, individual schools) will be responsible for funding and accounting for what over the medium term.&#10;b) Through the School Based Management Task Force, continuing to roll-out basic training in financial management and record keeping to schools, School Improvement Advisors and Zone Curriculum Advisors.&#10;c) Designing and delivering via VITE a financial management module as part of pre-service teacher training.&#10;d) Exploring longer-term devolution options (e.g. a role for school councils in teacher appointments and/or performance review).  "/>
      </w:tblPr>
      <w:tblGrid>
        <w:gridCol w:w="9570"/>
      </w:tblGrid>
      <w:tr w:rsidR="009E2261" w:rsidTr="00FC5C59">
        <w:trPr>
          <w:tblHeader/>
        </w:trPr>
        <w:tc>
          <w:tcPr>
            <w:tcW w:w="9570" w:type="dxa"/>
            <w:shd w:val="clear" w:color="auto" w:fill="BFBFBF" w:themeFill="background1" w:themeFillShade="BF"/>
          </w:tcPr>
          <w:p w:rsidR="009E2261" w:rsidRDefault="009E2261" w:rsidP="002A594B">
            <w:pPr>
              <w:jc w:val="both"/>
            </w:pPr>
            <w:r w:rsidRPr="00386014">
              <w:rPr>
                <w:b/>
              </w:rPr>
              <w:t>Recommendation 6</w:t>
            </w:r>
            <w:r>
              <w:t>:  Over the medium-term, actively pursue devolution of funding responsibilities and accountabilities to the school/community level including by:</w:t>
            </w:r>
          </w:p>
          <w:p w:rsidR="009E2261" w:rsidRDefault="009E2261" w:rsidP="002A594B">
            <w:pPr>
              <w:jc w:val="both"/>
            </w:pPr>
          </w:p>
          <w:p w:rsidR="009E2261" w:rsidRDefault="009E2261" w:rsidP="009E2261">
            <w:pPr>
              <w:pStyle w:val="ListParagraph"/>
              <w:numPr>
                <w:ilvl w:val="0"/>
                <w:numId w:val="108"/>
              </w:numPr>
              <w:jc w:val="both"/>
            </w:pPr>
            <w:r>
              <w:t>Clearly defining and communicating which levels of service delivery (</w:t>
            </w:r>
            <w:proofErr w:type="spellStart"/>
            <w:r>
              <w:t>MoE</w:t>
            </w:r>
            <w:proofErr w:type="spellEnd"/>
            <w:r>
              <w:t xml:space="preserve">/TSC central, Provincial Education Offices/Boards, </w:t>
            </w:r>
            <w:proofErr w:type="gramStart"/>
            <w:r>
              <w:t>individual</w:t>
            </w:r>
            <w:proofErr w:type="gramEnd"/>
            <w:r>
              <w:t xml:space="preserve"> schools) will be responsible for funding and accounting for what over the medium term.</w:t>
            </w:r>
          </w:p>
          <w:p w:rsidR="009E2261" w:rsidRDefault="009E2261" w:rsidP="009E2261">
            <w:pPr>
              <w:pStyle w:val="ListParagraph"/>
              <w:numPr>
                <w:ilvl w:val="0"/>
                <w:numId w:val="108"/>
              </w:numPr>
              <w:jc w:val="both"/>
            </w:pPr>
            <w:r>
              <w:t>Through the School Based Management Task Force, continuing to roll-out basic training in financial management and record keeping to schools, School Improvement Advisors and Zone Curriculum Advisors.</w:t>
            </w:r>
          </w:p>
          <w:p w:rsidR="009E2261" w:rsidRDefault="009E2261" w:rsidP="009E2261">
            <w:pPr>
              <w:pStyle w:val="ListParagraph"/>
              <w:numPr>
                <w:ilvl w:val="0"/>
                <w:numId w:val="108"/>
              </w:numPr>
              <w:jc w:val="both"/>
            </w:pPr>
            <w:r>
              <w:t>Designing and delivering via VITE a financial management module as part of pre-service teacher training.</w:t>
            </w:r>
          </w:p>
          <w:p w:rsidR="009E2261" w:rsidRDefault="009E2261" w:rsidP="009E2261">
            <w:pPr>
              <w:pStyle w:val="ListParagraph"/>
              <w:numPr>
                <w:ilvl w:val="0"/>
                <w:numId w:val="108"/>
              </w:numPr>
              <w:jc w:val="both"/>
            </w:pPr>
            <w:r>
              <w:t xml:space="preserve">Exploring longer-term devolution options (e.g. a role for school councils in teacher appointments and/or performance review).  </w:t>
            </w:r>
          </w:p>
          <w:p w:rsidR="009E2261" w:rsidRDefault="009E2261" w:rsidP="002A594B">
            <w:pPr>
              <w:ind w:left="360"/>
              <w:jc w:val="both"/>
            </w:pPr>
          </w:p>
        </w:tc>
      </w:tr>
    </w:tbl>
    <w:p w:rsidR="009E2261" w:rsidRDefault="009E2261" w:rsidP="009E2261">
      <w:pPr>
        <w:jc w:val="both"/>
      </w:pPr>
    </w:p>
    <w:p w:rsidR="00075122" w:rsidRDefault="00075122" w:rsidP="005D190C">
      <w:pPr>
        <w:jc w:val="both"/>
        <w:sectPr w:rsidR="00075122" w:rsidSect="006425FC">
          <w:pgSz w:w="11906" w:h="16838" w:code="9"/>
          <w:pgMar w:top="1134" w:right="1134" w:bottom="1134" w:left="1418" w:header="709" w:footer="709" w:gutter="0"/>
          <w:cols w:space="708"/>
          <w:docGrid w:linePitch="360"/>
        </w:sectPr>
      </w:pPr>
    </w:p>
    <w:p w:rsidR="005D190C" w:rsidRDefault="005D190C" w:rsidP="005727F2">
      <w:pPr>
        <w:pStyle w:val="Heading1"/>
      </w:pPr>
      <w:bookmarkStart w:id="293" w:name="_Toc341210833"/>
      <w:bookmarkStart w:id="294" w:name="_Toc341210939"/>
      <w:bookmarkStart w:id="295" w:name="_Toc341265757"/>
      <w:bookmarkStart w:id="296" w:name="_Toc343257328"/>
      <w:bookmarkStart w:id="297" w:name="_Toc343257434"/>
      <w:bookmarkStart w:id="298" w:name="_Toc348711355"/>
      <w:r>
        <w:lastRenderedPageBreak/>
        <w:t xml:space="preserve">Section </w:t>
      </w:r>
      <w:r w:rsidRPr="00B01D7B">
        <w:t>4</w:t>
      </w:r>
      <w:r>
        <w:t>:</w:t>
      </w:r>
      <w:r w:rsidRPr="00B01D7B">
        <w:t xml:space="preserve"> Monitoring and Evaluation</w:t>
      </w:r>
      <w:bookmarkEnd w:id="293"/>
      <w:bookmarkEnd w:id="294"/>
      <w:bookmarkEnd w:id="295"/>
      <w:bookmarkEnd w:id="296"/>
      <w:bookmarkEnd w:id="297"/>
      <w:bookmarkEnd w:id="298"/>
    </w:p>
    <w:p w:rsidR="005D190C" w:rsidRDefault="005D190C" w:rsidP="00160C19">
      <w:pPr>
        <w:pStyle w:val="Heading2"/>
      </w:pPr>
      <w:bookmarkStart w:id="299" w:name="_Toc341210834"/>
      <w:bookmarkStart w:id="300" w:name="_Toc341210940"/>
      <w:bookmarkStart w:id="301" w:name="_Toc341265758"/>
      <w:bookmarkStart w:id="302" w:name="_Toc343257329"/>
      <w:bookmarkStart w:id="303" w:name="_Toc343257435"/>
      <w:bookmarkStart w:id="304" w:name="_Toc348711356"/>
      <w:r w:rsidRPr="0054651F">
        <w:t>4.1 Int</w:t>
      </w:r>
      <w:r>
        <w:t>r</w:t>
      </w:r>
      <w:r w:rsidRPr="0054651F">
        <w:t>oduction</w:t>
      </w:r>
      <w:bookmarkEnd w:id="299"/>
      <w:bookmarkEnd w:id="300"/>
      <w:bookmarkEnd w:id="301"/>
      <w:bookmarkEnd w:id="302"/>
      <w:bookmarkEnd w:id="303"/>
      <w:bookmarkEnd w:id="304"/>
    </w:p>
    <w:p w:rsidR="005D190C" w:rsidRDefault="005D190C" w:rsidP="005D190C">
      <w:pPr>
        <w:jc w:val="both"/>
      </w:pPr>
    </w:p>
    <w:p w:rsidR="005D190C" w:rsidRPr="00E45920" w:rsidRDefault="005D190C" w:rsidP="005D190C">
      <w:pPr>
        <w:jc w:val="both"/>
        <w:rPr>
          <w:rFonts w:cs="Times New Roman"/>
          <w:szCs w:val="24"/>
          <w:lang w:val="en-GB"/>
        </w:rPr>
      </w:pPr>
      <w:r w:rsidRPr="00E45920">
        <w:rPr>
          <w:rFonts w:cs="Times New Roman"/>
          <w:szCs w:val="24"/>
        </w:rPr>
        <w:t xml:space="preserve">The Terms of Reference for this review included a requirement that the review “also </w:t>
      </w:r>
      <w:r w:rsidRPr="00E45920">
        <w:rPr>
          <w:rFonts w:cs="Times New Roman"/>
          <w:szCs w:val="24"/>
          <w:lang w:val="en-GB"/>
        </w:rPr>
        <w:t xml:space="preserve">report back on the availability and quality of public expenditure monitoring information and evaluative capacity currently available to the Ministry of Education (and other Education sector partners where relevant). Recommendations should be made on the capacity building needs of </w:t>
      </w:r>
      <w:proofErr w:type="spellStart"/>
      <w:r w:rsidRPr="00E45920">
        <w:rPr>
          <w:rFonts w:cs="Times New Roman"/>
          <w:szCs w:val="24"/>
          <w:lang w:val="en-GB"/>
        </w:rPr>
        <w:t>MoE</w:t>
      </w:r>
      <w:proofErr w:type="spellEnd"/>
      <w:r w:rsidRPr="00E45920">
        <w:rPr>
          <w:rFonts w:cs="Times New Roman"/>
          <w:szCs w:val="24"/>
          <w:lang w:val="en-GB"/>
        </w:rPr>
        <w:t xml:space="preserve"> in terms of setting up a fully functioning internal monitoring and evaluation system.”  However, this requirement substantially overlaps with and potentially duplicates:</w:t>
      </w:r>
    </w:p>
    <w:p w:rsidR="005D190C" w:rsidRPr="00E45920" w:rsidRDefault="005D190C" w:rsidP="005D190C">
      <w:pPr>
        <w:jc w:val="both"/>
        <w:rPr>
          <w:rFonts w:cs="Times New Roman"/>
          <w:szCs w:val="24"/>
          <w:lang w:val="en-GB"/>
        </w:rPr>
      </w:pPr>
    </w:p>
    <w:p w:rsidR="005D190C" w:rsidRPr="00E45920" w:rsidRDefault="005D190C" w:rsidP="00CE4350">
      <w:pPr>
        <w:pStyle w:val="ListParagraph"/>
        <w:numPr>
          <w:ilvl w:val="0"/>
          <w:numId w:val="70"/>
        </w:numPr>
        <w:spacing w:after="200"/>
        <w:jc w:val="both"/>
        <w:rPr>
          <w:rFonts w:cs="Times New Roman"/>
          <w:szCs w:val="24"/>
          <w:lang w:val="en-GB"/>
        </w:rPr>
      </w:pPr>
      <w:r w:rsidRPr="00E45920">
        <w:rPr>
          <w:rFonts w:cs="Times New Roman"/>
          <w:szCs w:val="24"/>
          <w:lang w:val="en-GB"/>
        </w:rPr>
        <w:t>the current (NZ-funded) review of information management in Vanuatu’s education sector;</w:t>
      </w:r>
    </w:p>
    <w:p w:rsidR="005D190C" w:rsidRPr="00E45920" w:rsidRDefault="005D190C" w:rsidP="00CE4350">
      <w:pPr>
        <w:pStyle w:val="ListParagraph"/>
        <w:widowControl w:val="0"/>
        <w:numPr>
          <w:ilvl w:val="0"/>
          <w:numId w:val="70"/>
        </w:numPr>
        <w:autoSpaceDE w:val="0"/>
        <w:autoSpaceDN w:val="0"/>
        <w:adjustRightInd w:val="0"/>
        <w:spacing w:before="120"/>
        <w:contextualSpacing w:val="0"/>
        <w:jc w:val="both"/>
        <w:rPr>
          <w:rFonts w:cs="Times New Roman"/>
          <w:szCs w:val="24"/>
        </w:rPr>
      </w:pPr>
      <w:proofErr w:type="gramStart"/>
      <w:r w:rsidRPr="00E45920">
        <w:rPr>
          <w:rFonts w:cs="Times New Roman"/>
          <w:szCs w:val="24"/>
          <w:lang w:val="en-GB"/>
        </w:rPr>
        <w:t>activities</w:t>
      </w:r>
      <w:proofErr w:type="gramEnd"/>
      <w:r w:rsidRPr="00E45920">
        <w:rPr>
          <w:rFonts w:cs="Times New Roman"/>
          <w:szCs w:val="24"/>
          <w:lang w:val="en-GB"/>
        </w:rPr>
        <w:t xml:space="preserve"> and resourcing proposed by the (draft) VESP Design to strengthen strategic monitoring and evaluation in the </w:t>
      </w:r>
      <w:proofErr w:type="spellStart"/>
      <w:r w:rsidRPr="00E45920">
        <w:rPr>
          <w:rFonts w:cs="Times New Roman"/>
          <w:szCs w:val="24"/>
          <w:lang w:val="en-GB"/>
        </w:rPr>
        <w:t>MoE</w:t>
      </w:r>
      <w:proofErr w:type="spellEnd"/>
      <w:r w:rsidRPr="00E45920">
        <w:rPr>
          <w:rFonts w:cs="Times New Roman"/>
          <w:szCs w:val="24"/>
          <w:lang w:val="en-GB"/>
        </w:rPr>
        <w:t>.</w:t>
      </w:r>
    </w:p>
    <w:p w:rsidR="005D190C" w:rsidRPr="00E45920" w:rsidRDefault="005D190C" w:rsidP="005D190C">
      <w:pPr>
        <w:widowControl w:val="0"/>
        <w:autoSpaceDE w:val="0"/>
        <w:autoSpaceDN w:val="0"/>
        <w:adjustRightInd w:val="0"/>
        <w:spacing w:before="120"/>
        <w:jc w:val="both"/>
        <w:rPr>
          <w:rFonts w:cs="Times New Roman"/>
          <w:bCs/>
          <w:szCs w:val="24"/>
        </w:rPr>
      </w:pPr>
      <w:r w:rsidRPr="00E45920">
        <w:rPr>
          <w:rFonts w:cs="Times New Roman"/>
          <w:szCs w:val="24"/>
        </w:rPr>
        <w:t xml:space="preserve">The draft policy implementation strategy for a New VEMIS envisaged by the current review of information management proposes </w:t>
      </w:r>
      <w:r w:rsidRPr="00E45920">
        <w:rPr>
          <w:rFonts w:cs="Times New Roman"/>
          <w:bCs/>
          <w:szCs w:val="24"/>
        </w:rPr>
        <w:t xml:space="preserve">a series of eight upgraded and integrated software modules of which three are directly </w:t>
      </w:r>
      <w:r>
        <w:rPr>
          <w:rFonts w:cs="Times New Roman"/>
          <w:bCs/>
          <w:szCs w:val="24"/>
        </w:rPr>
        <w:t xml:space="preserve">related to </w:t>
      </w:r>
      <w:r w:rsidRPr="00E45920">
        <w:rPr>
          <w:rFonts w:cs="Times New Roman"/>
          <w:bCs/>
          <w:szCs w:val="24"/>
        </w:rPr>
        <w:t>needs for improved monitoring and evaluation of public expenditure:</w:t>
      </w:r>
    </w:p>
    <w:p w:rsidR="005D190C" w:rsidRDefault="005D190C" w:rsidP="00CE4350">
      <w:pPr>
        <w:pStyle w:val="ListParagraph"/>
        <w:widowControl w:val="0"/>
        <w:numPr>
          <w:ilvl w:val="0"/>
          <w:numId w:val="71"/>
        </w:numPr>
        <w:autoSpaceDE w:val="0"/>
        <w:autoSpaceDN w:val="0"/>
        <w:adjustRightInd w:val="0"/>
        <w:spacing w:before="120" w:after="200"/>
        <w:jc w:val="both"/>
        <w:rPr>
          <w:rFonts w:cs="Times New Roman"/>
          <w:bCs/>
          <w:szCs w:val="24"/>
        </w:rPr>
      </w:pPr>
      <w:r w:rsidRPr="00E45920">
        <w:rPr>
          <w:rFonts w:cs="Times New Roman"/>
          <w:bCs/>
          <w:szCs w:val="24"/>
        </w:rPr>
        <w:t>Mod</w:t>
      </w:r>
      <w:r>
        <w:rPr>
          <w:rFonts w:cs="Times New Roman"/>
          <w:bCs/>
          <w:szCs w:val="24"/>
        </w:rPr>
        <w:t>ule 3: Pre-school and school asset data base.</w:t>
      </w:r>
    </w:p>
    <w:p w:rsidR="005D190C" w:rsidRDefault="005D190C" w:rsidP="00CE4350">
      <w:pPr>
        <w:pStyle w:val="ListParagraph"/>
        <w:widowControl w:val="0"/>
        <w:numPr>
          <w:ilvl w:val="0"/>
          <w:numId w:val="71"/>
        </w:numPr>
        <w:autoSpaceDE w:val="0"/>
        <w:autoSpaceDN w:val="0"/>
        <w:adjustRightInd w:val="0"/>
        <w:spacing w:before="120" w:after="200"/>
        <w:jc w:val="both"/>
        <w:rPr>
          <w:rFonts w:cs="Times New Roman"/>
          <w:bCs/>
          <w:szCs w:val="24"/>
        </w:rPr>
      </w:pPr>
      <w:r>
        <w:rPr>
          <w:rFonts w:cs="Times New Roman"/>
          <w:bCs/>
          <w:szCs w:val="24"/>
        </w:rPr>
        <w:t xml:space="preserve">Module 7: Financial module - education accounting, including an </w:t>
      </w:r>
      <w:r w:rsidRPr="00E45920">
        <w:rPr>
          <w:rFonts w:cs="Times New Roman"/>
          <w:bCs/>
          <w:szCs w:val="24"/>
        </w:rPr>
        <w:t>a</w:t>
      </w:r>
      <w:r>
        <w:rPr>
          <w:rFonts w:cs="Times New Roman"/>
          <w:bCs/>
          <w:szCs w:val="24"/>
        </w:rPr>
        <w:t>g</w:t>
      </w:r>
      <w:r w:rsidRPr="00E45920">
        <w:rPr>
          <w:rFonts w:cs="Times New Roman"/>
          <w:bCs/>
          <w:szCs w:val="24"/>
        </w:rPr>
        <w:t>gregate view of income and expenditure by institutions by various classifications, island, province,</w:t>
      </w:r>
      <w:r>
        <w:rPr>
          <w:rFonts w:cs="Times New Roman"/>
          <w:bCs/>
          <w:szCs w:val="24"/>
        </w:rPr>
        <w:t xml:space="preserve"> and </w:t>
      </w:r>
      <w:r w:rsidRPr="00E45920">
        <w:rPr>
          <w:rFonts w:cs="Times New Roman"/>
          <w:bCs/>
          <w:szCs w:val="24"/>
        </w:rPr>
        <w:t>country-wide.</w:t>
      </w:r>
    </w:p>
    <w:p w:rsidR="005D190C" w:rsidRDefault="005D190C" w:rsidP="00CE4350">
      <w:pPr>
        <w:pStyle w:val="ListParagraph"/>
        <w:widowControl w:val="0"/>
        <w:numPr>
          <w:ilvl w:val="0"/>
          <w:numId w:val="71"/>
        </w:numPr>
        <w:autoSpaceDE w:val="0"/>
        <w:autoSpaceDN w:val="0"/>
        <w:adjustRightInd w:val="0"/>
        <w:spacing w:before="120" w:after="200"/>
        <w:jc w:val="both"/>
        <w:rPr>
          <w:rFonts w:cs="Times New Roman"/>
          <w:bCs/>
          <w:szCs w:val="24"/>
        </w:rPr>
      </w:pPr>
      <w:r>
        <w:rPr>
          <w:rFonts w:cs="Times New Roman"/>
          <w:bCs/>
          <w:szCs w:val="24"/>
        </w:rPr>
        <w:t>Module 8:</w:t>
      </w:r>
      <w:r w:rsidRPr="00E45920">
        <w:rPr>
          <w:rFonts w:cs="Times New Roman"/>
          <w:bCs/>
          <w:szCs w:val="24"/>
        </w:rPr>
        <w:t xml:space="preserve"> </w:t>
      </w:r>
      <w:r>
        <w:rPr>
          <w:rFonts w:cs="Times New Roman"/>
          <w:bCs/>
          <w:szCs w:val="24"/>
        </w:rPr>
        <w:t>Per-student cost and analytical framework for analysing the allocation of public resources for education.</w:t>
      </w:r>
      <w:r>
        <w:rPr>
          <w:rStyle w:val="FootnoteReference"/>
          <w:rFonts w:cs="Times New Roman"/>
          <w:bCs/>
          <w:szCs w:val="24"/>
        </w:rPr>
        <w:footnoteReference w:id="78"/>
      </w:r>
    </w:p>
    <w:p w:rsidR="005D190C" w:rsidRPr="008363A9" w:rsidRDefault="005D190C" w:rsidP="005D190C">
      <w:pPr>
        <w:widowControl w:val="0"/>
        <w:autoSpaceDE w:val="0"/>
        <w:autoSpaceDN w:val="0"/>
        <w:adjustRightInd w:val="0"/>
        <w:spacing w:before="120"/>
        <w:jc w:val="both"/>
        <w:rPr>
          <w:rFonts w:cs="Times New Roman"/>
          <w:bCs/>
          <w:szCs w:val="24"/>
        </w:rPr>
      </w:pPr>
      <w:r>
        <w:rPr>
          <w:rFonts w:cs="Times New Roman"/>
          <w:bCs/>
          <w:szCs w:val="24"/>
        </w:rPr>
        <w:t xml:space="preserve">The Draft VESP Design envisages a comprehensive program of support to strengthen </w:t>
      </w:r>
      <w:proofErr w:type="spellStart"/>
      <w:r>
        <w:rPr>
          <w:rFonts w:cs="Times New Roman"/>
          <w:bCs/>
          <w:szCs w:val="24"/>
        </w:rPr>
        <w:t>MoE</w:t>
      </w:r>
      <w:proofErr w:type="spellEnd"/>
      <w:r>
        <w:rPr>
          <w:rFonts w:cs="Times New Roman"/>
          <w:bCs/>
          <w:szCs w:val="24"/>
        </w:rPr>
        <w:t xml:space="preserve"> M&amp;E capacity including:</w:t>
      </w:r>
    </w:p>
    <w:p w:rsidR="005D190C" w:rsidRPr="008363A9"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sidRPr="008363A9">
        <w:rPr>
          <w:rFonts w:cs="Times New Roman"/>
          <w:bCs/>
          <w:szCs w:val="24"/>
        </w:rPr>
        <w:t>Appointment of a strategic M&amp;E Advisor.</w:t>
      </w:r>
    </w:p>
    <w:p w:rsidR="005D190C" w:rsidRPr="008363A9"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sidRPr="008363A9">
        <w:rPr>
          <w:rFonts w:cs="Times New Roman"/>
          <w:szCs w:val="24"/>
        </w:rPr>
        <w:t xml:space="preserve">“The M&amp;E strategic adviser will take the lead on developing documentation, initially clarifying the scope and purpose of the M&amp;E system and crystallising this into a few overarching evaluation questions.” </w:t>
      </w:r>
    </w:p>
    <w:p w:rsidR="005D190C" w:rsidRPr="00F26FFB"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sidRPr="008363A9">
        <w:rPr>
          <w:rFonts w:cs="Times New Roman"/>
          <w:szCs w:val="24"/>
        </w:rPr>
        <w:t xml:space="preserve">“The results framework will be finalised through consultation to ensure that the targets are achievable and useful.” </w:t>
      </w:r>
    </w:p>
    <w:p w:rsidR="005D190C" w:rsidRPr="008363A9"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Pr>
          <w:rFonts w:cs="Times New Roman"/>
          <w:bCs/>
          <w:szCs w:val="24"/>
        </w:rPr>
        <w:t>“</w:t>
      </w:r>
      <w:r w:rsidRPr="00F26FFB">
        <w:rPr>
          <w:rFonts w:cs="Times New Roman"/>
          <w:bCs/>
          <w:szCs w:val="24"/>
        </w:rPr>
        <w:t>Each data collection tool/ testing instrument will be detailed and accompanied by a description of how it will inform decision-making.</w:t>
      </w:r>
      <w:r>
        <w:rPr>
          <w:rFonts w:cs="Times New Roman"/>
          <w:bCs/>
          <w:szCs w:val="24"/>
        </w:rPr>
        <w:t>”</w:t>
      </w:r>
    </w:p>
    <w:p w:rsidR="005D190C" w:rsidRPr="008363A9"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sidRPr="008363A9">
        <w:rPr>
          <w:rFonts w:cs="Times New Roman"/>
          <w:szCs w:val="24"/>
        </w:rPr>
        <w:t>“The documentation will include sections on evaluation and reporting.  It will include a schedule for evaluation studies and a set of evaluation questions to guide these studies.”</w:t>
      </w:r>
    </w:p>
    <w:p w:rsidR="005D190C" w:rsidRPr="008363A9" w:rsidRDefault="005D190C" w:rsidP="00CE4350">
      <w:pPr>
        <w:pStyle w:val="ListParagraph"/>
        <w:widowControl w:val="0"/>
        <w:numPr>
          <w:ilvl w:val="0"/>
          <w:numId w:val="72"/>
        </w:numPr>
        <w:autoSpaceDE w:val="0"/>
        <w:autoSpaceDN w:val="0"/>
        <w:adjustRightInd w:val="0"/>
        <w:spacing w:before="120" w:after="200"/>
        <w:jc w:val="both"/>
        <w:rPr>
          <w:rFonts w:cs="Times New Roman"/>
          <w:bCs/>
          <w:szCs w:val="24"/>
        </w:rPr>
      </w:pPr>
      <w:r w:rsidRPr="008363A9">
        <w:rPr>
          <w:rFonts w:eastAsia="Calibri" w:cs="Times New Roman"/>
          <w:szCs w:val="24"/>
        </w:rPr>
        <w:t>“The M&amp;E strategic advisor will create a 5 year plan for capacity development in monitoring and evaluation. This will commence with an analysis of stakeholder needs, and will feed into a tailored program of capacity building inputs to continue through the life of the program.”</w:t>
      </w:r>
      <w:r w:rsidRPr="008363A9">
        <w:rPr>
          <w:rStyle w:val="FootnoteReference"/>
          <w:rFonts w:eastAsia="Calibri" w:cs="Times New Roman"/>
          <w:szCs w:val="24"/>
        </w:rPr>
        <w:footnoteReference w:id="79"/>
      </w:r>
    </w:p>
    <w:p w:rsidR="005D190C" w:rsidRDefault="005D190C" w:rsidP="005D190C">
      <w:pPr>
        <w:widowControl w:val="0"/>
        <w:autoSpaceDE w:val="0"/>
        <w:autoSpaceDN w:val="0"/>
        <w:adjustRightInd w:val="0"/>
        <w:spacing w:before="120"/>
        <w:jc w:val="both"/>
        <w:rPr>
          <w:rFonts w:eastAsia="Calibri" w:cs="Times New Roman"/>
          <w:szCs w:val="24"/>
        </w:rPr>
      </w:pPr>
      <w:r>
        <w:rPr>
          <w:rFonts w:eastAsia="Calibri" w:cs="Times New Roman"/>
          <w:szCs w:val="24"/>
        </w:rPr>
        <w:t>The present review does not attempt to duplicate or pre-empt these current/prospective reviews of M&amp;E needs.  Rather it offers some initial observations for their consideration.</w:t>
      </w:r>
    </w:p>
    <w:p w:rsidR="005D190C" w:rsidRDefault="005D190C" w:rsidP="00160C19">
      <w:pPr>
        <w:pStyle w:val="Heading2"/>
      </w:pPr>
      <w:bookmarkStart w:id="305" w:name="_Toc341210835"/>
      <w:bookmarkStart w:id="306" w:name="_Toc341210941"/>
      <w:bookmarkStart w:id="307" w:name="_Toc341265759"/>
      <w:bookmarkStart w:id="308" w:name="_Toc343257330"/>
      <w:bookmarkStart w:id="309" w:name="_Toc343257436"/>
      <w:bookmarkStart w:id="310" w:name="_Toc348711357"/>
      <w:r w:rsidRPr="0054651F">
        <w:lastRenderedPageBreak/>
        <w:t>4.2 Current status of M&amp;E</w:t>
      </w:r>
      <w:bookmarkEnd w:id="305"/>
      <w:bookmarkEnd w:id="306"/>
      <w:bookmarkEnd w:id="307"/>
      <w:bookmarkEnd w:id="308"/>
      <w:bookmarkEnd w:id="309"/>
      <w:bookmarkEnd w:id="310"/>
    </w:p>
    <w:p w:rsidR="005D190C" w:rsidRDefault="005D190C" w:rsidP="005D190C">
      <w:pPr>
        <w:jc w:val="both"/>
      </w:pPr>
    </w:p>
    <w:p w:rsidR="005D190C" w:rsidRDefault="005D190C" w:rsidP="005D190C">
      <w:pPr>
        <w:jc w:val="both"/>
      </w:pPr>
      <w:r>
        <w:t xml:space="preserve">There have been some encouraging developments in relation to monitoring and evaluation of </w:t>
      </w:r>
      <w:proofErr w:type="spellStart"/>
      <w:r>
        <w:t>MoE</w:t>
      </w:r>
      <w:proofErr w:type="spellEnd"/>
      <w:r>
        <w:t xml:space="preserve"> programs and activities:</w:t>
      </w:r>
    </w:p>
    <w:p w:rsidR="005D190C" w:rsidRPr="00412D92" w:rsidRDefault="005D190C" w:rsidP="005D190C">
      <w:pPr>
        <w:jc w:val="both"/>
        <w:rPr>
          <w:rFonts w:cs="Times New Roman"/>
          <w:szCs w:val="24"/>
        </w:rPr>
      </w:pPr>
    </w:p>
    <w:p w:rsidR="005D190C" w:rsidRDefault="005D190C" w:rsidP="00CE4350">
      <w:pPr>
        <w:pStyle w:val="ListParagraph"/>
        <w:numPr>
          <w:ilvl w:val="0"/>
          <w:numId w:val="74"/>
        </w:numPr>
        <w:spacing w:after="200"/>
        <w:jc w:val="both"/>
        <w:rPr>
          <w:rFonts w:cs="Times New Roman"/>
          <w:szCs w:val="24"/>
        </w:rPr>
      </w:pPr>
      <w:r w:rsidRPr="00412D92">
        <w:rPr>
          <w:rFonts w:cs="Times New Roman"/>
          <w:szCs w:val="24"/>
        </w:rPr>
        <w:t>As noted</w:t>
      </w:r>
      <w:r>
        <w:rPr>
          <w:rFonts w:cs="Times New Roman"/>
          <w:szCs w:val="24"/>
        </w:rPr>
        <w:t xml:space="preserve"> earlier (Section 2.4.3), w</w:t>
      </w:r>
      <w:r w:rsidRPr="00412D92">
        <w:rPr>
          <w:rFonts w:cs="Times New Roman"/>
          <w:szCs w:val="24"/>
        </w:rPr>
        <w:t>hile much remains to be done the quality of data gathered by VEMIS and of the reports it generates is improving.</w:t>
      </w:r>
    </w:p>
    <w:p w:rsidR="005D190C" w:rsidRDefault="005D190C" w:rsidP="00CE4350">
      <w:pPr>
        <w:pStyle w:val="ListParagraph"/>
        <w:numPr>
          <w:ilvl w:val="0"/>
          <w:numId w:val="74"/>
        </w:numPr>
        <w:spacing w:after="200"/>
        <w:jc w:val="both"/>
        <w:rPr>
          <w:rFonts w:cs="Times New Roman"/>
          <w:szCs w:val="24"/>
        </w:rPr>
      </w:pPr>
      <w:r w:rsidRPr="004C158B">
        <w:rPr>
          <w:rFonts w:cs="Times New Roman"/>
          <w:szCs w:val="24"/>
        </w:rPr>
        <w:t>Related to this, the range of indicators VEMIS is capable of tracking has expanded significantly since preparation of the Vanuatu Education Sector Strategy in 2006.</w:t>
      </w:r>
    </w:p>
    <w:p w:rsidR="005D190C" w:rsidRPr="004C158B" w:rsidRDefault="005D190C" w:rsidP="00CE4350">
      <w:pPr>
        <w:pStyle w:val="ListParagraph"/>
        <w:numPr>
          <w:ilvl w:val="0"/>
          <w:numId w:val="74"/>
        </w:numPr>
        <w:spacing w:after="200"/>
        <w:jc w:val="both"/>
        <w:rPr>
          <w:rFonts w:cs="Times New Roman"/>
          <w:szCs w:val="24"/>
        </w:rPr>
      </w:pPr>
      <w:r w:rsidRPr="004C158B">
        <w:rPr>
          <w:rFonts w:cs="Times New Roman"/>
          <w:szCs w:val="24"/>
        </w:rPr>
        <w:t xml:space="preserve">The joint </w:t>
      </w:r>
      <w:proofErr w:type="spellStart"/>
      <w:r w:rsidRPr="004C158B">
        <w:rPr>
          <w:rFonts w:cs="Times New Roman"/>
          <w:szCs w:val="24"/>
        </w:rPr>
        <w:t>MoE</w:t>
      </w:r>
      <w:proofErr w:type="spellEnd"/>
      <w:r w:rsidRPr="004C158B">
        <w:rPr>
          <w:rFonts w:cs="Times New Roman"/>
          <w:szCs w:val="24"/>
        </w:rPr>
        <w:t>-MFEM evaluation of the use of primary school grants in 2010 was a valuable exercise in its own right and established a good precedent for similar joint evaluations in the future.</w:t>
      </w:r>
      <w:r>
        <w:rPr>
          <w:rStyle w:val="FootnoteReference"/>
          <w:rFonts w:cs="Times New Roman"/>
          <w:szCs w:val="24"/>
        </w:rPr>
        <w:footnoteReference w:id="80"/>
      </w:r>
    </w:p>
    <w:p w:rsidR="005D190C" w:rsidRPr="00943214" w:rsidRDefault="005D190C" w:rsidP="00CE4350">
      <w:pPr>
        <w:pStyle w:val="ListParagraph"/>
        <w:numPr>
          <w:ilvl w:val="0"/>
          <w:numId w:val="74"/>
        </w:numPr>
        <w:spacing w:after="200"/>
        <w:jc w:val="both"/>
        <w:rPr>
          <w:rFonts w:cs="Times New Roman"/>
          <w:szCs w:val="24"/>
        </w:rPr>
      </w:pPr>
      <w:r w:rsidRPr="00943214">
        <w:rPr>
          <w:rFonts w:cs="Times New Roman"/>
          <w:szCs w:val="24"/>
        </w:rPr>
        <w:t>The rationalisation of school bank accounts has provided a potentially valuable source of data for the monitoring of school incomes and (with future work on the coding of account transactions) expenditures.</w:t>
      </w:r>
    </w:p>
    <w:p w:rsidR="005D190C" w:rsidRDefault="005D190C" w:rsidP="005D190C">
      <w:pPr>
        <w:jc w:val="both"/>
      </w:pPr>
      <w:r w:rsidRPr="00412D92">
        <w:rPr>
          <w:rFonts w:cs="Times New Roman"/>
          <w:szCs w:val="24"/>
        </w:rPr>
        <w:t xml:space="preserve">Despite </w:t>
      </w:r>
      <w:r>
        <w:t>progress of this kind significant weaknesses remain.</w:t>
      </w:r>
    </w:p>
    <w:p w:rsidR="005D190C" w:rsidRPr="00F26FFB" w:rsidRDefault="005D190C" w:rsidP="005D190C">
      <w:pPr>
        <w:jc w:val="both"/>
        <w:rPr>
          <w:rFonts w:cs="Times New Roman"/>
          <w:szCs w:val="24"/>
        </w:rPr>
      </w:pPr>
    </w:p>
    <w:p w:rsidR="005D190C" w:rsidRDefault="005D190C" w:rsidP="00CE4350">
      <w:pPr>
        <w:pStyle w:val="ListParagraph"/>
        <w:numPr>
          <w:ilvl w:val="0"/>
          <w:numId w:val="73"/>
        </w:numPr>
        <w:spacing w:after="200"/>
        <w:jc w:val="both"/>
        <w:rPr>
          <w:rFonts w:cs="Times New Roman"/>
          <w:szCs w:val="24"/>
        </w:rPr>
      </w:pPr>
      <w:r>
        <w:rPr>
          <w:rFonts w:cs="Times New Roman"/>
          <w:szCs w:val="24"/>
        </w:rPr>
        <w:t>S</w:t>
      </w:r>
      <w:r w:rsidRPr="00F26FFB">
        <w:rPr>
          <w:rFonts w:cs="Times New Roman"/>
          <w:szCs w:val="24"/>
        </w:rPr>
        <w:t xml:space="preserve">uccessive </w:t>
      </w:r>
      <w:r>
        <w:rPr>
          <w:rFonts w:cs="Times New Roman"/>
          <w:szCs w:val="24"/>
        </w:rPr>
        <w:t>policy documents relating to the education sector have contained targets and indicators that are either (realistically) non-measurable or have yet to be measured.</w:t>
      </w:r>
      <w:r>
        <w:rPr>
          <w:rStyle w:val="FootnoteReference"/>
          <w:rFonts w:cs="Times New Roman"/>
          <w:szCs w:val="24"/>
        </w:rPr>
        <w:footnoteReference w:id="81"/>
      </w:r>
    </w:p>
    <w:p w:rsidR="005D190C" w:rsidRDefault="005D190C" w:rsidP="00CE4350">
      <w:pPr>
        <w:pStyle w:val="ListParagraph"/>
        <w:numPr>
          <w:ilvl w:val="0"/>
          <w:numId w:val="73"/>
        </w:numPr>
        <w:spacing w:after="200"/>
        <w:jc w:val="both"/>
        <w:rPr>
          <w:rFonts w:cs="Times New Roman"/>
          <w:szCs w:val="24"/>
        </w:rPr>
      </w:pPr>
      <w:r>
        <w:rPr>
          <w:rFonts w:cs="Times New Roman"/>
          <w:szCs w:val="24"/>
        </w:rPr>
        <w:t>They have also included a range of ‘task-related’ indicators (e.g. develop approved sub sector policy statements by a certain date) that would more appropriately be monitored through internal work plans.</w:t>
      </w:r>
    </w:p>
    <w:p w:rsidR="005D190C" w:rsidRDefault="005D190C" w:rsidP="00CE4350">
      <w:pPr>
        <w:pStyle w:val="ListParagraph"/>
        <w:numPr>
          <w:ilvl w:val="0"/>
          <w:numId w:val="73"/>
        </w:numPr>
        <w:spacing w:after="200"/>
        <w:jc w:val="both"/>
        <w:rPr>
          <w:rFonts w:cs="Times New Roman"/>
          <w:szCs w:val="24"/>
        </w:rPr>
      </w:pPr>
      <w:r>
        <w:rPr>
          <w:rFonts w:cs="Times New Roman"/>
          <w:szCs w:val="24"/>
        </w:rPr>
        <w:t xml:space="preserve">While of interest individually the indicators reported by the </w:t>
      </w:r>
      <w:proofErr w:type="spellStart"/>
      <w:r>
        <w:rPr>
          <w:rFonts w:cs="Times New Roman"/>
          <w:szCs w:val="24"/>
        </w:rPr>
        <w:t>MoE’s</w:t>
      </w:r>
      <w:proofErr w:type="spellEnd"/>
      <w:r>
        <w:rPr>
          <w:rFonts w:cs="Times New Roman"/>
          <w:szCs w:val="24"/>
        </w:rPr>
        <w:t xml:space="preserve"> annual statistical digest (drawn largely from VEMIS) are, overall, a confusing mix of input, output and outcome indicators with little attempt to evaluate the relationships between these.</w:t>
      </w:r>
    </w:p>
    <w:p w:rsidR="005D190C" w:rsidRDefault="005D190C" w:rsidP="00CE4350">
      <w:pPr>
        <w:pStyle w:val="ListParagraph"/>
        <w:numPr>
          <w:ilvl w:val="0"/>
          <w:numId w:val="73"/>
        </w:numPr>
        <w:spacing w:after="200"/>
        <w:jc w:val="both"/>
        <w:rPr>
          <w:rFonts w:cs="Times New Roman"/>
          <w:szCs w:val="24"/>
        </w:rPr>
      </w:pPr>
      <w:r>
        <w:rPr>
          <w:rFonts w:cs="Times New Roman"/>
          <w:szCs w:val="24"/>
        </w:rPr>
        <w:t>Different reports present differing data for the same indicators, in many cases said to be drawn from the same source (notably VEMIS).</w:t>
      </w:r>
      <w:r>
        <w:rPr>
          <w:rStyle w:val="FootnoteReference"/>
          <w:rFonts w:cs="Times New Roman"/>
          <w:szCs w:val="24"/>
        </w:rPr>
        <w:footnoteReference w:id="82"/>
      </w:r>
    </w:p>
    <w:p w:rsidR="005D190C" w:rsidRPr="00943214" w:rsidRDefault="005D190C" w:rsidP="00CE4350">
      <w:pPr>
        <w:pStyle w:val="ListParagraph"/>
        <w:numPr>
          <w:ilvl w:val="0"/>
          <w:numId w:val="73"/>
        </w:numPr>
        <w:spacing w:after="200"/>
        <w:jc w:val="both"/>
        <w:rPr>
          <w:rFonts w:cs="Times New Roman"/>
          <w:szCs w:val="24"/>
        </w:rPr>
      </w:pPr>
      <w:r w:rsidRPr="003B7102">
        <w:rPr>
          <w:rFonts w:cs="Times New Roman"/>
          <w:szCs w:val="24"/>
          <w:lang w:val="en-US"/>
        </w:rPr>
        <w:t xml:space="preserve">There is no systematic process within </w:t>
      </w:r>
      <w:proofErr w:type="spellStart"/>
      <w:r w:rsidRPr="003B7102">
        <w:rPr>
          <w:rFonts w:cs="Times New Roman"/>
          <w:szCs w:val="24"/>
          <w:lang w:val="en-US"/>
        </w:rPr>
        <w:t>MoE</w:t>
      </w:r>
      <w:proofErr w:type="spellEnd"/>
      <w:r w:rsidRPr="003B7102">
        <w:rPr>
          <w:rFonts w:cs="Times New Roman"/>
          <w:szCs w:val="24"/>
          <w:lang w:val="en-US"/>
        </w:rPr>
        <w:t xml:space="preserve"> for tracking progress against strategic plans or for evaluating program outputs and outcomes on a regular (rolling) basis.  Evaluations of the sector </w:t>
      </w:r>
      <w:proofErr w:type="gramStart"/>
      <w:r w:rsidRPr="003B7102">
        <w:rPr>
          <w:rFonts w:cs="Times New Roman"/>
          <w:szCs w:val="24"/>
          <w:lang w:val="en-US"/>
        </w:rPr>
        <w:t>as a</w:t>
      </w:r>
      <w:proofErr w:type="gramEnd"/>
      <w:r w:rsidRPr="003B7102">
        <w:rPr>
          <w:rFonts w:cs="Times New Roman"/>
          <w:szCs w:val="24"/>
          <w:lang w:val="en-US"/>
        </w:rPr>
        <w:t xml:space="preserve"> whole and individual programs/activities within it have typically been led and undertaken by external technical assistance funded by the </w:t>
      </w:r>
      <w:r w:rsidR="008C4967">
        <w:rPr>
          <w:rFonts w:cs="Times New Roman"/>
          <w:szCs w:val="24"/>
          <w:lang w:val="en-US"/>
        </w:rPr>
        <w:t>d</w:t>
      </w:r>
      <w:r>
        <w:rPr>
          <w:rFonts w:cs="Times New Roman"/>
          <w:szCs w:val="24"/>
          <w:lang w:val="en-US"/>
        </w:rPr>
        <w:t xml:space="preserve">evelopment </w:t>
      </w:r>
      <w:r w:rsidR="008C4967">
        <w:rPr>
          <w:rFonts w:cs="Times New Roman"/>
          <w:szCs w:val="24"/>
          <w:lang w:val="en-US"/>
        </w:rPr>
        <w:t>p</w:t>
      </w:r>
      <w:r>
        <w:rPr>
          <w:rFonts w:cs="Times New Roman"/>
          <w:szCs w:val="24"/>
          <w:lang w:val="en-US"/>
        </w:rPr>
        <w:t xml:space="preserve">artners.  Where </w:t>
      </w:r>
      <w:proofErr w:type="spellStart"/>
      <w:r>
        <w:rPr>
          <w:rFonts w:cs="Times New Roman"/>
          <w:szCs w:val="24"/>
          <w:lang w:val="en-US"/>
        </w:rPr>
        <w:t>MoE</w:t>
      </w:r>
      <w:proofErr w:type="spellEnd"/>
      <w:r>
        <w:rPr>
          <w:rFonts w:cs="Times New Roman"/>
          <w:szCs w:val="24"/>
          <w:lang w:val="en-US"/>
        </w:rPr>
        <w:t xml:space="preserve"> has itself prepared or contributed to overviews of progress towards achievement of education sector goals these have generally been in response to the requirements of multilateral agencies rather than to meet </w:t>
      </w:r>
      <w:proofErr w:type="spellStart"/>
      <w:r>
        <w:rPr>
          <w:rFonts w:cs="Times New Roman"/>
          <w:szCs w:val="24"/>
          <w:lang w:val="en-US"/>
        </w:rPr>
        <w:t>MoE</w:t>
      </w:r>
      <w:proofErr w:type="spellEnd"/>
      <w:r>
        <w:rPr>
          <w:rFonts w:cs="Times New Roman"/>
          <w:szCs w:val="24"/>
          <w:lang w:val="en-US"/>
        </w:rPr>
        <w:t xml:space="preserve"> needs.</w:t>
      </w:r>
      <w:r>
        <w:rPr>
          <w:rStyle w:val="FootnoteReference"/>
          <w:rFonts w:cs="Times New Roman"/>
          <w:szCs w:val="24"/>
          <w:lang w:val="en-US"/>
        </w:rPr>
        <w:footnoteReference w:id="83"/>
      </w:r>
    </w:p>
    <w:p w:rsidR="005D190C" w:rsidRPr="003B7102" w:rsidRDefault="005D190C" w:rsidP="00CE4350">
      <w:pPr>
        <w:pStyle w:val="ListParagraph"/>
        <w:numPr>
          <w:ilvl w:val="0"/>
          <w:numId w:val="73"/>
        </w:numPr>
        <w:spacing w:after="200"/>
        <w:jc w:val="both"/>
        <w:rPr>
          <w:rFonts w:cs="Times New Roman"/>
          <w:szCs w:val="24"/>
        </w:rPr>
      </w:pPr>
      <w:r>
        <w:rPr>
          <w:rFonts w:cs="Times New Roman"/>
          <w:szCs w:val="24"/>
          <w:lang w:val="en-US"/>
        </w:rPr>
        <w:t xml:space="preserve">M&amp;E activity remains primarily focused on the primary and secondary sub sectors.  While this is understandable given the dominance of these sub sectors within overall </w:t>
      </w:r>
      <w:proofErr w:type="spellStart"/>
      <w:r>
        <w:rPr>
          <w:rFonts w:cs="Times New Roman"/>
          <w:szCs w:val="24"/>
          <w:lang w:val="en-US"/>
        </w:rPr>
        <w:t>GoV</w:t>
      </w:r>
      <w:proofErr w:type="spellEnd"/>
      <w:r>
        <w:rPr>
          <w:rFonts w:cs="Times New Roman"/>
          <w:szCs w:val="24"/>
          <w:lang w:val="en-US"/>
        </w:rPr>
        <w:t xml:space="preserve"> funding of education, basic data (not to speak of measurable performance indicators) remain lacking in relation to the ECE and post-secondary sub sectors.</w:t>
      </w:r>
    </w:p>
    <w:p w:rsidR="005D190C" w:rsidRPr="00943214" w:rsidRDefault="005D190C" w:rsidP="00CE4350">
      <w:pPr>
        <w:pStyle w:val="ListParagraph"/>
        <w:numPr>
          <w:ilvl w:val="0"/>
          <w:numId w:val="73"/>
        </w:numPr>
        <w:spacing w:after="200"/>
        <w:jc w:val="both"/>
        <w:rPr>
          <w:rFonts w:cs="Times New Roman"/>
          <w:szCs w:val="24"/>
        </w:rPr>
      </w:pPr>
      <w:r w:rsidRPr="00943214">
        <w:rPr>
          <w:rFonts w:cs="Times New Roman"/>
          <w:szCs w:val="24"/>
          <w:lang w:val="en-US"/>
        </w:rPr>
        <w:t xml:space="preserve">Most importantly of all, and as a corollary of the continuing disconnect between policy planning and budgeting (see Section 2.2.2), the monitoring and evaluation of public expenditure on the education sector and sub sectors within it remains rudimentary.  Moreover such expenditure monitoring as occurs at anything approaching a strategic level appears to be undertaken largely by MFEM rather than </w:t>
      </w:r>
      <w:proofErr w:type="spellStart"/>
      <w:r w:rsidRPr="00943214">
        <w:rPr>
          <w:rFonts w:cs="Times New Roman"/>
          <w:szCs w:val="24"/>
          <w:lang w:val="en-US"/>
        </w:rPr>
        <w:t>MoE</w:t>
      </w:r>
      <w:proofErr w:type="spellEnd"/>
      <w:r w:rsidRPr="00943214">
        <w:rPr>
          <w:rFonts w:cs="Times New Roman"/>
          <w:szCs w:val="24"/>
          <w:lang w:val="en-US"/>
        </w:rPr>
        <w:t xml:space="preserve">.  The findings of such </w:t>
      </w:r>
      <w:r w:rsidRPr="00943214">
        <w:rPr>
          <w:rFonts w:cs="Times New Roman"/>
          <w:szCs w:val="24"/>
          <w:lang w:val="en-US"/>
        </w:rPr>
        <w:lastRenderedPageBreak/>
        <w:t xml:space="preserve">monitoring and evaluation as occurs do not appear to play any role in the determination of </w:t>
      </w:r>
      <w:proofErr w:type="spellStart"/>
      <w:r w:rsidRPr="00943214">
        <w:rPr>
          <w:rFonts w:cs="Times New Roman"/>
          <w:szCs w:val="24"/>
          <w:lang w:val="en-US"/>
        </w:rPr>
        <w:t>MoE’s</w:t>
      </w:r>
      <w:proofErr w:type="spellEnd"/>
      <w:r w:rsidRPr="00943214">
        <w:rPr>
          <w:rFonts w:cs="Times New Roman"/>
          <w:szCs w:val="24"/>
          <w:lang w:val="en-US"/>
        </w:rPr>
        <w:t xml:space="preserve"> annual budgets or the allocation of resources as sub sector level.</w:t>
      </w:r>
      <w:r>
        <w:rPr>
          <w:rStyle w:val="FootnoteReference"/>
          <w:rFonts w:cs="Times New Roman"/>
          <w:szCs w:val="24"/>
          <w:lang w:val="en-US"/>
        </w:rPr>
        <w:footnoteReference w:id="84"/>
      </w:r>
      <w:r w:rsidRPr="00943214">
        <w:rPr>
          <w:rFonts w:cs="Times New Roman"/>
          <w:szCs w:val="24"/>
          <w:lang w:val="en-US"/>
        </w:rPr>
        <w:t xml:space="preserve"> </w:t>
      </w:r>
    </w:p>
    <w:p w:rsidR="005D190C" w:rsidRDefault="005D190C" w:rsidP="00160C19">
      <w:pPr>
        <w:pStyle w:val="Heading2"/>
      </w:pPr>
      <w:bookmarkStart w:id="311" w:name="_Toc341210836"/>
      <w:bookmarkStart w:id="312" w:name="_Toc341210942"/>
      <w:bookmarkStart w:id="313" w:name="_Toc341265760"/>
      <w:bookmarkStart w:id="314" w:name="_Toc343257331"/>
      <w:bookmarkStart w:id="315" w:name="_Toc343257437"/>
      <w:bookmarkStart w:id="316" w:name="_Toc348711358"/>
      <w:r w:rsidRPr="0054651F">
        <w:t xml:space="preserve">4.3 </w:t>
      </w:r>
      <w:r>
        <w:t>Some suggested p</w:t>
      </w:r>
      <w:r w:rsidRPr="0054651F">
        <w:t>riorities for improvement</w:t>
      </w:r>
      <w:bookmarkEnd w:id="311"/>
      <w:bookmarkEnd w:id="312"/>
      <w:bookmarkEnd w:id="313"/>
      <w:bookmarkEnd w:id="314"/>
      <w:bookmarkEnd w:id="315"/>
      <w:bookmarkEnd w:id="316"/>
    </w:p>
    <w:p w:rsidR="005D190C" w:rsidRDefault="005D190C" w:rsidP="005D190C">
      <w:pPr>
        <w:jc w:val="both"/>
      </w:pPr>
    </w:p>
    <w:p w:rsidR="00513E7F" w:rsidRDefault="00513E7F" w:rsidP="005D190C">
      <w:pPr>
        <w:jc w:val="both"/>
      </w:pPr>
      <w:r>
        <w:t>From a public expenditure perspective the key elements of an integrated monitoring and evaluation system for public expenditure are as depicted in the following chart.</w:t>
      </w:r>
    </w:p>
    <w:p w:rsidR="00513E7F" w:rsidRDefault="00513E7F" w:rsidP="005D190C">
      <w:pPr>
        <w:jc w:val="both"/>
      </w:pPr>
    </w:p>
    <w:p w:rsidR="00921B12" w:rsidRDefault="00921B12" w:rsidP="005D190C">
      <w:pPr>
        <w:jc w:val="both"/>
      </w:pPr>
      <w:r>
        <w:rPr>
          <w:noProof/>
          <w:lang w:eastAsia="en-AU"/>
        </w:rPr>
        <w:drawing>
          <wp:inline distT="0" distB="0" distL="0" distR="0" wp14:anchorId="6FDD5B76" wp14:editId="1A0AAC04">
            <wp:extent cx="5934075" cy="3962400"/>
            <wp:effectExtent l="0" t="0" r="9525" b="0"/>
            <wp:docPr id="12" name="Picture 2" descr="shows key elements of an integrated monitoring and evaluation system for public expenditure. four elements are performance planning, performance budget, performance reporting, and performance review - and these are in an ongoing cycle with one element informing the next."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34075" cy="3962400"/>
                    </a:xfrm>
                    <a:prstGeom prst="rect">
                      <a:avLst/>
                    </a:prstGeom>
                    <a:noFill/>
                    <a:ln w="9525">
                      <a:noFill/>
                      <a:miter lim="800000"/>
                      <a:headEnd/>
                      <a:tailEnd/>
                    </a:ln>
                  </pic:spPr>
                </pic:pic>
              </a:graphicData>
            </a:graphic>
          </wp:inline>
        </w:drawing>
      </w:r>
    </w:p>
    <w:p w:rsidR="00921B12" w:rsidRDefault="00921B12" w:rsidP="00921B12">
      <w:pPr>
        <w:jc w:val="both"/>
      </w:pPr>
      <w:r>
        <w:t>Source: Reproduced from earlier work by the review Team Leader.</w:t>
      </w:r>
    </w:p>
    <w:p w:rsidR="00921B12" w:rsidRDefault="00921B12" w:rsidP="005D190C">
      <w:pPr>
        <w:jc w:val="both"/>
      </w:pPr>
    </w:p>
    <w:p w:rsidR="00921B12" w:rsidRDefault="00921B12" w:rsidP="005D190C">
      <w:pPr>
        <w:jc w:val="both"/>
      </w:pPr>
    </w:p>
    <w:p w:rsidR="00513E7F" w:rsidRDefault="00513E7F" w:rsidP="005D190C">
      <w:pPr>
        <w:jc w:val="both"/>
      </w:pPr>
      <w:r>
        <w:t xml:space="preserve">Many of these elements </w:t>
      </w:r>
      <w:r w:rsidR="00E46A9E">
        <w:t xml:space="preserve">are currently lacking in Vanuatu, not only in relation to the education sector but across </w:t>
      </w:r>
      <w:proofErr w:type="spellStart"/>
      <w:r w:rsidR="00E46A9E">
        <w:t>GoV</w:t>
      </w:r>
      <w:proofErr w:type="spellEnd"/>
      <w:r w:rsidR="00E46A9E">
        <w:t xml:space="preserve"> spending as a whole.</w:t>
      </w:r>
    </w:p>
    <w:p w:rsidR="00E46A9E" w:rsidRDefault="00E46A9E" w:rsidP="005D190C">
      <w:pPr>
        <w:jc w:val="both"/>
      </w:pPr>
    </w:p>
    <w:p w:rsidR="005D190C" w:rsidRPr="002265EA" w:rsidRDefault="005D190C" w:rsidP="005D190C">
      <w:pPr>
        <w:jc w:val="both"/>
        <w:rPr>
          <w:rFonts w:cs="Times New Roman"/>
          <w:szCs w:val="24"/>
        </w:rPr>
      </w:pPr>
      <w:r>
        <w:t>The following suggestions are advanced from the following perspectives:</w:t>
      </w:r>
    </w:p>
    <w:p w:rsidR="005D190C" w:rsidRPr="002265EA" w:rsidRDefault="005D190C" w:rsidP="005D190C">
      <w:pPr>
        <w:jc w:val="both"/>
        <w:rPr>
          <w:rFonts w:cs="Times New Roman"/>
          <w:szCs w:val="24"/>
        </w:rPr>
      </w:pPr>
    </w:p>
    <w:p w:rsidR="005D190C" w:rsidRDefault="005D190C" w:rsidP="00CE4350">
      <w:pPr>
        <w:pStyle w:val="ListParagraph"/>
        <w:numPr>
          <w:ilvl w:val="0"/>
          <w:numId w:val="75"/>
        </w:numPr>
        <w:spacing w:after="200"/>
        <w:jc w:val="both"/>
        <w:rPr>
          <w:rFonts w:cs="Times New Roman"/>
          <w:szCs w:val="24"/>
        </w:rPr>
      </w:pPr>
      <w:r w:rsidRPr="002265EA">
        <w:rPr>
          <w:rFonts w:cs="Times New Roman"/>
          <w:szCs w:val="24"/>
        </w:rPr>
        <w:t xml:space="preserve">The </w:t>
      </w:r>
      <w:proofErr w:type="spellStart"/>
      <w:r>
        <w:rPr>
          <w:rFonts w:cs="Times New Roman"/>
          <w:szCs w:val="24"/>
        </w:rPr>
        <w:t>GoV’s</w:t>
      </w:r>
      <w:proofErr w:type="spellEnd"/>
      <w:r>
        <w:rPr>
          <w:rFonts w:cs="Times New Roman"/>
          <w:szCs w:val="24"/>
        </w:rPr>
        <w:t xml:space="preserve"> and </w:t>
      </w:r>
      <w:proofErr w:type="spellStart"/>
      <w:r>
        <w:rPr>
          <w:rFonts w:cs="Times New Roman"/>
          <w:szCs w:val="24"/>
        </w:rPr>
        <w:t>MoE’s</w:t>
      </w:r>
      <w:proofErr w:type="spellEnd"/>
      <w:r>
        <w:rPr>
          <w:rFonts w:cs="Times New Roman"/>
          <w:szCs w:val="24"/>
        </w:rPr>
        <w:t xml:space="preserve"> capacities to strengthen M&amp;E of the education sector will remain ‘stretched’ for the foreseeable future (5-10 years).  Priorities for improvement should acknowledge this and aim for the realistically attainable rather than the ‘perfect’.</w:t>
      </w:r>
    </w:p>
    <w:p w:rsidR="005D190C" w:rsidRDefault="005D190C" w:rsidP="00CE4350">
      <w:pPr>
        <w:pStyle w:val="ListParagraph"/>
        <w:numPr>
          <w:ilvl w:val="0"/>
          <w:numId w:val="75"/>
        </w:numPr>
        <w:spacing w:after="200"/>
        <w:jc w:val="both"/>
        <w:rPr>
          <w:rFonts w:cs="Times New Roman"/>
          <w:szCs w:val="24"/>
        </w:rPr>
      </w:pPr>
      <w:r>
        <w:rPr>
          <w:rFonts w:cs="Times New Roman"/>
          <w:szCs w:val="24"/>
        </w:rPr>
        <w:t xml:space="preserve">The most important current M&amp;E weakness is the weakness in linkage between </w:t>
      </w:r>
      <w:proofErr w:type="spellStart"/>
      <w:r>
        <w:rPr>
          <w:rFonts w:cs="Times New Roman"/>
          <w:szCs w:val="24"/>
        </w:rPr>
        <w:t>GoV</w:t>
      </w:r>
      <w:proofErr w:type="spellEnd"/>
      <w:r>
        <w:rPr>
          <w:rFonts w:cs="Times New Roman"/>
          <w:szCs w:val="24"/>
        </w:rPr>
        <w:t xml:space="preserve"> public expenditure inputs and education sector outputs/outcomes.</w:t>
      </w:r>
    </w:p>
    <w:p w:rsidR="00E46A9E" w:rsidRDefault="00E46A9E" w:rsidP="00E46A9E">
      <w:pPr>
        <w:jc w:val="both"/>
      </w:pPr>
      <w:r>
        <w:lastRenderedPageBreak/>
        <w:t xml:space="preserve">Further development of M&amp;E systems for the education sector should be guided in part by the following suggestions. </w:t>
      </w:r>
    </w:p>
    <w:p w:rsidR="00E46A9E" w:rsidRDefault="00E46A9E" w:rsidP="005D190C">
      <w:pPr>
        <w:jc w:val="both"/>
        <w:rPr>
          <w:rFonts w:cs="Times New Roman"/>
          <w:b/>
          <w:i/>
          <w:szCs w:val="24"/>
        </w:rPr>
      </w:pPr>
    </w:p>
    <w:p w:rsidR="00E46A9E" w:rsidRDefault="005D190C" w:rsidP="00CE4350">
      <w:pPr>
        <w:pStyle w:val="ListParagraph"/>
        <w:numPr>
          <w:ilvl w:val="0"/>
          <w:numId w:val="82"/>
        </w:numPr>
        <w:jc w:val="both"/>
      </w:pPr>
      <w:r w:rsidRPr="00103675">
        <w:t>Continue to improve the reliability of data currently generated by VEMIS before attempting to expand its scope</w:t>
      </w:r>
      <w:r w:rsidR="00E46A9E">
        <w:t>.</w:t>
      </w:r>
    </w:p>
    <w:p w:rsidR="008B06D7" w:rsidRDefault="008B06D7" w:rsidP="00F4727B">
      <w:pPr>
        <w:jc w:val="both"/>
      </w:pPr>
    </w:p>
    <w:p w:rsidR="00E46A9E" w:rsidRDefault="00E46A9E" w:rsidP="00CE4350">
      <w:pPr>
        <w:pStyle w:val="ListParagraph"/>
        <w:numPr>
          <w:ilvl w:val="0"/>
          <w:numId w:val="82"/>
        </w:numPr>
        <w:jc w:val="both"/>
      </w:pPr>
      <w:r w:rsidRPr="00E46A9E">
        <w:t>Clearly define, rationalise and consolidate the range of indicators to be measured and tracked through VEMIS.</w:t>
      </w:r>
      <w:r w:rsidR="008B06D7">
        <w:t xml:space="preserve">  In particular:</w:t>
      </w:r>
    </w:p>
    <w:p w:rsidR="008B06D7" w:rsidRDefault="008B06D7" w:rsidP="00F4727B">
      <w:pPr>
        <w:jc w:val="both"/>
      </w:pPr>
    </w:p>
    <w:p w:rsidR="008B06D7" w:rsidRDefault="008B06D7" w:rsidP="00CE4350">
      <w:pPr>
        <w:pStyle w:val="ListParagraph"/>
        <w:numPr>
          <w:ilvl w:val="1"/>
          <w:numId w:val="82"/>
        </w:numPr>
        <w:ind w:left="993" w:hanging="284"/>
        <w:jc w:val="both"/>
      </w:pPr>
      <w:r>
        <w:t xml:space="preserve">clearly identify the performance indicators to be tracked against that sub-set of policy objectives that the </w:t>
      </w:r>
      <w:proofErr w:type="spellStart"/>
      <w:r>
        <w:t>GoV</w:t>
      </w:r>
      <w:proofErr w:type="spellEnd"/>
      <w:r>
        <w:t xml:space="preserve"> and development partners intend to explicitly fund over the medium-term;</w:t>
      </w:r>
    </w:p>
    <w:p w:rsidR="008B06D7" w:rsidRDefault="008B06D7" w:rsidP="00CE4350">
      <w:pPr>
        <w:pStyle w:val="ListParagraph"/>
        <w:numPr>
          <w:ilvl w:val="1"/>
          <w:numId w:val="82"/>
        </w:numPr>
        <w:ind w:left="993" w:hanging="284"/>
        <w:jc w:val="both"/>
      </w:pPr>
      <w:proofErr w:type="gramStart"/>
      <w:r>
        <w:t>clearly</w:t>
      </w:r>
      <w:proofErr w:type="gramEnd"/>
      <w:r>
        <w:t xml:space="preserve"> identify who intends to use these indicators, how and for what purpose.</w:t>
      </w:r>
    </w:p>
    <w:p w:rsidR="00E46A9E" w:rsidRPr="00E46A9E" w:rsidRDefault="008B06D7" w:rsidP="00F4727B">
      <w:pPr>
        <w:jc w:val="both"/>
      </w:pPr>
      <w:r>
        <w:t xml:space="preserve"> </w:t>
      </w:r>
    </w:p>
    <w:p w:rsidR="005D190C" w:rsidRPr="00F4727B" w:rsidRDefault="00AB70AE" w:rsidP="00CE4350">
      <w:pPr>
        <w:pStyle w:val="ListParagraph"/>
        <w:numPr>
          <w:ilvl w:val="0"/>
          <w:numId w:val="82"/>
        </w:numPr>
        <w:jc w:val="both"/>
        <w:rPr>
          <w:rFonts w:cs="Times New Roman"/>
          <w:szCs w:val="24"/>
        </w:rPr>
      </w:pPr>
      <w:r>
        <w:t xml:space="preserve">Following from (2), identify the key input and output indicators to be developed and used as input to an annual budget process that reviews proposed allocations of both </w:t>
      </w:r>
      <w:proofErr w:type="spellStart"/>
      <w:r>
        <w:t>GoV</w:t>
      </w:r>
      <w:proofErr w:type="spellEnd"/>
      <w:r>
        <w:t xml:space="preserve"> and development partner funding against stated priorities and progress towards their achievement (see also Section 3, Recommendation 3).</w:t>
      </w:r>
    </w:p>
    <w:p w:rsidR="00F4727B" w:rsidRDefault="00F4727B" w:rsidP="00F4727B">
      <w:pPr>
        <w:jc w:val="both"/>
        <w:rPr>
          <w:rFonts w:cs="Times New Roman"/>
          <w:szCs w:val="24"/>
        </w:rPr>
      </w:pPr>
    </w:p>
    <w:p w:rsidR="00F4727B" w:rsidRDefault="00F4727B" w:rsidP="00CE4350">
      <w:pPr>
        <w:pStyle w:val="ListParagraph"/>
        <w:numPr>
          <w:ilvl w:val="0"/>
          <w:numId w:val="82"/>
        </w:numPr>
        <w:jc w:val="both"/>
        <w:rPr>
          <w:rFonts w:cs="Times New Roman"/>
          <w:szCs w:val="24"/>
        </w:rPr>
      </w:pPr>
      <w:r>
        <w:rPr>
          <w:rFonts w:cs="Times New Roman"/>
          <w:szCs w:val="24"/>
        </w:rPr>
        <w:t xml:space="preserve">Derived from (2) and (3), </w:t>
      </w:r>
      <w:r w:rsidRPr="00F4727B">
        <w:rPr>
          <w:rFonts w:cs="Times New Roman"/>
          <w:szCs w:val="24"/>
        </w:rPr>
        <w:t xml:space="preserve">ensure that </w:t>
      </w:r>
      <w:proofErr w:type="spellStart"/>
      <w:r w:rsidRPr="00F4727B">
        <w:rPr>
          <w:rFonts w:cs="Times New Roman"/>
          <w:szCs w:val="24"/>
        </w:rPr>
        <w:t>MoE’s</w:t>
      </w:r>
      <w:proofErr w:type="spellEnd"/>
      <w:r w:rsidRPr="00F4727B">
        <w:rPr>
          <w:rFonts w:cs="Times New Roman"/>
          <w:szCs w:val="24"/>
        </w:rPr>
        <w:t xml:space="preserve"> (and other education-related) submissions to the Ministerial Budget Committee are accompanied and supported by annual reports in relation to progress against ‘core’ targets for the education sector</w:t>
      </w:r>
      <w:r>
        <w:rPr>
          <w:rFonts w:cs="Times New Roman"/>
          <w:szCs w:val="24"/>
        </w:rPr>
        <w:t>.</w:t>
      </w:r>
    </w:p>
    <w:p w:rsidR="00957B82" w:rsidRDefault="00957B82" w:rsidP="00957B82">
      <w:pPr>
        <w:jc w:val="both"/>
        <w:rPr>
          <w:rFonts w:cs="Times New Roman"/>
          <w:szCs w:val="24"/>
        </w:rPr>
      </w:pPr>
    </w:p>
    <w:p w:rsidR="00957B82" w:rsidRPr="00957B82" w:rsidRDefault="00957B82" w:rsidP="00CE4350">
      <w:pPr>
        <w:pStyle w:val="ListParagraph"/>
        <w:numPr>
          <w:ilvl w:val="0"/>
          <w:numId w:val="82"/>
        </w:numPr>
        <w:jc w:val="both"/>
        <w:rPr>
          <w:rFonts w:cs="Times New Roman"/>
          <w:szCs w:val="24"/>
        </w:rPr>
      </w:pPr>
      <w:r>
        <w:rPr>
          <w:rFonts w:cs="Times New Roman"/>
          <w:szCs w:val="24"/>
        </w:rPr>
        <w:t xml:space="preserve">Related in part to (4), require Ministries (including </w:t>
      </w:r>
      <w:proofErr w:type="spellStart"/>
      <w:r>
        <w:rPr>
          <w:rFonts w:cs="Times New Roman"/>
          <w:szCs w:val="24"/>
        </w:rPr>
        <w:t>MoE</w:t>
      </w:r>
      <w:proofErr w:type="spellEnd"/>
      <w:r>
        <w:rPr>
          <w:rFonts w:cs="Times New Roman"/>
          <w:szCs w:val="24"/>
        </w:rPr>
        <w:t xml:space="preserve">) to report annually, via their ‘Tome 3’ Budget documentation, not only performance indicators </w:t>
      </w:r>
      <w:r w:rsidR="00AA423C">
        <w:rPr>
          <w:rFonts w:cs="Times New Roman"/>
          <w:szCs w:val="24"/>
        </w:rPr>
        <w:t>for the current financial year but also achievement against stated targets for the prior financial year.</w:t>
      </w:r>
    </w:p>
    <w:p w:rsidR="00F4727B" w:rsidRPr="00F4727B" w:rsidRDefault="00F4727B" w:rsidP="00F4727B">
      <w:pPr>
        <w:jc w:val="both"/>
        <w:rPr>
          <w:rFonts w:cs="Times New Roman"/>
          <w:szCs w:val="24"/>
        </w:rPr>
      </w:pPr>
    </w:p>
    <w:p w:rsidR="00F4727B" w:rsidRDefault="00F4727B" w:rsidP="00CE4350">
      <w:pPr>
        <w:pStyle w:val="ListParagraph"/>
        <w:numPr>
          <w:ilvl w:val="0"/>
          <w:numId w:val="82"/>
        </w:numPr>
        <w:jc w:val="both"/>
        <w:rPr>
          <w:rFonts w:cs="Times New Roman"/>
          <w:szCs w:val="24"/>
        </w:rPr>
      </w:pPr>
      <w:r w:rsidRPr="00F4727B">
        <w:rPr>
          <w:rFonts w:cs="Times New Roman"/>
          <w:szCs w:val="24"/>
        </w:rPr>
        <w:t xml:space="preserve">Develop a rolling forward program of joint </w:t>
      </w:r>
      <w:proofErr w:type="spellStart"/>
      <w:r w:rsidRPr="00F4727B">
        <w:rPr>
          <w:rFonts w:cs="Times New Roman"/>
          <w:szCs w:val="24"/>
        </w:rPr>
        <w:t>MoE</w:t>
      </w:r>
      <w:proofErr w:type="spellEnd"/>
      <w:r w:rsidRPr="00F4727B">
        <w:rPr>
          <w:rFonts w:cs="Times New Roman"/>
          <w:szCs w:val="24"/>
        </w:rPr>
        <w:t>-MFEM public expenditure evaluations at sub</w:t>
      </w:r>
      <w:r>
        <w:rPr>
          <w:rFonts w:cs="Times New Roman"/>
          <w:szCs w:val="24"/>
        </w:rPr>
        <w:t>-</w:t>
      </w:r>
      <w:r w:rsidRPr="00F4727B">
        <w:rPr>
          <w:rFonts w:cs="Times New Roman"/>
          <w:szCs w:val="24"/>
        </w:rPr>
        <w:t>sector and program levels linked to (but not confined to) VESP program outcome targets.</w:t>
      </w:r>
    </w:p>
    <w:p w:rsidR="00F4727B" w:rsidRDefault="00F4727B" w:rsidP="00F4727B">
      <w:pPr>
        <w:jc w:val="both"/>
        <w:rPr>
          <w:rFonts w:cs="Times New Roman"/>
          <w:szCs w:val="24"/>
        </w:rPr>
      </w:pPr>
    </w:p>
    <w:p w:rsidR="00F4727B" w:rsidRDefault="00F4727B" w:rsidP="00CE4350">
      <w:pPr>
        <w:pStyle w:val="ListParagraph"/>
        <w:numPr>
          <w:ilvl w:val="0"/>
          <w:numId w:val="82"/>
        </w:numPr>
        <w:jc w:val="both"/>
        <w:rPr>
          <w:rFonts w:cs="Times New Roman"/>
          <w:szCs w:val="24"/>
        </w:rPr>
      </w:pPr>
      <w:r w:rsidRPr="00F4727B">
        <w:rPr>
          <w:rFonts w:cs="Times New Roman"/>
          <w:szCs w:val="24"/>
        </w:rPr>
        <w:t xml:space="preserve">Demonstrate that, over time, the results of more systematic M&amp;E are reflected in the </w:t>
      </w:r>
      <w:proofErr w:type="spellStart"/>
      <w:r w:rsidRPr="00F4727B">
        <w:rPr>
          <w:rFonts w:cs="Times New Roman"/>
          <w:szCs w:val="24"/>
        </w:rPr>
        <w:t>GoV’s</w:t>
      </w:r>
      <w:proofErr w:type="spellEnd"/>
      <w:r w:rsidRPr="00F4727B">
        <w:rPr>
          <w:rFonts w:cs="Times New Roman"/>
          <w:szCs w:val="24"/>
        </w:rPr>
        <w:t xml:space="preserve"> financial resource allocations to education sub</w:t>
      </w:r>
      <w:r>
        <w:rPr>
          <w:rFonts w:cs="Times New Roman"/>
          <w:szCs w:val="24"/>
        </w:rPr>
        <w:t>-</w:t>
      </w:r>
      <w:r w:rsidRPr="00F4727B">
        <w:rPr>
          <w:rFonts w:cs="Times New Roman"/>
          <w:szCs w:val="24"/>
        </w:rPr>
        <w:t>sectors (within any given expenditure cap for the sector as a whole).</w:t>
      </w:r>
    </w:p>
    <w:p w:rsidR="00F4727B" w:rsidRDefault="00F4727B" w:rsidP="00F4727B">
      <w:pPr>
        <w:jc w:val="both"/>
        <w:rPr>
          <w:rFonts w:cs="Times New Roman"/>
          <w:szCs w:val="24"/>
        </w:rPr>
      </w:pPr>
    </w:p>
    <w:p w:rsidR="00F4727B" w:rsidRDefault="00F4727B" w:rsidP="00F4727B">
      <w:pPr>
        <w:jc w:val="both"/>
        <w:rPr>
          <w:rFonts w:cs="Times New Roman"/>
          <w:szCs w:val="24"/>
        </w:rPr>
      </w:pPr>
      <w:r>
        <w:rPr>
          <w:rFonts w:cs="Times New Roman"/>
          <w:szCs w:val="24"/>
        </w:rPr>
        <w:t xml:space="preserve">From a longer-term perspective the </w:t>
      </w:r>
      <w:proofErr w:type="spellStart"/>
      <w:r>
        <w:rPr>
          <w:rFonts w:cs="Times New Roman"/>
          <w:szCs w:val="24"/>
        </w:rPr>
        <w:t>GoV</w:t>
      </w:r>
      <w:proofErr w:type="spellEnd"/>
      <w:r>
        <w:rPr>
          <w:rFonts w:cs="Times New Roman"/>
          <w:szCs w:val="24"/>
        </w:rPr>
        <w:t xml:space="preserve"> needs to consider how it will migrate the current ‘program’ structures of its Ministries (including the </w:t>
      </w:r>
      <w:proofErr w:type="spellStart"/>
      <w:r>
        <w:rPr>
          <w:rFonts w:cs="Times New Roman"/>
          <w:szCs w:val="24"/>
        </w:rPr>
        <w:t>MoE</w:t>
      </w:r>
      <w:proofErr w:type="spellEnd"/>
      <w:r>
        <w:rPr>
          <w:rFonts w:cs="Times New Roman"/>
          <w:szCs w:val="24"/>
        </w:rPr>
        <w:t xml:space="preserve">), which are essentially based on organisation structures rather than programs in a meaningful sense, towards more meaningful </w:t>
      </w:r>
      <w:r w:rsidR="000048F8">
        <w:rPr>
          <w:rFonts w:cs="Times New Roman"/>
          <w:szCs w:val="24"/>
        </w:rPr>
        <w:t xml:space="preserve">program </w:t>
      </w:r>
      <w:r>
        <w:rPr>
          <w:rFonts w:cs="Times New Roman"/>
          <w:szCs w:val="24"/>
        </w:rPr>
        <w:t xml:space="preserve">structures </w:t>
      </w:r>
      <w:r w:rsidR="000048F8">
        <w:rPr>
          <w:rFonts w:cs="Times New Roman"/>
          <w:szCs w:val="24"/>
        </w:rPr>
        <w:t xml:space="preserve">better </w:t>
      </w:r>
      <w:r>
        <w:rPr>
          <w:rFonts w:cs="Times New Roman"/>
          <w:szCs w:val="24"/>
        </w:rPr>
        <w:t>enabling monitoring and evaluation of expenditure inputs to program outputs/outcomes.</w:t>
      </w:r>
    </w:p>
    <w:p w:rsidR="007F0247" w:rsidRDefault="007F0247" w:rsidP="00F4727B">
      <w:pPr>
        <w:jc w:val="both"/>
        <w:rPr>
          <w:rFonts w:cs="Times New Roman"/>
          <w:szCs w:val="24"/>
        </w:rPr>
      </w:pPr>
    </w:p>
    <w:p w:rsidR="007F0247" w:rsidRDefault="007F0247" w:rsidP="007F0247">
      <w:pPr>
        <w:jc w:val="both"/>
      </w:pPr>
      <w:r>
        <w:t xml:space="preserve">As for other </w:t>
      </w:r>
      <w:proofErr w:type="spellStart"/>
      <w:r>
        <w:t>GoV</w:t>
      </w:r>
      <w:proofErr w:type="spellEnd"/>
      <w:r>
        <w:t xml:space="preserve"> Ministries/agencies, the </w:t>
      </w:r>
      <w:proofErr w:type="spellStart"/>
      <w:r>
        <w:t>MoE’s</w:t>
      </w:r>
      <w:proofErr w:type="spellEnd"/>
      <w:r>
        <w:t xml:space="preserve"> current account code structure for budget planning and financial management bears no relationship to its performance objectives (or targets) for the education sector.  The present structure is summarised as follows:</w:t>
      </w:r>
    </w:p>
    <w:p w:rsidR="007F0247" w:rsidRDefault="007F0247" w:rsidP="007F0247">
      <w:pPr>
        <w:jc w:val="both"/>
      </w:pPr>
    </w:p>
    <w:tbl>
      <w:tblPr>
        <w:tblStyle w:val="TableGrid"/>
        <w:tblW w:w="0" w:type="auto"/>
        <w:jc w:val="center"/>
        <w:tblLook w:val="04A0" w:firstRow="1" w:lastRow="0" w:firstColumn="1" w:lastColumn="0" w:noHBand="0" w:noVBand="1"/>
        <w:tblCaption w:val="table: account code structure for budget planning and financial management"/>
      </w:tblPr>
      <w:tblGrid>
        <w:gridCol w:w="3696"/>
        <w:gridCol w:w="2773"/>
        <w:gridCol w:w="2773"/>
      </w:tblGrid>
      <w:tr w:rsidR="007F0247" w:rsidTr="00FC5C59">
        <w:trPr>
          <w:tblHeader/>
          <w:jc w:val="center"/>
        </w:trPr>
        <w:tc>
          <w:tcPr>
            <w:tcW w:w="3696" w:type="dxa"/>
          </w:tcPr>
          <w:p w:rsidR="007F0247" w:rsidRPr="00B5610C" w:rsidRDefault="007F0247" w:rsidP="000F65C3">
            <w:pPr>
              <w:jc w:val="both"/>
              <w:rPr>
                <w:sz w:val="20"/>
                <w:szCs w:val="20"/>
              </w:rPr>
            </w:pPr>
            <w:r w:rsidRPr="00B5610C">
              <w:rPr>
                <w:sz w:val="20"/>
                <w:szCs w:val="20"/>
              </w:rPr>
              <w:t>Code and “program”</w:t>
            </w:r>
          </w:p>
        </w:tc>
        <w:tc>
          <w:tcPr>
            <w:tcW w:w="2773" w:type="dxa"/>
          </w:tcPr>
          <w:p w:rsidR="007F0247" w:rsidRPr="00B5610C" w:rsidRDefault="007F0247" w:rsidP="000F65C3">
            <w:pPr>
              <w:jc w:val="center"/>
              <w:rPr>
                <w:sz w:val="20"/>
                <w:szCs w:val="20"/>
              </w:rPr>
            </w:pPr>
            <w:r w:rsidRPr="00B5610C">
              <w:rPr>
                <w:sz w:val="20"/>
                <w:szCs w:val="20"/>
              </w:rPr>
              <w:t>Number of cost centres</w:t>
            </w:r>
          </w:p>
        </w:tc>
        <w:tc>
          <w:tcPr>
            <w:tcW w:w="2773" w:type="dxa"/>
          </w:tcPr>
          <w:p w:rsidR="007F0247" w:rsidRPr="00B5610C" w:rsidRDefault="007F0247" w:rsidP="008C4967">
            <w:pPr>
              <w:jc w:val="both"/>
              <w:rPr>
                <w:sz w:val="20"/>
                <w:szCs w:val="20"/>
              </w:rPr>
            </w:pPr>
            <w:r w:rsidRPr="00B5610C">
              <w:rPr>
                <w:sz w:val="20"/>
                <w:szCs w:val="20"/>
              </w:rPr>
              <w:t xml:space="preserve">2012 </w:t>
            </w:r>
            <w:proofErr w:type="spellStart"/>
            <w:r>
              <w:rPr>
                <w:sz w:val="20"/>
                <w:szCs w:val="20"/>
              </w:rPr>
              <w:t>GoV</w:t>
            </w:r>
            <w:proofErr w:type="spellEnd"/>
            <w:r>
              <w:rPr>
                <w:sz w:val="20"/>
                <w:szCs w:val="20"/>
              </w:rPr>
              <w:t xml:space="preserve">-funded </w:t>
            </w:r>
            <w:r w:rsidRPr="00B5610C">
              <w:rPr>
                <w:sz w:val="20"/>
                <w:szCs w:val="20"/>
              </w:rPr>
              <w:t>Budget for “program</w:t>
            </w:r>
            <w:r>
              <w:rPr>
                <w:sz w:val="20"/>
                <w:szCs w:val="20"/>
              </w:rPr>
              <w:t>” (V</w:t>
            </w:r>
            <w:r w:rsidR="008C4967">
              <w:rPr>
                <w:sz w:val="20"/>
                <w:szCs w:val="20"/>
              </w:rPr>
              <w:t>T</w:t>
            </w:r>
            <w:r>
              <w:rPr>
                <w:sz w:val="20"/>
                <w:szCs w:val="20"/>
              </w:rPr>
              <w:t xml:space="preserve"> million)</w:t>
            </w:r>
          </w:p>
        </w:tc>
      </w:tr>
      <w:tr w:rsidR="007F0247" w:rsidTr="007F0247">
        <w:trPr>
          <w:jc w:val="center"/>
        </w:trPr>
        <w:tc>
          <w:tcPr>
            <w:tcW w:w="3696" w:type="dxa"/>
          </w:tcPr>
          <w:p w:rsidR="007F0247" w:rsidRPr="00B5610C" w:rsidRDefault="007F0247" w:rsidP="000F65C3">
            <w:pPr>
              <w:jc w:val="both"/>
              <w:rPr>
                <w:sz w:val="20"/>
                <w:szCs w:val="20"/>
              </w:rPr>
            </w:pPr>
            <w:r>
              <w:rPr>
                <w:sz w:val="20"/>
                <w:szCs w:val="20"/>
              </w:rPr>
              <w:t>MEA Cabinet Support</w:t>
            </w:r>
          </w:p>
        </w:tc>
        <w:tc>
          <w:tcPr>
            <w:tcW w:w="2773" w:type="dxa"/>
          </w:tcPr>
          <w:p w:rsidR="007F0247" w:rsidRPr="00B5610C" w:rsidRDefault="007F0247" w:rsidP="000F65C3">
            <w:pPr>
              <w:jc w:val="center"/>
              <w:rPr>
                <w:sz w:val="20"/>
                <w:szCs w:val="20"/>
              </w:rPr>
            </w:pPr>
            <w:r>
              <w:rPr>
                <w:sz w:val="20"/>
                <w:szCs w:val="20"/>
              </w:rPr>
              <w:t>1</w:t>
            </w:r>
          </w:p>
        </w:tc>
        <w:tc>
          <w:tcPr>
            <w:tcW w:w="2773" w:type="dxa"/>
          </w:tcPr>
          <w:p w:rsidR="007F0247" w:rsidRPr="00B5610C" w:rsidRDefault="007F0247" w:rsidP="000F65C3">
            <w:pPr>
              <w:jc w:val="right"/>
              <w:rPr>
                <w:sz w:val="20"/>
                <w:szCs w:val="20"/>
              </w:rPr>
            </w:pPr>
            <w:r>
              <w:rPr>
                <w:sz w:val="20"/>
                <w:szCs w:val="20"/>
              </w:rPr>
              <w:t>44.1</w:t>
            </w:r>
          </w:p>
        </w:tc>
      </w:tr>
      <w:tr w:rsidR="007F0247" w:rsidTr="007F0247">
        <w:trPr>
          <w:jc w:val="center"/>
        </w:trPr>
        <w:tc>
          <w:tcPr>
            <w:tcW w:w="3696" w:type="dxa"/>
          </w:tcPr>
          <w:p w:rsidR="007F0247" w:rsidRPr="00B5610C" w:rsidRDefault="007F0247" w:rsidP="000F65C3">
            <w:pPr>
              <w:jc w:val="both"/>
              <w:rPr>
                <w:sz w:val="20"/>
                <w:szCs w:val="20"/>
              </w:rPr>
            </w:pPr>
            <w:r>
              <w:rPr>
                <w:sz w:val="20"/>
                <w:szCs w:val="20"/>
              </w:rPr>
              <w:t xml:space="preserve">MEB Executive Management/Corporate Services </w:t>
            </w:r>
          </w:p>
        </w:tc>
        <w:tc>
          <w:tcPr>
            <w:tcW w:w="2773" w:type="dxa"/>
          </w:tcPr>
          <w:p w:rsidR="007F0247" w:rsidRPr="00B5610C" w:rsidRDefault="007F0247" w:rsidP="000F65C3">
            <w:pPr>
              <w:jc w:val="center"/>
              <w:rPr>
                <w:sz w:val="20"/>
                <w:szCs w:val="20"/>
              </w:rPr>
            </w:pPr>
            <w:r>
              <w:rPr>
                <w:sz w:val="20"/>
                <w:szCs w:val="20"/>
              </w:rPr>
              <w:t>12</w:t>
            </w:r>
          </w:p>
        </w:tc>
        <w:tc>
          <w:tcPr>
            <w:tcW w:w="2773" w:type="dxa"/>
          </w:tcPr>
          <w:p w:rsidR="007F0247" w:rsidRPr="00B5610C" w:rsidRDefault="007F0247" w:rsidP="000F65C3">
            <w:pPr>
              <w:jc w:val="right"/>
              <w:rPr>
                <w:sz w:val="20"/>
                <w:szCs w:val="20"/>
              </w:rPr>
            </w:pPr>
            <w:r>
              <w:rPr>
                <w:sz w:val="20"/>
                <w:szCs w:val="20"/>
              </w:rPr>
              <w:t>144.3</w:t>
            </w:r>
          </w:p>
        </w:tc>
      </w:tr>
      <w:tr w:rsidR="007F0247" w:rsidTr="007F0247">
        <w:trPr>
          <w:jc w:val="center"/>
        </w:trPr>
        <w:tc>
          <w:tcPr>
            <w:tcW w:w="3696" w:type="dxa"/>
          </w:tcPr>
          <w:p w:rsidR="007F0247" w:rsidRPr="00B5610C" w:rsidRDefault="007F0247" w:rsidP="000F65C3">
            <w:pPr>
              <w:jc w:val="both"/>
              <w:rPr>
                <w:sz w:val="20"/>
                <w:szCs w:val="20"/>
              </w:rPr>
            </w:pPr>
            <w:r>
              <w:rPr>
                <w:sz w:val="20"/>
                <w:szCs w:val="20"/>
              </w:rPr>
              <w:t>MEC School Education</w:t>
            </w:r>
          </w:p>
        </w:tc>
        <w:tc>
          <w:tcPr>
            <w:tcW w:w="2773" w:type="dxa"/>
          </w:tcPr>
          <w:p w:rsidR="007F0247" w:rsidRPr="00B5610C" w:rsidRDefault="007F0247" w:rsidP="000F65C3">
            <w:pPr>
              <w:jc w:val="center"/>
              <w:rPr>
                <w:sz w:val="20"/>
                <w:szCs w:val="20"/>
              </w:rPr>
            </w:pPr>
            <w:r>
              <w:rPr>
                <w:sz w:val="20"/>
                <w:szCs w:val="20"/>
              </w:rPr>
              <w:t>46</w:t>
            </w:r>
          </w:p>
        </w:tc>
        <w:tc>
          <w:tcPr>
            <w:tcW w:w="2773" w:type="dxa"/>
          </w:tcPr>
          <w:p w:rsidR="007F0247" w:rsidRPr="00B5610C" w:rsidRDefault="007F0247" w:rsidP="000F65C3">
            <w:pPr>
              <w:jc w:val="right"/>
              <w:rPr>
                <w:sz w:val="20"/>
                <w:szCs w:val="20"/>
              </w:rPr>
            </w:pPr>
            <w:r>
              <w:rPr>
                <w:sz w:val="20"/>
                <w:szCs w:val="20"/>
              </w:rPr>
              <w:t>3605.1</w:t>
            </w:r>
          </w:p>
        </w:tc>
      </w:tr>
      <w:tr w:rsidR="007F0247" w:rsidTr="007F0247">
        <w:trPr>
          <w:jc w:val="center"/>
        </w:trPr>
        <w:tc>
          <w:tcPr>
            <w:tcW w:w="3696" w:type="dxa"/>
          </w:tcPr>
          <w:p w:rsidR="007F0247" w:rsidRPr="00B5610C" w:rsidRDefault="007F0247" w:rsidP="000F65C3">
            <w:pPr>
              <w:jc w:val="both"/>
              <w:rPr>
                <w:sz w:val="20"/>
                <w:szCs w:val="20"/>
              </w:rPr>
            </w:pPr>
            <w:r>
              <w:rPr>
                <w:sz w:val="20"/>
                <w:szCs w:val="20"/>
              </w:rPr>
              <w:t>MED/MEE - Codes not used at this level</w:t>
            </w:r>
          </w:p>
        </w:tc>
        <w:tc>
          <w:tcPr>
            <w:tcW w:w="2773" w:type="dxa"/>
          </w:tcPr>
          <w:p w:rsidR="007F0247" w:rsidRPr="00B5610C" w:rsidRDefault="007F0247" w:rsidP="000F65C3">
            <w:pPr>
              <w:jc w:val="center"/>
              <w:rPr>
                <w:sz w:val="20"/>
                <w:szCs w:val="20"/>
              </w:rPr>
            </w:pPr>
            <w:r>
              <w:rPr>
                <w:sz w:val="20"/>
                <w:szCs w:val="20"/>
              </w:rPr>
              <w:t>-</w:t>
            </w:r>
          </w:p>
        </w:tc>
        <w:tc>
          <w:tcPr>
            <w:tcW w:w="2773" w:type="dxa"/>
          </w:tcPr>
          <w:p w:rsidR="007F0247" w:rsidRPr="00B5610C" w:rsidRDefault="007F0247" w:rsidP="000F65C3">
            <w:pPr>
              <w:jc w:val="right"/>
              <w:rPr>
                <w:sz w:val="20"/>
                <w:szCs w:val="20"/>
              </w:rPr>
            </w:pPr>
            <w:r>
              <w:rPr>
                <w:sz w:val="20"/>
                <w:szCs w:val="20"/>
              </w:rPr>
              <w:t>-</w:t>
            </w:r>
          </w:p>
        </w:tc>
      </w:tr>
      <w:tr w:rsidR="007F0247" w:rsidTr="007F0247">
        <w:trPr>
          <w:jc w:val="center"/>
        </w:trPr>
        <w:tc>
          <w:tcPr>
            <w:tcW w:w="3696" w:type="dxa"/>
          </w:tcPr>
          <w:p w:rsidR="007F0247" w:rsidRDefault="007F0247" w:rsidP="000F65C3">
            <w:pPr>
              <w:jc w:val="both"/>
              <w:rPr>
                <w:sz w:val="20"/>
                <w:szCs w:val="20"/>
              </w:rPr>
            </w:pPr>
            <w:r>
              <w:rPr>
                <w:sz w:val="20"/>
                <w:szCs w:val="20"/>
              </w:rPr>
              <w:t>MEF Teaching Service Commission</w:t>
            </w:r>
          </w:p>
        </w:tc>
        <w:tc>
          <w:tcPr>
            <w:tcW w:w="2773" w:type="dxa"/>
          </w:tcPr>
          <w:p w:rsidR="007F0247" w:rsidRPr="00B5610C" w:rsidRDefault="007F0247" w:rsidP="000F65C3">
            <w:pPr>
              <w:jc w:val="center"/>
              <w:rPr>
                <w:sz w:val="20"/>
                <w:szCs w:val="20"/>
              </w:rPr>
            </w:pPr>
            <w:r>
              <w:rPr>
                <w:sz w:val="20"/>
                <w:szCs w:val="20"/>
              </w:rPr>
              <w:t>1</w:t>
            </w:r>
          </w:p>
        </w:tc>
        <w:tc>
          <w:tcPr>
            <w:tcW w:w="2773" w:type="dxa"/>
          </w:tcPr>
          <w:p w:rsidR="007F0247" w:rsidRPr="00B5610C" w:rsidRDefault="007F0247" w:rsidP="000F65C3">
            <w:pPr>
              <w:jc w:val="right"/>
              <w:rPr>
                <w:sz w:val="20"/>
                <w:szCs w:val="20"/>
              </w:rPr>
            </w:pPr>
            <w:r>
              <w:rPr>
                <w:sz w:val="20"/>
                <w:szCs w:val="20"/>
              </w:rPr>
              <w:t>107.7</w:t>
            </w:r>
          </w:p>
        </w:tc>
      </w:tr>
    </w:tbl>
    <w:p w:rsidR="007F0247" w:rsidRDefault="007F0247" w:rsidP="007F0247">
      <w:pPr>
        <w:jc w:val="both"/>
      </w:pPr>
    </w:p>
    <w:p w:rsidR="007F0247" w:rsidRDefault="007F0247" w:rsidP="00CE4350">
      <w:pPr>
        <w:pStyle w:val="ListParagraph"/>
        <w:numPr>
          <w:ilvl w:val="0"/>
          <w:numId w:val="84"/>
        </w:numPr>
        <w:jc w:val="both"/>
      </w:pPr>
      <w:r>
        <w:t xml:space="preserve">Some 92% of </w:t>
      </w:r>
      <w:proofErr w:type="spellStart"/>
      <w:r>
        <w:t>MoE’s</w:t>
      </w:r>
      <w:proofErr w:type="spellEnd"/>
      <w:r>
        <w:t xml:space="preserve"> total </w:t>
      </w:r>
      <w:proofErr w:type="spellStart"/>
      <w:r>
        <w:t>GoV</w:t>
      </w:r>
      <w:proofErr w:type="spellEnd"/>
      <w:r>
        <w:t>-financed expenditure is allocated to a single “program” (School Education).</w:t>
      </w:r>
    </w:p>
    <w:p w:rsidR="007F0247" w:rsidRDefault="007F0247" w:rsidP="00CE4350">
      <w:pPr>
        <w:pStyle w:val="ListParagraph"/>
        <w:numPr>
          <w:ilvl w:val="0"/>
          <w:numId w:val="84"/>
        </w:numPr>
        <w:jc w:val="both"/>
      </w:pPr>
      <w:r>
        <w:t>Individual cost centres vary in significance from (for example) ‘54EK School Solar Panel Maintenance’, 2012 budget V</w:t>
      </w:r>
      <w:r w:rsidR="008C4967">
        <w:t>T0</w:t>
      </w:r>
      <w:r>
        <w:t>.74 million, to ‘MEFB Teaching Service Commission’, 2012 budget V</w:t>
      </w:r>
      <w:r w:rsidR="008C4967">
        <w:t>T</w:t>
      </w:r>
      <w:r>
        <w:t>108 million.</w:t>
      </w:r>
    </w:p>
    <w:p w:rsidR="007F0247" w:rsidRDefault="007F0247" w:rsidP="00CE4350">
      <w:pPr>
        <w:pStyle w:val="ListParagraph"/>
        <w:numPr>
          <w:ilvl w:val="0"/>
          <w:numId w:val="84"/>
        </w:numPr>
        <w:jc w:val="both"/>
      </w:pPr>
      <w:r>
        <w:t xml:space="preserve">Both ‘cost centres’ and ‘programs’ are essentially aligned with the Ministry’s organisation structure - neither </w:t>
      </w:r>
      <w:proofErr w:type="gramStart"/>
      <w:r>
        <w:t>are</w:t>
      </w:r>
      <w:proofErr w:type="gramEnd"/>
      <w:r>
        <w:t xml:space="preserve"> aligned with ‘programs’ in the real sense - a set of related activities directed towards a common objective.</w:t>
      </w:r>
    </w:p>
    <w:p w:rsidR="007F0247" w:rsidRDefault="007F0247" w:rsidP="007F0247">
      <w:pPr>
        <w:jc w:val="both"/>
      </w:pPr>
    </w:p>
    <w:p w:rsidR="007F0247" w:rsidRDefault="007F0247" w:rsidP="007F0247">
      <w:pPr>
        <w:jc w:val="both"/>
      </w:pPr>
      <w:r>
        <w:t xml:space="preserve">The consequence of this is that is difficult to align and consolidate, for budgeting and reporting purposes, </w:t>
      </w:r>
      <w:proofErr w:type="spellStart"/>
      <w:r>
        <w:t>GoV</w:t>
      </w:r>
      <w:proofErr w:type="spellEnd"/>
      <w:r>
        <w:t xml:space="preserve">-funding and development partner funding of the education sector against expenditure priorities and outputs/outcomes </w:t>
      </w:r>
      <w:r w:rsidR="008F357B">
        <w:t>planned for the education sub-sectors.</w:t>
      </w:r>
    </w:p>
    <w:p w:rsidR="007F0247" w:rsidRDefault="007F0247" w:rsidP="007F0247">
      <w:pPr>
        <w:jc w:val="both"/>
      </w:pPr>
    </w:p>
    <w:p w:rsidR="007F0247" w:rsidRDefault="007F0247" w:rsidP="007F0247">
      <w:pPr>
        <w:jc w:val="both"/>
      </w:pPr>
      <w:r>
        <w:t xml:space="preserve">Many factors influence whether and over what time frame it is sensible to contemplate the introduction of a meaningful </w:t>
      </w:r>
      <w:r w:rsidR="008F357B">
        <w:t xml:space="preserve">program planning and budgeting system </w:t>
      </w:r>
      <w:r>
        <w:t xml:space="preserve">that systematically plans and manages expenditure inputs from all sources by reference to planned/actual outputs and performance targets.  Account code structures and the capacity of the associated </w:t>
      </w:r>
      <w:r w:rsidR="008F357B">
        <w:t>financial management information system t</w:t>
      </w:r>
      <w:r>
        <w:t xml:space="preserve">o support them are but one influence.  But if it were agreed that </w:t>
      </w:r>
      <w:proofErr w:type="spellStart"/>
      <w:r>
        <w:t>MoE’s</w:t>
      </w:r>
      <w:proofErr w:type="spellEnd"/>
      <w:r>
        <w:t xml:space="preserve"> current account code structure is incapable of supporting </w:t>
      </w:r>
      <w:r w:rsidR="008F357B">
        <w:t xml:space="preserve">program-based budgeting, monitoring and evaluation then </w:t>
      </w:r>
      <w:r>
        <w:t>first steps would be to:</w:t>
      </w:r>
    </w:p>
    <w:p w:rsidR="007F0247" w:rsidRDefault="007F0247" w:rsidP="007F0247">
      <w:pPr>
        <w:jc w:val="both"/>
      </w:pPr>
    </w:p>
    <w:p w:rsidR="007F0247" w:rsidRDefault="007F0247" w:rsidP="00CE4350">
      <w:pPr>
        <w:pStyle w:val="ListParagraph"/>
        <w:numPr>
          <w:ilvl w:val="0"/>
          <w:numId w:val="85"/>
        </w:numPr>
        <w:jc w:val="both"/>
      </w:pPr>
      <w:r>
        <w:t xml:space="preserve">map a meaningful financial program structure reflecting </w:t>
      </w:r>
      <w:r w:rsidR="00E076C1">
        <w:t>sub-sector p</w:t>
      </w:r>
      <w:r>
        <w:t>riorities;</w:t>
      </w:r>
    </w:p>
    <w:p w:rsidR="007F0247" w:rsidRDefault="007F0247" w:rsidP="00CE4350">
      <w:pPr>
        <w:pStyle w:val="ListParagraph"/>
        <w:numPr>
          <w:ilvl w:val="0"/>
          <w:numId w:val="85"/>
        </w:numPr>
        <w:jc w:val="both"/>
      </w:pPr>
      <w:r>
        <w:t>map an account code structure reflecting (a);</w:t>
      </w:r>
    </w:p>
    <w:p w:rsidR="007F0247" w:rsidRDefault="007F0247" w:rsidP="00CE4350">
      <w:pPr>
        <w:pStyle w:val="ListParagraph"/>
        <w:numPr>
          <w:ilvl w:val="0"/>
          <w:numId w:val="85"/>
        </w:numPr>
        <w:jc w:val="both"/>
      </w:pPr>
      <w:proofErr w:type="gramStart"/>
      <w:r>
        <w:t>examine</w:t>
      </w:r>
      <w:proofErr w:type="gramEnd"/>
      <w:r>
        <w:t xml:space="preserve"> </w:t>
      </w:r>
      <w:proofErr w:type="spellStart"/>
      <w:r>
        <w:t>MoE’s</w:t>
      </w:r>
      <w:proofErr w:type="spellEnd"/>
      <w:r>
        <w:t xml:space="preserve"> willingness and </w:t>
      </w:r>
      <w:proofErr w:type="spellStart"/>
      <w:r>
        <w:t>Smartstream’s</w:t>
      </w:r>
      <w:proofErr w:type="spellEnd"/>
      <w:r>
        <w:t xml:space="preserve"> capacity to migrate (or cross-talk) to a more meaningful program structure. </w:t>
      </w:r>
    </w:p>
    <w:p w:rsidR="007355F5" w:rsidRDefault="007355F5" w:rsidP="00F4727B">
      <w:pPr>
        <w:jc w:val="both"/>
        <w:rPr>
          <w:rFonts w:cs="Times New Roman"/>
          <w:szCs w:val="24"/>
        </w:rPr>
      </w:pPr>
    </w:p>
    <w:p w:rsidR="007355F5" w:rsidRDefault="007355F5" w:rsidP="00F4727B">
      <w:pPr>
        <w:jc w:val="both"/>
        <w:rPr>
          <w:rFonts w:cs="Times New Roman"/>
          <w:szCs w:val="24"/>
        </w:rPr>
        <w:sectPr w:rsidR="007355F5" w:rsidSect="006425FC">
          <w:pgSz w:w="11906" w:h="16838" w:code="9"/>
          <w:pgMar w:top="1134" w:right="1134" w:bottom="1134" w:left="1418" w:header="709" w:footer="709" w:gutter="0"/>
          <w:cols w:space="708"/>
          <w:docGrid w:linePitch="360"/>
        </w:sectPr>
      </w:pPr>
    </w:p>
    <w:p w:rsidR="00356D92" w:rsidRPr="00E30EA7" w:rsidRDefault="00877BF7" w:rsidP="005727F2">
      <w:pPr>
        <w:pStyle w:val="Heading1"/>
      </w:pPr>
      <w:bookmarkStart w:id="317" w:name="_Toc343257332"/>
      <w:bookmarkStart w:id="318" w:name="_Toc343257438"/>
      <w:bookmarkStart w:id="319" w:name="_Toc348711359"/>
      <w:r w:rsidRPr="00E30EA7">
        <w:lastRenderedPageBreak/>
        <w:t>Annex 1: Abbreviated Terms of Reference</w:t>
      </w:r>
      <w:bookmarkEnd w:id="317"/>
      <w:bookmarkEnd w:id="318"/>
      <w:bookmarkEnd w:id="319"/>
    </w:p>
    <w:p w:rsidR="00EC5030" w:rsidRDefault="00EC5030" w:rsidP="00877BF7">
      <w:pPr>
        <w:jc w:val="both"/>
        <w:rPr>
          <w:rFonts w:cs="Times New Roman"/>
          <w:szCs w:val="24"/>
          <w:lang w:val="en-GB"/>
        </w:rPr>
      </w:pPr>
    </w:p>
    <w:p w:rsidR="00877BF7" w:rsidRPr="0027480F" w:rsidRDefault="00877BF7" w:rsidP="00877BF7">
      <w:pPr>
        <w:jc w:val="both"/>
        <w:rPr>
          <w:rFonts w:cs="Times New Roman"/>
          <w:szCs w:val="24"/>
          <w:lang w:val="en-GB"/>
        </w:rPr>
      </w:pPr>
      <w:r w:rsidRPr="0027480F">
        <w:rPr>
          <w:rFonts w:cs="Times New Roman"/>
          <w:szCs w:val="24"/>
          <w:lang w:val="en-GB"/>
        </w:rPr>
        <w:t>The final report should include:</w:t>
      </w:r>
    </w:p>
    <w:p w:rsidR="00877BF7" w:rsidRPr="0027480F" w:rsidRDefault="00877BF7" w:rsidP="00877BF7">
      <w:pPr>
        <w:jc w:val="both"/>
        <w:rPr>
          <w:rFonts w:cs="Times New Roman"/>
          <w:szCs w:val="24"/>
          <w:lang w:val="en-GB"/>
        </w:rPr>
      </w:pPr>
    </w:p>
    <w:p w:rsidR="00877BF7" w:rsidRDefault="00877BF7" w:rsidP="00877BF7">
      <w:pPr>
        <w:jc w:val="both"/>
        <w:rPr>
          <w:rFonts w:cs="Times New Roman"/>
          <w:b/>
          <w:bCs/>
          <w:szCs w:val="24"/>
          <w:lang w:val="en-GB"/>
        </w:rPr>
      </w:pPr>
      <w:r w:rsidRPr="0027480F">
        <w:rPr>
          <w:rFonts w:cs="Times New Roman"/>
          <w:b/>
          <w:bCs/>
          <w:szCs w:val="24"/>
          <w:lang w:val="en-GB"/>
        </w:rPr>
        <w:t>PART I – Introduction and Sector Overview</w:t>
      </w:r>
    </w:p>
    <w:p w:rsidR="00877BF7" w:rsidRPr="0027480F" w:rsidRDefault="00877BF7" w:rsidP="00877BF7">
      <w:pPr>
        <w:jc w:val="both"/>
        <w:rPr>
          <w:rFonts w:cs="Times New Roman"/>
          <w:b/>
          <w:bCs/>
          <w:szCs w:val="24"/>
          <w:lang w:val="en-GB"/>
        </w:rPr>
      </w:pPr>
    </w:p>
    <w:p w:rsidR="00877BF7" w:rsidRDefault="00877BF7" w:rsidP="00877BF7">
      <w:pPr>
        <w:jc w:val="both"/>
        <w:rPr>
          <w:rFonts w:cs="Times New Roman"/>
          <w:szCs w:val="24"/>
          <w:lang w:val="en-GB"/>
        </w:rPr>
      </w:pPr>
      <w:r w:rsidRPr="0027480F">
        <w:rPr>
          <w:rFonts w:cs="Times New Roman"/>
          <w:szCs w:val="24"/>
          <w:lang w:val="en-GB"/>
        </w:rPr>
        <w:t>This section should set the context and the scope of the PER and include:</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2"/>
        </w:numPr>
        <w:spacing w:after="200" w:line="276" w:lineRule="auto"/>
        <w:jc w:val="both"/>
        <w:rPr>
          <w:szCs w:val="24"/>
          <w:lang w:val="en-GB"/>
        </w:rPr>
      </w:pPr>
      <w:r w:rsidRPr="0027480F">
        <w:rPr>
          <w:szCs w:val="24"/>
          <w:lang w:val="en-GB"/>
        </w:rPr>
        <w:t>Institutional structure of the sector and responsibilities for expenditure allocation and management</w:t>
      </w:r>
    </w:p>
    <w:p w:rsidR="00877BF7" w:rsidRPr="0027480F" w:rsidRDefault="00877BF7" w:rsidP="00CE4350">
      <w:pPr>
        <w:pStyle w:val="ListParagraph"/>
        <w:numPr>
          <w:ilvl w:val="0"/>
          <w:numId w:val="92"/>
        </w:numPr>
        <w:spacing w:after="200" w:line="276" w:lineRule="auto"/>
        <w:jc w:val="both"/>
        <w:rPr>
          <w:szCs w:val="24"/>
          <w:lang w:val="en-GB"/>
        </w:rPr>
      </w:pPr>
      <w:r w:rsidRPr="0027480F">
        <w:rPr>
          <w:szCs w:val="24"/>
          <w:lang w:val="en-GB"/>
        </w:rPr>
        <w:t>Current Education sector priorities (the stated high-level strategies/objectives), indicators and perceived challenges</w:t>
      </w:r>
    </w:p>
    <w:p w:rsidR="00877BF7" w:rsidRPr="0027480F" w:rsidRDefault="00877BF7" w:rsidP="00CE4350">
      <w:pPr>
        <w:pStyle w:val="ListParagraph"/>
        <w:numPr>
          <w:ilvl w:val="0"/>
          <w:numId w:val="92"/>
        </w:numPr>
        <w:spacing w:after="200" w:line="276" w:lineRule="auto"/>
        <w:jc w:val="both"/>
        <w:rPr>
          <w:szCs w:val="24"/>
          <w:lang w:val="en-GB"/>
        </w:rPr>
      </w:pPr>
      <w:r w:rsidRPr="0027480F">
        <w:rPr>
          <w:szCs w:val="24"/>
          <w:lang w:val="en-GB"/>
        </w:rPr>
        <w:t>Trends in policy in the sector</w:t>
      </w:r>
    </w:p>
    <w:p w:rsidR="00877BF7" w:rsidRPr="0027480F" w:rsidRDefault="00877BF7" w:rsidP="00CE4350">
      <w:pPr>
        <w:pStyle w:val="ListParagraph"/>
        <w:numPr>
          <w:ilvl w:val="0"/>
          <w:numId w:val="92"/>
        </w:numPr>
        <w:spacing w:after="200" w:line="276" w:lineRule="auto"/>
        <w:jc w:val="both"/>
        <w:rPr>
          <w:szCs w:val="24"/>
          <w:lang w:val="en-GB"/>
        </w:rPr>
      </w:pPr>
      <w:r w:rsidRPr="0027480F">
        <w:rPr>
          <w:szCs w:val="24"/>
          <w:lang w:val="en-GB"/>
        </w:rPr>
        <w:t>Status of sector strategy development and associated analytical work</w:t>
      </w:r>
    </w:p>
    <w:p w:rsidR="00877BF7" w:rsidRDefault="00877BF7" w:rsidP="00877BF7">
      <w:pPr>
        <w:jc w:val="both"/>
        <w:rPr>
          <w:rFonts w:cs="Times New Roman"/>
          <w:b/>
          <w:bCs/>
          <w:szCs w:val="24"/>
          <w:lang w:val="en-GB"/>
        </w:rPr>
      </w:pPr>
      <w:r w:rsidRPr="0027480F">
        <w:rPr>
          <w:rFonts w:cs="Times New Roman"/>
          <w:b/>
          <w:bCs/>
          <w:szCs w:val="24"/>
          <w:lang w:val="en-GB"/>
        </w:rPr>
        <w:t>PART II – Analysis of Public Expenditure in the Education Sector</w:t>
      </w:r>
    </w:p>
    <w:p w:rsidR="00877BF7" w:rsidRPr="0027480F" w:rsidRDefault="00877BF7" w:rsidP="00877BF7">
      <w:pPr>
        <w:jc w:val="both"/>
        <w:rPr>
          <w:rFonts w:cs="Times New Roman"/>
          <w:b/>
          <w:bCs/>
          <w:szCs w:val="24"/>
          <w:lang w:val="en-GB"/>
        </w:rPr>
      </w:pPr>
    </w:p>
    <w:p w:rsidR="00877BF7" w:rsidRDefault="00877BF7" w:rsidP="00877BF7">
      <w:pPr>
        <w:jc w:val="both"/>
        <w:rPr>
          <w:rFonts w:cs="Times New Roman"/>
          <w:szCs w:val="24"/>
          <w:lang w:val="en-GB"/>
        </w:rPr>
      </w:pPr>
      <w:r w:rsidRPr="0027480F">
        <w:rPr>
          <w:rFonts w:cs="Times New Roman"/>
          <w:szCs w:val="24"/>
          <w:lang w:val="en-GB"/>
        </w:rPr>
        <w:t>The work should then focus on four areas which will constitute the core of the PER. For clarity, these should be examined separately.</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8"/>
        </w:numPr>
        <w:spacing w:after="200" w:line="276" w:lineRule="auto"/>
        <w:jc w:val="both"/>
        <w:rPr>
          <w:i/>
          <w:iCs/>
          <w:szCs w:val="24"/>
          <w:lang w:val="en-GB"/>
        </w:rPr>
      </w:pPr>
      <w:r w:rsidRPr="0027480F">
        <w:rPr>
          <w:i/>
          <w:iCs/>
          <w:szCs w:val="24"/>
          <w:lang w:val="en-GB"/>
        </w:rPr>
        <w:t>Resource Allocation</w:t>
      </w:r>
    </w:p>
    <w:p w:rsidR="00877BF7" w:rsidRDefault="00877BF7" w:rsidP="00877BF7">
      <w:pPr>
        <w:jc w:val="both"/>
        <w:rPr>
          <w:rFonts w:cs="Times New Roman"/>
          <w:szCs w:val="24"/>
          <w:lang w:val="en-GB"/>
        </w:rPr>
      </w:pPr>
      <w:r w:rsidRPr="0027480F">
        <w:rPr>
          <w:rFonts w:cs="Times New Roman"/>
          <w:szCs w:val="24"/>
          <w:lang w:val="en-GB"/>
        </w:rPr>
        <w:t>Short analysis of allocation (and trends in allocations) of overall resources to Education sector:</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1"/>
          <w:numId w:val="93"/>
        </w:numPr>
        <w:spacing w:after="200" w:line="276" w:lineRule="auto"/>
        <w:jc w:val="both"/>
        <w:rPr>
          <w:szCs w:val="24"/>
          <w:lang w:val="en-GB"/>
        </w:rPr>
      </w:pPr>
      <w:r w:rsidRPr="0027480F">
        <w:rPr>
          <w:szCs w:val="24"/>
          <w:lang w:val="en-GB"/>
        </w:rPr>
        <w:t>Vis-à-vis other sectors</w:t>
      </w:r>
    </w:p>
    <w:p w:rsidR="00877BF7" w:rsidRPr="0027480F" w:rsidRDefault="00877BF7" w:rsidP="00CE4350">
      <w:pPr>
        <w:pStyle w:val="ListParagraph"/>
        <w:numPr>
          <w:ilvl w:val="1"/>
          <w:numId w:val="93"/>
        </w:numPr>
        <w:spacing w:after="200" w:line="276" w:lineRule="auto"/>
        <w:jc w:val="both"/>
        <w:rPr>
          <w:szCs w:val="24"/>
          <w:lang w:val="en-GB"/>
        </w:rPr>
      </w:pPr>
      <w:r w:rsidRPr="0027480F">
        <w:rPr>
          <w:szCs w:val="24"/>
          <w:lang w:val="en-GB"/>
        </w:rPr>
        <w:t>Vis-à-vis international and regional norms and averages</w:t>
      </w:r>
    </w:p>
    <w:p w:rsidR="00877BF7" w:rsidRPr="0027480F" w:rsidRDefault="00877BF7" w:rsidP="00CE4350">
      <w:pPr>
        <w:pStyle w:val="ListParagraph"/>
        <w:numPr>
          <w:ilvl w:val="1"/>
          <w:numId w:val="93"/>
        </w:numPr>
        <w:spacing w:after="200" w:line="276" w:lineRule="auto"/>
        <w:jc w:val="both"/>
        <w:rPr>
          <w:szCs w:val="24"/>
          <w:lang w:val="en-GB"/>
        </w:rPr>
      </w:pPr>
      <w:r w:rsidRPr="0027480F">
        <w:rPr>
          <w:szCs w:val="24"/>
          <w:lang w:val="en-GB"/>
        </w:rPr>
        <w:t xml:space="preserve">Vis-à-vis the balance between primary, secondary and tertiary </w:t>
      </w:r>
      <w:proofErr w:type="spellStart"/>
      <w:r w:rsidRPr="0027480F">
        <w:rPr>
          <w:szCs w:val="24"/>
          <w:lang w:val="en-GB"/>
        </w:rPr>
        <w:t>etc</w:t>
      </w:r>
      <w:proofErr w:type="spellEnd"/>
    </w:p>
    <w:p w:rsidR="00877BF7" w:rsidRPr="0027480F" w:rsidRDefault="00877BF7" w:rsidP="00CE4350">
      <w:pPr>
        <w:pStyle w:val="ListParagraph"/>
        <w:numPr>
          <w:ilvl w:val="1"/>
          <w:numId w:val="93"/>
        </w:numPr>
        <w:spacing w:after="200" w:line="276" w:lineRule="auto"/>
        <w:jc w:val="both"/>
        <w:rPr>
          <w:szCs w:val="24"/>
          <w:lang w:val="en-GB"/>
        </w:rPr>
      </w:pPr>
      <w:r w:rsidRPr="0027480F">
        <w:rPr>
          <w:szCs w:val="24"/>
          <w:lang w:val="en-GB"/>
        </w:rPr>
        <w:t>In nominal, real and per capita terms</w:t>
      </w:r>
    </w:p>
    <w:p w:rsidR="00877BF7" w:rsidRDefault="00877BF7" w:rsidP="00877BF7">
      <w:pPr>
        <w:jc w:val="both"/>
        <w:rPr>
          <w:rFonts w:cs="Times New Roman"/>
          <w:szCs w:val="24"/>
          <w:lang w:val="en-GB"/>
        </w:rPr>
      </w:pPr>
      <w:r w:rsidRPr="0027480F">
        <w:rPr>
          <w:rFonts w:cs="Times New Roman"/>
          <w:szCs w:val="24"/>
          <w:lang w:val="en-GB"/>
        </w:rPr>
        <w:t>In depth analysis of resources allocated to Education sector: Is the intra-</w:t>
      </w:r>
      <w:proofErr w:type="spellStart"/>
      <w:r w:rsidRPr="0027480F">
        <w:rPr>
          <w:rFonts w:cs="Times New Roman"/>
          <w:szCs w:val="24"/>
          <w:lang w:val="en-GB"/>
        </w:rPr>
        <w:t>sectoral</w:t>
      </w:r>
      <w:proofErr w:type="spellEnd"/>
      <w:r w:rsidRPr="0027480F">
        <w:rPr>
          <w:rFonts w:cs="Times New Roman"/>
          <w:szCs w:val="24"/>
          <w:lang w:val="en-GB"/>
        </w:rPr>
        <w:t xml:space="preserve"> allocation in line with strategic priorities?</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8"/>
        </w:numPr>
        <w:spacing w:after="200" w:line="276" w:lineRule="auto"/>
        <w:jc w:val="both"/>
        <w:rPr>
          <w:i/>
          <w:iCs/>
          <w:szCs w:val="24"/>
          <w:lang w:val="en-GB"/>
        </w:rPr>
      </w:pPr>
      <w:r w:rsidRPr="0027480F">
        <w:rPr>
          <w:i/>
          <w:iCs/>
          <w:szCs w:val="24"/>
          <w:lang w:val="en-GB"/>
        </w:rPr>
        <w:t>Resource Disbursement</w:t>
      </w:r>
    </w:p>
    <w:p w:rsidR="00877BF7" w:rsidRDefault="00877BF7" w:rsidP="00877BF7">
      <w:pPr>
        <w:jc w:val="both"/>
        <w:rPr>
          <w:rFonts w:cs="Times New Roman"/>
          <w:szCs w:val="24"/>
          <w:lang w:val="en-GB"/>
        </w:rPr>
      </w:pPr>
      <w:proofErr w:type="gramStart"/>
      <w:r w:rsidRPr="0027480F">
        <w:rPr>
          <w:rFonts w:cs="Times New Roman"/>
          <w:szCs w:val="24"/>
          <w:lang w:val="en-GB"/>
        </w:rPr>
        <w:t>In depth analysis, assessing whether the resources allocated actually reached the intended spending unit.</w:t>
      </w:r>
      <w:proofErr w:type="gramEnd"/>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8"/>
        </w:numPr>
        <w:spacing w:after="200" w:line="276" w:lineRule="auto"/>
        <w:jc w:val="both"/>
        <w:rPr>
          <w:i/>
          <w:iCs/>
          <w:szCs w:val="24"/>
          <w:lang w:val="en-GB"/>
        </w:rPr>
      </w:pPr>
      <w:r w:rsidRPr="0027480F">
        <w:rPr>
          <w:i/>
          <w:iCs/>
          <w:szCs w:val="24"/>
          <w:lang w:val="en-GB"/>
        </w:rPr>
        <w:t>Budget Execution</w:t>
      </w:r>
    </w:p>
    <w:p w:rsidR="00877BF7" w:rsidRDefault="00877BF7" w:rsidP="00877BF7">
      <w:pPr>
        <w:jc w:val="both"/>
        <w:rPr>
          <w:rFonts w:cs="Times New Roman"/>
          <w:szCs w:val="24"/>
          <w:lang w:val="en-GB"/>
        </w:rPr>
      </w:pPr>
      <w:r w:rsidRPr="0027480F">
        <w:rPr>
          <w:rFonts w:cs="Times New Roman"/>
          <w:szCs w:val="24"/>
          <w:lang w:val="en-GB"/>
        </w:rPr>
        <w:t>In depth analysis, assessing whether the spending units succeed in executing the budget they received.</w:t>
      </w:r>
    </w:p>
    <w:p w:rsidR="00877BF7" w:rsidRPr="0027480F" w:rsidRDefault="00877BF7" w:rsidP="00877BF7">
      <w:pPr>
        <w:jc w:val="both"/>
        <w:rPr>
          <w:rFonts w:cs="Times New Roman"/>
          <w:szCs w:val="24"/>
          <w:lang w:val="en-GB"/>
        </w:rPr>
      </w:pPr>
    </w:p>
    <w:p w:rsidR="00877BF7" w:rsidRDefault="00877BF7" w:rsidP="00877BF7">
      <w:pPr>
        <w:jc w:val="both"/>
        <w:rPr>
          <w:rFonts w:cs="Times New Roman"/>
          <w:szCs w:val="24"/>
          <w:lang w:val="en-GB"/>
        </w:rPr>
      </w:pPr>
      <w:r w:rsidRPr="0027480F">
        <w:rPr>
          <w:rFonts w:cs="Times New Roman"/>
          <w:szCs w:val="24"/>
          <w:lang w:val="en-GB"/>
        </w:rPr>
        <w:t>These analyses in (ii) and (iii) will include an examination of the management of procurement, payroll and allowances.</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8"/>
        </w:numPr>
        <w:spacing w:after="200" w:line="276" w:lineRule="auto"/>
        <w:jc w:val="both"/>
        <w:rPr>
          <w:i/>
          <w:iCs/>
          <w:szCs w:val="24"/>
          <w:lang w:val="en-GB"/>
        </w:rPr>
      </w:pPr>
      <w:r w:rsidRPr="0027480F">
        <w:rPr>
          <w:i/>
          <w:iCs/>
          <w:szCs w:val="24"/>
          <w:lang w:val="en-GB"/>
        </w:rPr>
        <w:t>Impact of expenditures</w:t>
      </w:r>
    </w:p>
    <w:p w:rsidR="00877BF7" w:rsidRDefault="00877BF7" w:rsidP="00877BF7">
      <w:pPr>
        <w:jc w:val="both"/>
        <w:rPr>
          <w:rFonts w:cs="Times New Roman"/>
          <w:szCs w:val="24"/>
          <w:lang w:val="en-GB"/>
        </w:rPr>
      </w:pPr>
      <w:r w:rsidRPr="0027480F">
        <w:rPr>
          <w:rFonts w:cs="Times New Roman"/>
          <w:szCs w:val="24"/>
          <w:lang w:val="en-GB"/>
        </w:rPr>
        <w:t xml:space="preserve">In depth analysis of whether actual expenditures had the intended impact (compared with strategic priorities, programmes, sub-programmes and activities). </w:t>
      </w:r>
      <w:proofErr w:type="gramStart"/>
      <w:r w:rsidRPr="0027480F">
        <w:rPr>
          <w:rFonts w:cs="Times New Roman"/>
          <w:szCs w:val="24"/>
          <w:lang w:val="en-GB"/>
        </w:rPr>
        <w:t xml:space="preserve">Analysis of who benefits from public services provided, by (where possible) geographical distribution (province, rural/urban), </w:t>
      </w:r>
      <w:r w:rsidRPr="0027480F">
        <w:rPr>
          <w:rFonts w:cs="Times New Roman"/>
          <w:szCs w:val="24"/>
          <w:lang w:val="en-GB"/>
        </w:rPr>
        <w:lastRenderedPageBreak/>
        <w:t>gender, income level.</w:t>
      </w:r>
      <w:proofErr w:type="gramEnd"/>
      <w:r w:rsidRPr="0027480F">
        <w:rPr>
          <w:rFonts w:cs="Times New Roman"/>
          <w:szCs w:val="24"/>
          <w:lang w:val="en-GB"/>
        </w:rPr>
        <w:t xml:space="preserve">  Where feasible, this would be complemented by an estimate of the costs per client at different levels of service (primary, secondary, tertiary </w:t>
      </w:r>
      <w:proofErr w:type="spellStart"/>
      <w:r w:rsidRPr="0027480F">
        <w:rPr>
          <w:rFonts w:cs="Times New Roman"/>
          <w:szCs w:val="24"/>
          <w:lang w:val="en-GB"/>
        </w:rPr>
        <w:t>etc</w:t>
      </w:r>
      <w:proofErr w:type="spellEnd"/>
      <w:r w:rsidRPr="0027480F">
        <w:rPr>
          <w:rFonts w:cs="Times New Roman"/>
          <w:szCs w:val="24"/>
          <w:lang w:val="en-GB"/>
        </w:rPr>
        <w:t>).</w:t>
      </w:r>
      <w:r w:rsidRPr="0027480F">
        <w:rPr>
          <w:rStyle w:val="FootnoteReference"/>
          <w:rFonts w:cs="Times New Roman"/>
          <w:szCs w:val="24"/>
          <w:lang w:val="en-GB"/>
        </w:rPr>
        <w:footnoteReference w:id="85"/>
      </w:r>
    </w:p>
    <w:p w:rsidR="00877BF7" w:rsidRPr="0027480F" w:rsidRDefault="00877BF7" w:rsidP="00877BF7">
      <w:pPr>
        <w:jc w:val="both"/>
        <w:rPr>
          <w:rFonts w:cs="Times New Roman"/>
          <w:szCs w:val="24"/>
          <w:lang w:val="en-GB"/>
        </w:rPr>
      </w:pPr>
    </w:p>
    <w:p w:rsidR="00877BF7" w:rsidRDefault="00877BF7" w:rsidP="00877BF7">
      <w:pPr>
        <w:jc w:val="both"/>
        <w:rPr>
          <w:rFonts w:cs="Times New Roman"/>
          <w:szCs w:val="24"/>
          <w:lang w:val="en-GB"/>
        </w:rPr>
      </w:pPr>
      <w:r w:rsidRPr="0027480F">
        <w:rPr>
          <w:rFonts w:cs="Times New Roman"/>
          <w:szCs w:val="24"/>
          <w:lang w:val="en-GB"/>
        </w:rPr>
        <w:t>Intra-</w:t>
      </w:r>
      <w:proofErr w:type="spellStart"/>
      <w:r w:rsidRPr="0027480F">
        <w:rPr>
          <w:rFonts w:cs="Times New Roman"/>
          <w:szCs w:val="24"/>
          <w:lang w:val="en-GB"/>
        </w:rPr>
        <w:t>sectoral</w:t>
      </w:r>
      <w:proofErr w:type="spellEnd"/>
      <w:r w:rsidRPr="0027480F">
        <w:rPr>
          <w:rFonts w:cs="Times New Roman"/>
          <w:szCs w:val="24"/>
          <w:lang w:val="en-GB"/>
        </w:rPr>
        <w:t xml:space="preserve"> allocation, resource disbursement, budget execution and impact of expenditures should examine the available data and trends in the data over the past 3 years and should be broken down (where possible) by:</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4"/>
        </w:numPr>
        <w:spacing w:after="200" w:line="276" w:lineRule="auto"/>
        <w:jc w:val="both"/>
        <w:rPr>
          <w:szCs w:val="24"/>
          <w:lang w:val="en-GB"/>
        </w:rPr>
      </w:pPr>
      <w:r w:rsidRPr="0027480F">
        <w:rPr>
          <w:szCs w:val="24"/>
          <w:lang w:val="en-GB"/>
        </w:rPr>
        <w:t>Institution and administrative level (central Government, province level, district level)</w:t>
      </w:r>
    </w:p>
    <w:p w:rsidR="00877BF7" w:rsidRPr="0027480F" w:rsidRDefault="00877BF7" w:rsidP="00CE4350">
      <w:pPr>
        <w:pStyle w:val="ListParagraph"/>
        <w:numPr>
          <w:ilvl w:val="0"/>
          <w:numId w:val="94"/>
        </w:numPr>
        <w:spacing w:after="200" w:line="276" w:lineRule="auto"/>
        <w:jc w:val="both"/>
        <w:rPr>
          <w:szCs w:val="24"/>
          <w:lang w:val="en-GB"/>
        </w:rPr>
      </w:pPr>
      <w:r w:rsidRPr="0027480F">
        <w:rPr>
          <w:szCs w:val="24"/>
          <w:lang w:val="en-GB"/>
        </w:rPr>
        <w:t>Sub-sector/programme</w:t>
      </w:r>
    </w:p>
    <w:p w:rsidR="00877BF7" w:rsidRPr="0027480F" w:rsidRDefault="00877BF7" w:rsidP="00CE4350">
      <w:pPr>
        <w:pStyle w:val="ListParagraph"/>
        <w:numPr>
          <w:ilvl w:val="0"/>
          <w:numId w:val="94"/>
        </w:numPr>
        <w:spacing w:after="200" w:line="276" w:lineRule="auto"/>
        <w:jc w:val="both"/>
        <w:rPr>
          <w:szCs w:val="24"/>
          <w:lang w:val="en-GB"/>
        </w:rPr>
      </w:pPr>
      <w:r w:rsidRPr="0027480F">
        <w:rPr>
          <w:szCs w:val="24"/>
          <w:lang w:val="en-GB"/>
        </w:rPr>
        <w:t>Source of resources (central government, donors etc.)</w:t>
      </w:r>
    </w:p>
    <w:p w:rsidR="00877BF7" w:rsidRPr="0027480F" w:rsidRDefault="00877BF7" w:rsidP="00CE4350">
      <w:pPr>
        <w:pStyle w:val="ListParagraph"/>
        <w:numPr>
          <w:ilvl w:val="0"/>
          <w:numId w:val="94"/>
        </w:numPr>
        <w:spacing w:after="200" w:line="276" w:lineRule="auto"/>
        <w:jc w:val="both"/>
        <w:rPr>
          <w:szCs w:val="24"/>
          <w:lang w:val="en-GB"/>
        </w:rPr>
      </w:pPr>
      <w:r w:rsidRPr="0027480F">
        <w:rPr>
          <w:szCs w:val="24"/>
          <w:lang w:val="en-GB"/>
        </w:rPr>
        <w:t>Recurrent/development and type of expenditure (e.g. wages and salaries, goods and services, maintenance, construction etc.)</w:t>
      </w:r>
    </w:p>
    <w:p w:rsidR="00877BF7" w:rsidRPr="0027480F" w:rsidRDefault="00877BF7" w:rsidP="00CE4350">
      <w:pPr>
        <w:pStyle w:val="ListParagraph"/>
        <w:numPr>
          <w:ilvl w:val="0"/>
          <w:numId w:val="94"/>
        </w:numPr>
        <w:spacing w:after="200" w:line="276" w:lineRule="auto"/>
        <w:jc w:val="both"/>
        <w:rPr>
          <w:szCs w:val="24"/>
          <w:lang w:val="en-GB"/>
        </w:rPr>
      </w:pPr>
      <w:r w:rsidRPr="0027480F">
        <w:rPr>
          <w:szCs w:val="24"/>
          <w:lang w:val="en-GB"/>
        </w:rPr>
        <w:t>Geographical distribution (urban/rural, province)</w:t>
      </w:r>
    </w:p>
    <w:p w:rsidR="00877BF7" w:rsidRDefault="00877BF7" w:rsidP="00877BF7">
      <w:pPr>
        <w:jc w:val="both"/>
        <w:rPr>
          <w:rFonts w:cs="Times New Roman"/>
          <w:b/>
          <w:bCs/>
          <w:szCs w:val="24"/>
          <w:lang w:val="en-GB"/>
        </w:rPr>
      </w:pPr>
      <w:r w:rsidRPr="0027480F">
        <w:rPr>
          <w:rFonts w:cs="Times New Roman"/>
          <w:b/>
          <w:bCs/>
          <w:szCs w:val="24"/>
          <w:lang w:val="en-GB"/>
        </w:rPr>
        <w:t>Part III – Findings and Recommendations</w:t>
      </w:r>
    </w:p>
    <w:p w:rsidR="00877BF7" w:rsidRPr="0027480F" w:rsidRDefault="00877BF7" w:rsidP="00877BF7">
      <w:pPr>
        <w:jc w:val="both"/>
        <w:rPr>
          <w:rFonts w:cs="Times New Roman"/>
          <w:b/>
          <w:bCs/>
          <w:szCs w:val="24"/>
          <w:lang w:val="en-GB"/>
        </w:rPr>
      </w:pPr>
    </w:p>
    <w:p w:rsidR="00877BF7" w:rsidRDefault="00877BF7" w:rsidP="00877BF7">
      <w:pPr>
        <w:jc w:val="both"/>
        <w:rPr>
          <w:rFonts w:cs="Times New Roman"/>
          <w:szCs w:val="24"/>
          <w:lang w:val="en-GB"/>
        </w:rPr>
      </w:pPr>
      <w:r w:rsidRPr="0027480F">
        <w:rPr>
          <w:rFonts w:cs="Times New Roman"/>
          <w:szCs w:val="24"/>
          <w:lang w:val="en-GB"/>
        </w:rPr>
        <w:t>Following from an analysis of public expenditure in the Education sector, the report should draw conclusions on the effectiveness of public expenditure in the Education sector. It should then go on to assess the reasons behind any weaknesses identified. Proposals should relate directly to the four focus areas in Part II.</w:t>
      </w:r>
    </w:p>
    <w:p w:rsidR="00877BF7" w:rsidRPr="0027480F" w:rsidRDefault="00877BF7" w:rsidP="00877BF7">
      <w:pPr>
        <w:jc w:val="both"/>
        <w:rPr>
          <w:rFonts w:cs="Times New Roman"/>
          <w:szCs w:val="24"/>
          <w:lang w:val="en-GB"/>
        </w:rPr>
      </w:pPr>
    </w:p>
    <w:p w:rsidR="00877BF7" w:rsidRPr="0027480F" w:rsidRDefault="00877BF7" w:rsidP="00877BF7">
      <w:pPr>
        <w:jc w:val="both"/>
        <w:rPr>
          <w:rFonts w:cs="Times New Roman"/>
          <w:i/>
          <w:iCs/>
          <w:szCs w:val="24"/>
          <w:lang w:val="en-GB"/>
        </w:rPr>
      </w:pPr>
      <w:r w:rsidRPr="0027480F">
        <w:rPr>
          <w:rFonts w:cs="Times New Roman"/>
          <w:i/>
          <w:iCs/>
          <w:szCs w:val="24"/>
          <w:lang w:val="en-GB"/>
        </w:rPr>
        <w:t>Findings</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Conclusions of the effectiveness of spending in the Education sector, including:</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Proportion allocated in line with strategic objectives</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Proportion disbursed in line with allocations</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Proportion of received budgets which are executed</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Proportion of spending reaching intended users and uses</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“Leakage” analysis of the system</w:t>
      </w:r>
    </w:p>
    <w:p w:rsidR="00877BF7" w:rsidRPr="0027480F" w:rsidRDefault="00877BF7" w:rsidP="00CE4350">
      <w:pPr>
        <w:pStyle w:val="ListParagraph"/>
        <w:numPr>
          <w:ilvl w:val="0"/>
          <w:numId w:val="95"/>
        </w:numPr>
        <w:spacing w:after="200" w:line="276" w:lineRule="auto"/>
        <w:jc w:val="both"/>
        <w:rPr>
          <w:szCs w:val="24"/>
          <w:lang w:val="en-GB"/>
        </w:rPr>
      </w:pPr>
      <w:r w:rsidRPr="0027480F">
        <w:rPr>
          <w:szCs w:val="24"/>
          <w:lang w:val="en-GB"/>
        </w:rPr>
        <w:t xml:space="preserve">In-depth analysis of the reasons behind any weaknesses identified above </w:t>
      </w:r>
    </w:p>
    <w:p w:rsidR="00877BF7" w:rsidRPr="0027480F" w:rsidRDefault="00877BF7" w:rsidP="00877BF7">
      <w:pPr>
        <w:jc w:val="both"/>
        <w:rPr>
          <w:rFonts w:cs="Times New Roman"/>
          <w:i/>
          <w:iCs/>
          <w:szCs w:val="24"/>
          <w:lang w:val="en-GB"/>
        </w:rPr>
      </w:pPr>
      <w:r w:rsidRPr="0027480F">
        <w:rPr>
          <w:rFonts w:cs="Times New Roman"/>
          <w:i/>
          <w:iCs/>
          <w:szCs w:val="24"/>
          <w:lang w:val="en-GB"/>
        </w:rPr>
        <w:t>Recommendations</w:t>
      </w:r>
    </w:p>
    <w:p w:rsidR="00877BF7" w:rsidRPr="0027480F" w:rsidRDefault="00877BF7" w:rsidP="00CE4350">
      <w:pPr>
        <w:pStyle w:val="ListParagraph"/>
        <w:numPr>
          <w:ilvl w:val="0"/>
          <w:numId w:val="96"/>
        </w:numPr>
        <w:spacing w:after="200" w:line="276" w:lineRule="auto"/>
        <w:jc w:val="both"/>
        <w:rPr>
          <w:szCs w:val="24"/>
          <w:lang w:val="en-GB"/>
        </w:rPr>
      </w:pPr>
      <w:r w:rsidRPr="0027480F">
        <w:rPr>
          <w:szCs w:val="24"/>
          <w:lang w:val="en-GB"/>
        </w:rPr>
        <w:t>Structured proposals to address weaknesses identified / make improvements to the effectiveness of Education sector spending in achieving its strategic priorities</w:t>
      </w:r>
    </w:p>
    <w:p w:rsidR="00877BF7" w:rsidRPr="0027480F" w:rsidRDefault="00877BF7" w:rsidP="00CE4350">
      <w:pPr>
        <w:pStyle w:val="ListParagraph"/>
        <w:numPr>
          <w:ilvl w:val="0"/>
          <w:numId w:val="96"/>
        </w:numPr>
        <w:spacing w:after="200" w:line="276" w:lineRule="auto"/>
        <w:jc w:val="both"/>
        <w:rPr>
          <w:szCs w:val="24"/>
          <w:lang w:val="en-GB"/>
        </w:rPr>
      </w:pPr>
      <w:r w:rsidRPr="0027480F">
        <w:rPr>
          <w:szCs w:val="24"/>
          <w:lang w:val="en-GB"/>
        </w:rPr>
        <w:t>Recommendations addressing any weaknesses identified in the four focus areas above</w:t>
      </w:r>
    </w:p>
    <w:p w:rsidR="00877BF7" w:rsidRPr="0027480F" w:rsidRDefault="00877BF7" w:rsidP="00CE4350">
      <w:pPr>
        <w:pStyle w:val="ListParagraph"/>
        <w:numPr>
          <w:ilvl w:val="0"/>
          <w:numId w:val="96"/>
        </w:numPr>
        <w:spacing w:after="200" w:line="276" w:lineRule="auto"/>
        <w:jc w:val="both"/>
        <w:rPr>
          <w:szCs w:val="24"/>
          <w:lang w:val="en-GB"/>
        </w:rPr>
      </w:pPr>
      <w:r w:rsidRPr="0027480F">
        <w:rPr>
          <w:szCs w:val="24"/>
          <w:lang w:val="en-GB"/>
        </w:rPr>
        <w:t>A needs assessment of the resources (financial and non-financial resources) required to meet these recommendations (given existing policy objectives)</w:t>
      </w:r>
    </w:p>
    <w:p w:rsidR="00877BF7" w:rsidRPr="0027480F" w:rsidRDefault="00877BF7" w:rsidP="00CE4350">
      <w:pPr>
        <w:pStyle w:val="ListParagraph"/>
        <w:numPr>
          <w:ilvl w:val="0"/>
          <w:numId w:val="96"/>
        </w:numPr>
        <w:spacing w:after="200" w:line="276" w:lineRule="auto"/>
        <w:jc w:val="both"/>
        <w:rPr>
          <w:szCs w:val="24"/>
          <w:lang w:val="en-GB"/>
        </w:rPr>
      </w:pPr>
      <w:r w:rsidRPr="0027480F">
        <w:rPr>
          <w:szCs w:val="24"/>
          <w:lang w:val="en-GB"/>
        </w:rPr>
        <w:t>Comparison of financial impact of current and possible future policy scenarios with likely resource availability</w:t>
      </w:r>
    </w:p>
    <w:p w:rsidR="00877BF7" w:rsidRPr="0027480F" w:rsidRDefault="00877BF7" w:rsidP="00CE4350">
      <w:pPr>
        <w:pStyle w:val="ListParagraph"/>
        <w:numPr>
          <w:ilvl w:val="0"/>
          <w:numId w:val="96"/>
        </w:numPr>
        <w:spacing w:after="200" w:line="276" w:lineRule="auto"/>
        <w:jc w:val="both"/>
        <w:rPr>
          <w:szCs w:val="24"/>
          <w:lang w:val="en-GB"/>
        </w:rPr>
      </w:pPr>
      <w:r w:rsidRPr="0027480F">
        <w:rPr>
          <w:szCs w:val="24"/>
          <w:lang w:val="en-GB"/>
        </w:rPr>
        <w:t>Recommendations on adapting policy and/or financial allocations to ensure consistency</w:t>
      </w:r>
    </w:p>
    <w:p w:rsidR="00877BF7" w:rsidRDefault="00877BF7" w:rsidP="00877BF7">
      <w:pPr>
        <w:jc w:val="both"/>
        <w:rPr>
          <w:rFonts w:cs="Times New Roman"/>
          <w:b/>
          <w:bCs/>
          <w:szCs w:val="24"/>
          <w:lang w:val="en-GB"/>
        </w:rPr>
      </w:pPr>
      <w:r w:rsidRPr="0027480F">
        <w:rPr>
          <w:rFonts w:cs="Times New Roman"/>
          <w:b/>
          <w:bCs/>
          <w:szCs w:val="24"/>
          <w:lang w:val="en-GB"/>
        </w:rPr>
        <w:t>PART IV – Capacity building needs of the Education sector</w:t>
      </w:r>
    </w:p>
    <w:p w:rsidR="00877BF7" w:rsidRPr="0027480F" w:rsidRDefault="00877BF7" w:rsidP="00877BF7">
      <w:pPr>
        <w:jc w:val="both"/>
        <w:rPr>
          <w:rFonts w:cs="Times New Roman"/>
          <w:b/>
          <w:bCs/>
          <w:szCs w:val="24"/>
          <w:lang w:val="en-GB"/>
        </w:rPr>
      </w:pPr>
    </w:p>
    <w:p w:rsidR="00877BF7" w:rsidRPr="0027480F" w:rsidRDefault="00877BF7" w:rsidP="00877BF7">
      <w:pPr>
        <w:jc w:val="both"/>
        <w:rPr>
          <w:rFonts w:cs="Times New Roman"/>
          <w:i/>
          <w:iCs/>
          <w:szCs w:val="24"/>
          <w:lang w:val="en-GB"/>
        </w:rPr>
      </w:pPr>
      <w:r w:rsidRPr="0027480F">
        <w:rPr>
          <w:rFonts w:cs="Times New Roman"/>
          <w:i/>
          <w:iCs/>
          <w:szCs w:val="24"/>
          <w:lang w:val="en-GB"/>
        </w:rPr>
        <w:t>Monitoring and Evaluation System</w:t>
      </w:r>
    </w:p>
    <w:p w:rsidR="00877BF7" w:rsidRDefault="00877BF7" w:rsidP="00877BF7">
      <w:pPr>
        <w:jc w:val="both"/>
        <w:rPr>
          <w:rFonts w:cs="Times New Roman"/>
          <w:szCs w:val="24"/>
          <w:lang w:val="en-GB"/>
        </w:rPr>
      </w:pPr>
      <w:r w:rsidRPr="0027480F">
        <w:rPr>
          <w:rFonts w:cs="Times New Roman"/>
          <w:szCs w:val="24"/>
          <w:lang w:val="en-GB"/>
        </w:rPr>
        <w:t xml:space="preserve">During the course of the study, the consultants are required to use existing sources of information wherever available. The consultants should also report back on the availability and </w:t>
      </w:r>
      <w:r w:rsidRPr="0027480F">
        <w:rPr>
          <w:rFonts w:cs="Times New Roman"/>
          <w:szCs w:val="24"/>
          <w:lang w:val="en-GB"/>
        </w:rPr>
        <w:lastRenderedPageBreak/>
        <w:t xml:space="preserve">quality of public expenditure monitoring information and evaluative capacity currently available to the Ministry of Education (and other Education sector partners where relevant). Recommendations should be made on the capacity building needs of </w:t>
      </w:r>
      <w:proofErr w:type="spellStart"/>
      <w:r w:rsidRPr="0027480F">
        <w:rPr>
          <w:rFonts w:cs="Times New Roman"/>
          <w:szCs w:val="24"/>
          <w:lang w:val="en-GB"/>
        </w:rPr>
        <w:t>MoE</w:t>
      </w:r>
      <w:proofErr w:type="spellEnd"/>
      <w:r w:rsidRPr="0027480F">
        <w:rPr>
          <w:rFonts w:cs="Times New Roman"/>
          <w:szCs w:val="24"/>
          <w:lang w:val="en-GB"/>
        </w:rPr>
        <w:t xml:space="preserve"> in terms of setting up a fully functioning internal monitoring and evaluation system.</w:t>
      </w:r>
    </w:p>
    <w:p w:rsidR="00877BF7" w:rsidRPr="0027480F" w:rsidRDefault="00877BF7" w:rsidP="00877BF7">
      <w:pPr>
        <w:jc w:val="both"/>
        <w:rPr>
          <w:rFonts w:cs="Times New Roman"/>
          <w:szCs w:val="24"/>
          <w:lang w:val="en-GB"/>
        </w:rPr>
      </w:pPr>
    </w:p>
    <w:p w:rsidR="00877BF7" w:rsidRPr="0027480F" w:rsidRDefault="00877BF7" w:rsidP="00CE4350">
      <w:pPr>
        <w:pStyle w:val="ListParagraph"/>
        <w:numPr>
          <w:ilvl w:val="0"/>
          <w:numId w:val="97"/>
        </w:numPr>
        <w:spacing w:after="200" w:line="276" w:lineRule="auto"/>
        <w:jc w:val="both"/>
        <w:rPr>
          <w:szCs w:val="24"/>
          <w:lang w:val="en-GB"/>
        </w:rPr>
      </w:pPr>
      <w:r w:rsidRPr="0027480F">
        <w:rPr>
          <w:szCs w:val="24"/>
          <w:lang w:val="en-GB"/>
        </w:rPr>
        <w:t xml:space="preserve">Recommendations on the implementation of a permanent monitoring and evaluation process internal to </w:t>
      </w:r>
      <w:proofErr w:type="spellStart"/>
      <w:r w:rsidRPr="0027480F">
        <w:rPr>
          <w:szCs w:val="24"/>
          <w:lang w:val="en-GB"/>
        </w:rPr>
        <w:t>MoE</w:t>
      </w:r>
      <w:proofErr w:type="spellEnd"/>
      <w:r w:rsidRPr="0027480F">
        <w:rPr>
          <w:szCs w:val="24"/>
          <w:lang w:val="en-GB"/>
        </w:rPr>
        <w:t>, PMO and MFEM.</w:t>
      </w:r>
    </w:p>
    <w:p w:rsidR="00877BF7" w:rsidRPr="0027480F" w:rsidRDefault="00877BF7" w:rsidP="00CE4350">
      <w:pPr>
        <w:pStyle w:val="ListParagraph"/>
        <w:numPr>
          <w:ilvl w:val="0"/>
          <w:numId w:val="97"/>
        </w:numPr>
        <w:spacing w:after="200" w:line="276" w:lineRule="auto"/>
        <w:jc w:val="both"/>
        <w:rPr>
          <w:szCs w:val="24"/>
          <w:lang w:val="en-GB"/>
        </w:rPr>
      </w:pPr>
      <w:r w:rsidRPr="0027480F">
        <w:rPr>
          <w:szCs w:val="24"/>
          <w:lang w:val="en-GB"/>
        </w:rPr>
        <w:t>Recommendation for an evaluation cycle, including a recommended calendar</w:t>
      </w:r>
    </w:p>
    <w:p w:rsidR="00877BF7" w:rsidRPr="0027480F" w:rsidRDefault="00877BF7" w:rsidP="00CE4350">
      <w:pPr>
        <w:pStyle w:val="ListParagraph"/>
        <w:numPr>
          <w:ilvl w:val="0"/>
          <w:numId w:val="97"/>
        </w:numPr>
        <w:spacing w:after="200" w:line="276" w:lineRule="auto"/>
        <w:jc w:val="both"/>
        <w:rPr>
          <w:szCs w:val="24"/>
          <w:lang w:val="en-GB"/>
        </w:rPr>
      </w:pPr>
      <w:r w:rsidRPr="0027480F">
        <w:rPr>
          <w:szCs w:val="24"/>
          <w:lang w:val="en-GB"/>
        </w:rPr>
        <w:t>A needs assessment of the support required to achieve these recommendations, taking into account the constraints likely to be encountered in implementation.</w:t>
      </w:r>
    </w:p>
    <w:p w:rsidR="00877BF7" w:rsidRDefault="00877BF7" w:rsidP="00877BF7">
      <w:pPr>
        <w:jc w:val="both"/>
        <w:rPr>
          <w:rFonts w:cs="Times New Roman"/>
          <w:i/>
          <w:iCs/>
          <w:szCs w:val="24"/>
          <w:lang w:val="en-GB"/>
        </w:rPr>
      </w:pPr>
      <w:r w:rsidRPr="0027480F">
        <w:rPr>
          <w:rFonts w:cs="Times New Roman"/>
          <w:i/>
          <w:iCs/>
          <w:szCs w:val="24"/>
          <w:lang w:val="en-GB"/>
        </w:rPr>
        <w:t>Implementation of recommendations</w:t>
      </w:r>
    </w:p>
    <w:p w:rsidR="00877BF7" w:rsidRPr="0027480F" w:rsidRDefault="00877BF7" w:rsidP="00877BF7">
      <w:pPr>
        <w:jc w:val="both"/>
        <w:rPr>
          <w:rFonts w:cs="Times New Roman"/>
          <w:i/>
          <w:iCs/>
          <w:szCs w:val="24"/>
          <w:lang w:val="en-GB"/>
        </w:rPr>
      </w:pPr>
    </w:p>
    <w:p w:rsidR="00877BF7" w:rsidRDefault="00877BF7" w:rsidP="00F4727B">
      <w:pPr>
        <w:jc w:val="both"/>
        <w:rPr>
          <w:rFonts w:cs="Times New Roman"/>
          <w:szCs w:val="24"/>
        </w:rPr>
      </w:pPr>
      <w:r w:rsidRPr="0027480F">
        <w:rPr>
          <w:rFonts w:cs="Times New Roman"/>
          <w:szCs w:val="24"/>
          <w:lang w:val="en-GB"/>
        </w:rPr>
        <w:t>Detailed proposal on the structure of an implementation process to meet recommendations, taking into account the current structure and priorities of the Education sector, including recommendations: (</w:t>
      </w:r>
      <w:proofErr w:type="spellStart"/>
      <w:r w:rsidRPr="0027480F">
        <w:rPr>
          <w:rFonts w:cs="Times New Roman"/>
          <w:szCs w:val="24"/>
          <w:lang w:val="en-GB"/>
        </w:rPr>
        <w:t>i</w:t>
      </w:r>
      <w:proofErr w:type="spellEnd"/>
      <w:r w:rsidRPr="0027480F">
        <w:rPr>
          <w:rFonts w:cs="Times New Roman"/>
          <w:szCs w:val="24"/>
          <w:lang w:val="en-GB"/>
        </w:rPr>
        <w:t xml:space="preserve">) From Part III, to improve the efficiency of public expenditure in Education (ii) From Part IV, to build capacity for internal monitoring in </w:t>
      </w:r>
      <w:proofErr w:type="spellStart"/>
      <w:r w:rsidRPr="0027480F">
        <w:rPr>
          <w:rFonts w:cs="Times New Roman"/>
          <w:szCs w:val="24"/>
          <w:lang w:val="en-GB"/>
        </w:rPr>
        <w:t>MoE</w:t>
      </w:r>
      <w:proofErr w:type="spellEnd"/>
      <w:r w:rsidRPr="0027480F">
        <w:rPr>
          <w:rFonts w:cs="Times New Roman"/>
          <w:szCs w:val="24"/>
          <w:lang w:val="en-GB"/>
        </w:rPr>
        <w:t>.</w:t>
      </w:r>
      <w:r w:rsidR="00142AAB">
        <w:rPr>
          <w:rFonts w:cs="Times New Roman"/>
          <w:szCs w:val="24"/>
        </w:rPr>
        <w:t xml:space="preserve"> </w:t>
      </w:r>
    </w:p>
    <w:p w:rsidR="00701943" w:rsidRDefault="00701943" w:rsidP="00701943">
      <w:pPr>
        <w:pStyle w:val="Heading1"/>
      </w:pPr>
      <w:r>
        <w:br w:type="page"/>
      </w:r>
    </w:p>
    <w:p w:rsidR="00877BF7" w:rsidRPr="00345F79" w:rsidRDefault="00701943" w:rsidP="00345F79">
      <w:pPr>
        <w:pStyle w:val="Heading1"/>
      </w:pPr>
      <w:bookmarkStart w:id="320" w:name="_Toc348711360"/>
      <w:r w:rsidRPr="00E30EA7">
        <w:lastRenderedPageBreak/>
        <w:t>Annex 2: Principal documents reviewed</w:t>
      </w:r>
      <w:bookmarkEnd w:id="3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nex 2: Principal documents reviewed"/>
        <w:tblDescription w:val="lists references"/>
      </w:tblPr>
      <w:tblGrid>
        <w:gridCol w:w="9570"/>
      </w:tblGrid>
      <w:tr w:rsidR="00877BF7" w:rsidTr="00345F79">
        <w:trPr>
          <w:tblHeader/>
        </w:trPr>
        <w:tc>
          <w:tcPr>
            <w:tcW w:w="9570" w:type="dxa"/>
          </w:tcPr>
          <w:p w:rsidR="00345F79" w:rsidRDefault="00345F79" w:rsidP="00F649BE">
            <w:pPr>
              <w:jc w:val="both"/>
              <w:rPr>
                <w:lang w:val="en-US"/>
              </w:rPr>
            </w:pPr>
          </w:p>
          <w:p w:rsidR="00877BF7" w:rsidRDefault="00877BF7" w:rsidP="00F649BE">
            <w:pPr>
              <w:jc w:val="both"/>
              <w:rPr>
                <w:lang w:val="en-US"/>
              </w:rPr>
            </w:pPr>
            <w:r w:rsidRPr="00CA47A9">
              <w:rPr>
                <w:lang w:val="en-US"/>
              </w:rPr>
              <w:t>2012 UN J</w:t>
            </w:r>
            <w:r>
              <w:rPr>
                <w:lang w:val="en-US"/>
              </w:rPr>
              <w:t>oint Annual Review and UNDAF 2013-2017 Consultation, Ministry of Education Report, October 2012.</w:t>
            </w:r>
          </w:p>
          <w:p w:rsidR="00877BF7" w:rsidRDefault="00877BF7" w:rsidP="00F649BE">
            <w:pPr>
              <w:jc w:val="both"/>
            </w:pPr>
          </w:p>
        </w:tc>
      </w:tr>
      <w:tr w:rsidR="00877BF7" w:rsidTr="00F649BE">
        <w:tc>
          <w:tcPr>
            <w:tcW w:w="9570" w:type="dxa"/>
          </w:tcPr>
          <w:p w:rsidR="00877BF7" w:rsidRDefault="00877BF7" w:rsidP="00F649BE">
            <w:pPr>
              <w:jc w:val="both"/>
            </w:pPr>
            <w:r w:rsidRPr="00EF6705">
              <w:t>Achieving education and health outcomes in Pacific Island countries— is there a role for social transfers?</w:t>
            </w:r>
            <w:r>
              <w:t xml:space="preserve"> AusAID, March 2012.</w:t>
            </w:r>
          </w:p>
          <w:p w:rsidR="00877BF7" w:rsidRDefault="00877BF7" w:rsidP="00F649BE">
            <w:pPr>
              <w:jc w:val="both"/>
            </w:pPr>
          </w:p>
        </w:tc>
      </w:tr>
      <w:tr w:rsidR="00877BF7" w:rsidTr="00F649BE">
        <w:tc>
          <w:tcPr>
            <w:tcW w:w="9570" w:type="dxa"/>
          </w:tcPr>
          <w:p w:rsidR="00877BF7" w:rsidRDefault="00877BF7" w:rsidP="00F649BE">
            <w:pPr>
              <w:jc w:val="both"/>
            </w:pPr>
            <w:r>
              <w:t xml:space="preserve">Achieving Universal Primary Education by 2015: A Chance for Every Child, Barbara </w:t>
            </w:r>
            <w:proofErr w:type="spellStart"/>
            <w:r>
              <w:t>Bruns</w:t>
            </w:r>
            <w:proofErr w:type="spellEnd"/>
            <w:r>
              <w:t xml:space="preserve">, Alain </w:t>
            </w:r>
            <w:proofErr w:type="spellStart"/>
            <w:r>
              <w:t>Mingat</w:t>
            </w:r>
            <w:proofErr w:type="spellEnd"/>
            <w:r>
              <w:t xml:space="preserve"> and </w:t>
            </w:r>
            <w:proofErr w:type="spellStart"/>
            <w:r>
              <w:t>Ramahatra</w:t>
            </w:r>
            <w:proofErr w:type="spellEnd"/>
            <w:r>
              <w:t xml:space="preserve"> </w:t>
            </w:r>
            <w:proofErr w:type="spellStart"/>
            <w:r>
              <w:t>Rakotom</w:t>
            </w:r>
            <w:proofErr w:type="spellEnd"/>
            <w:r>
              <w:t xml:space="preserve"> </w:t>
            </w:r>
            <w:proofErr w:type="spellStart"/>
            <w:r>
              <w:t>Alala</w:t>
            </w:r>
            <w:proofErr w:type="spellEnd"/>
            <w:r>
              <w:t xml:space="preserve"> for the World Bank, 2003.</w:t>
            </w:r>
          </w:p>
          <w:p w:rsidR="00877BF7" w:rsidRDefault="00877BF7" w:rsidP="00F649BE">
            <w:pPr>
              <w:jc w:val="both"/>
            </w:pPr>
          </w:p>
        </w:tc>
      </w:tr>
      <w:tr w:rsidR="00877BF7" w:rsidTr="00F649BE">
        <w:tc>
          <w:tcPr>
            <w:tcW w:w="9570" w:type="dxa"/>
          </w:tcPr>
          <w:p w:rsidR="00877BF7" w:rsidRDefault="00877BF7" w:rsidP="00F649BE">
            <w:pPr>
              <w:jc w:val="both"/>
            </w:pPr>
            <w:r>
              <w:t>Annual Development Report 2009, Government of Vanuatu, July 2010.</w:t>
            </w:r>
          </w:p>
          <w:p w:rsidR="00877BF7" w:rsidRDefault="00877BF7" w:rsidP="00F649BE">
            <w:pPr>
              <w:jc w:val="both"/>
            </w:pPr>
          </w:p>
        </w:tc>
      </w:tr>
      <w:tr w:rsidR="00877BF7" w:rsidTr="00F649BE">
        <w:tc>
          <w:tcPr>
            <w:tcW w:w="9570" w:type="dxa"/>
          </w:tcPr>
          <w:p w:rsidR="00877BF7" w:rsidRDefault="00877BF7" w:rsidP="00F649BE">
            <w:pPr>
              <w:jc w:val="both"/>
            </w:pPr>
            <w:r>
              <w:t xml:space="preserve">Annual Statistical Reports 2008, 2009 and 2010-2011, Policy &amp; Planning Unit, Ministry of Education (various dates). </w:t>
            </w:r>
          </w:p>
          <w:p w:rsidR="00877BF7" w:rsidRDefault="00877BF7" w:rsidP="00F649BE">
            <w:pPr>
              <w:jc w:val="both"/>
            </w:pPr>
          </w:p>
        </w:tc>
      </w:tr>
      <w:tr w:rsidR="00877BF7" w:rsidTr="00F649BE">
        <w:tc>
          <w:tcPr>
            <w:tcW w:w="9570" w:type="dxa"/>
          </w:tcPr>
          <w:p w:rsidR="00877BF7" w:rsidRDefault="00877BF7" w:rsidP="00F649BE">
            <w:pPr>
              <w:jc w:val="both"/>
            </w:pPr>
            <w:r>
              <w:t>Article IV Reports for Vanuatu 2000-2011, International Monetary Fund.</w:t>
            </w:r>
          </w:p>
          <w:p w:rsidR="00877BF7" w:rsidRDefault="00877BF7" w:rsidP="00F649BE">
            <w:pPr>
              <w:jc w:val="both"/>
            </w:pPr>
          </w:p>
        </w:tc>
      </w:tr>
      <w:tr w:rsidR="00877BF7" w:rsidTr="00F649BE">
        <w:tc>
          <w:tcPr>
            <w:tcW w:w="9570" w:type="dxa"/>
          </w:tcPr>
          <w:p w:rsidR="00877BF7" w:rsidRDefault="00877BF7" w:rsidP="00F649BE">
            <w:pPr>
              <w:jc w:val="both"/>
            </w:pPr>
            <w:r w:rsidRPr="00CA47A9">
              <w:t>Asian Development Bank</w:t>
            </w:r>
            <w:r>
              <w:t xml:space="preserve"> </w:t>
            </w:r>
            <w:r w:rsidRPr="00CA47A9">
              <w:t>Key Indicators for Asia and the Pacific</w:t>
            </w:r>
            <w:r>
              <w:t>: Vanuatu, July 2012.</w:t>
            </w:r>
          </w:p>
          <w:p w:rsidR="00877BF7" w:rsidRDefault="00877BF7" w:rsidP="00F649BE">
            <w:pPr>
              <w:jc w:val="both"/>
            </w:pPr>
          </w:p>
        </w:tc>
      </w:tr>
      <w:tr w:rsidR="00877BF7" w:rsidTr="00F649BE">
        <w:tc>
          <w:tcPr>
            <w:tcW w:w="9570" w:type="dxa"/>
          </w:tcPr>
          <w:p w:rsidR="00877BF7" w:rsidRDefault="00877BF7" w:rsidP="00F649BE">
            <w:pPr>
              <w:jc w:val="both"/>
              <w:rPr>
                <w:bCs/>
              </w:rPr>
            </w:pPr>
            <w:r w:rsidRPr="00AA4B3C">
              <w:rPr>
                <w:bCs/>
              </w:rPr>
              <w:t>Can we attain the Millennium Development Goals in Education and Health through Public Expenditure and Aid? Overseas Development Institute (UK), April 2003</w:t>
            </w:r>
            <w:r>
              <w:rPr>
                <w:bCs/>
              </w:rPr>
              <w:t>.</w:t>
            </w:r>
          </w:p>
          <w:p w:rsidR="00877BF7" w:rsidRPr="00AA4B3C" w:rsidRDefault="00877BF7" w:rsidP="00F649BE">
            <w:pPr>
              <w:jc w:val="both"/>
            </w:pPr>
          </w:p>
        </w:tc>
      </w:tr>
      <w:tr w:rsidR="00877BF7" w:rsidTr="00F649BE">
        <w:tc>
          <w:tcPr>
            <w:tcW w:w="9570" w:type="dxa"/>
          </w:tcPr>
          <w:p w:rsidR="00877BF7" w:rsidRDefault="00877BF7" w:rsidP="00F649BE">
            <w:pPr>
              <w:jc w:val="both"/>
            </w:pPr>
            <w:r>
              <w:t>Children in Vanuatu 2011: An Atlas of Social Indicators, UNICEF (undated).</w:t>
            </w:r>
          </w:p>
          <w:p w:rsidR="00877BF7" w:rsidRDefault="00877BF7" w:rsidP="00F649BE">
            <w:pPr>
              <w:jc w:val="both"/>
            </w:pPr>
          </w:p>
        </w:tc>
      </w:tr>
      <w:tr w:rsidR="00877BF7" w:rsidTr="00F649BE">
        <w:tc>
          <w:tcPr>
            <w:tcW w:w="9570" w:type="dxa"/>
          </w:tcPr>
          <w:p w:rsidR="00877BF7" w:rsidRDefault="00877BF7" w:rsidP="00F649BE">
            <w:pPr>
              <w:jc w:val="both"/>
            </w:pPr>
            <w:r>
              <w:t>Education For All Analytical Report, Ministry of Education, July 2012.</w:t>
            </w:r>
          </w:p>
          <w:p w:rsidR="00877BF7" w:rsidRDefault="00877BF7" w:rsidP="00F649BE">
            <w:pPr>
              <w:jc w:val="both"/>
            </w:pPr>
          </w:p>
        </w:tc>
      </w:tr>
      <w:tr w:rsidR="00877BF7" w:rsidTr="00F649BE">
        <w:tc>
          <w:tcPr>
            <w:tcW w:w="9570" w:type="dxa"/>
          </w:tcPr>
          <w:p w:rsidR="00877BF7" w:rsidRDefault="00877BF7" w:rsidP="00F649BE">
            <w:pPr>
              <w:jc w:val="both"/>
            </w:pPr>
            <w:r>
              <w:t xml:space="preserve">Education MTEF: </w:t>
            </w:r>
            <w:r w:rsidRPr="00EF6705">
              <w:t>Approaches, Experience and Lessons</w:t>
            </w:r>
            <w:r>
              <w:t xml:space="preserve"> </w:t>
            </w:r>
            <w:r w:rsidRPr="00EF6705">
              <w:t>from Nine Countries in Asia</w:t>
            </w:r>
            <w:r>
              <w:t>, Grayson Clarke for UNESCO, 2010.</w:t>
            </w:r>
          </w:p>
          <w:p w:rsidR="00877BF7" w:rsidRDefault="00877BF7" w:rsidP="00F649BE">
            <w:pPr>
              <w:jc w:val="both"/>
            </w:pPr>
          </w:p>
        </w:tc>
      </w:tr>
      <w:tr w:rsidR="00877BF7" w:rsidTr="00F649BE">
        <w:tc>
          <w:tcPr>
            <w:tcW w:w="9570" w:type="dxa"/>
          </w:tcPr>
          <w:p w:rsidR="00877BF7" w:rsidRDefault="00877BF7" w:rsidP="00F649BE">
            <w:pPr>
              <w:jc w:val="both"/>
            </w:pPr>
            <w:r>
              <w:t>Finance Regulation 2.2 Annual Reports for Ministry of Education, 2010-2012, Ministry of Finance and Economic Management.</w:t>
            </w:r>
          </w:p>
          <w:p w:rsidR="00877BF7" w:rsidRDefault="00877BF7" w:rsidP="00F649BE">
            <w:pPr>
              <w:jc w:val="both"/>
            </w:pPr>
          </w:p>
        </w:tc>
      </w:tr>
      <w:tr w:rsidR="00877BF7" w:rsidTr="00F649BE">
        <w:tc>
          <w:tcPr>
            <w:tcW w:w="9570" w:type="dxa"/>
          </w:tcPr>
          <w:p w:rsidR="00877BF7" w:rsidRDefault="00877BF7" w:rsidP="00F649BE">
            <w:pPr>
              <w:jc w:val="both"/>
            </w:pPr>
            <w:r>
              <w:t xml:space="preserve">Financial Management Assessment for Implementation of the Vanuatu Education Sector Strategy: Final Report, John </w:t>
            </w:r>
            <w:proofErr w:type="spellStart"/>
            <w:r>
              <w:t>Mellors</w:t>
            </w:r>
            <w:proofErr w:type="spellEnd"/>
            <w:r>
              <w:t xml:space="preserve"> for AusAID and NZAID, August 2007.</w:t>
            </w:r>
          </w:p>
          <w:p w:rsidR="00877BF7" w:rsidRDefault="00877BF7" w:rsidP="00F649BE">
            <w:pPr>
              <w:jc w:val="both"/>
            </w:pPr>
          </w:p>
        </w:tc>
      </w:tr>
      <w:tr w:rsidR="00877BF7" w:rsidTr="00F649BE">
        <w:tc>
          <w:tcPr>
            <w:tcW w:w="9570" w:type="dxa"/>
          </w:tcPr>
          <w:p w:rsidR="00877BF7" w:rsidRDefault="00877BF7" w:rsidP="00F649BE">
            <w:pPr>
              <w:jc w:val="both"/>
            </w:pPr>
            <w:r>
              <w:t>Financial Report 2009-2012: Recurrent/Development, Ministry of Education.</w:t>
            </w:r>
          </w:p>
          <w:p w:rsidR="00877BF7" w:rsidRDefault="00877BF7" w:rsidP="00F649BE">
            <w:pPr>
              <w:jc w:val="both"/>
            </w:pPr>
          </w:p>
        </w:tc>
      </w:tr>
      <w:tr w:rsidR="00877BF7" w:rsidTr="00F649BE">
        <w:tc>
          <w:tcPr>
            <w:tcW w:w="9570" w:type="dxa"/>
          </w:tcPr>
          <w:p w:rsidR="00877BF7" w:rsidRDefault="00877BF7" w:rsidP="00F649BE">
            <w:pPr>
              <w:jc w:val="both"/>
            </w:pPr>
            <w:r>
              <w:t>Gender Equity in Education Policy 2005-2015, Ministry of Education, Government of Vanuatu.</w:t>
            </w:r>
          </w:p>
          <w:p w:rsidR="00877BF7" w:rsidRDefault="00877BF7" w:rsidP="00F649BE">
            <w:pPr>
              <w:jc w:val="both"/>
            </w:pPr>
          </w:p>
        </w:tc>
      </w:tr>
      <w:tr w:rsidR="00877BF7" w:rsidTr="00F649BE">
        <w:tc>
          <w:tcPr>
            <w:tcW w:w="9570" w:type="dxa"/>
          </w:tcPr>
          <w:p w:rsidR="00877BF7" w:rsidRDefault="00877BF7" w:rsidP="00F649BE">
            <w:pPr>
              <w:jc w:val="both"/>
            </w:pPr>
            <w:r>
              <w:t xml:space="preserve">Global Education Digest 2011: Comparing Education Statistics Across the World, UNESCO Institute for Statistics, 2011. </w:t>
            </w:r>
          </w:p>
          <w:p w:rsidR="00877BF7" w:rsidRDefault="00877BF7" w:rsidP="00F649BE">
            <w:pPr>
              <w:jc w:val="both"/>
            </w:pPr>
          </w:p>
        </w:tc>
      </w:tr>
      <w:tr w:rsidR="00877BF7" w:rsidTr="00F649BE">
        <w:tc>
          <w:tcPr>
            <w:tcW w:w="9570" w:type="dxa"/>
          </w:tcPr>
          <w:p w:rsidR="00877BF7" w:rsidRDefault="00877BF7" w:rsidP="00F649BE">
            <w:pPr>
              <w:jc w:val="both"/>
            </w:pPr>
            <w:r>
              <w:t xml:space="preserve">Government of the Republic of Vanuatu, Budget Documents for 2006-2012 inclusive, especially Tome 2 (Parliamentary Appropriations). </w:t>
            </w:r>
          </w:p>
          <w:p w:rsidR="00877BF7" w:rsidRDefault="00877BF7" w:rsidP="00F649BE">
            <w:pPr>
              <w:jc w:val="both"/>
            </w:pPr>
          </w:p>
        </w:tc>
      </w:tr>
      <w:tr w:rsidR="00877BF7" w:rsidTr="00F649BE">
        <w:tc>
          <w:tcPr>
            <w:tcW w:w="9570" w:type="dxa"/>
          </w:tcPr>
          <w:p w:rsidR="00877BF7" w:rsidRDefault="00877BF7" w:rsidP="00F649BE">
            <w:pPr>
              <w:jc w:val="both"/>
            </w:pPr>
            <w:r>
              <w:t>Household Income and Expenditure Survey 2006, Main Report and Poverty Analysis, Vanuatu National Statistics Office.</w:t>
            </w:r>
          </w:p>
          <w:p w:rsidR="00877BF7" w:rsidRDefault="00877BF7" w:rsidP="00F649BE">
            <w:pPr>
              <w:jc w:val="both"/>
            </w:pPr>
          </w:p>
        </w:tc>
      </w:tr>
      <w:tr w:rsidR="00877BF7" w:rsidTr="00F649BE">
        <w:tc>
          <w:tcPr>
            <w:tcW w:w="9570" w:type="dxa"/>
          </w:tcPr>
          <w:p w:rsidR="00877BF7" w:rsidRDefault="00877BF7" w:rsidP="00F649BE">
            <w:pPr>
              <w:jc w:val="both"/>
            </w:pPr>
            <w:r>
              <w:t>Household Income and Expenditure Survey 2010, Draft Report, Vanuatu National Statistics Office, November 2012.</w:t>
            </w:r>
          </w:p>
          <w:p w:rsidR="00877BF7" w:rsidRDefault="00877BF7" w:rsidP="00F649BE">
            <w:pPr>
              <w:jc w:val="both"/>
            </w:pPr>
          </w:p>
        </w:tc>
      </w:tr>
      <w:tr w:rsidR="00877BF7" w:rsidTr="00F649BE">
        <w:tc>
          <w:tcPr>
            <w:tcW w:w="9570" w:type="dxa"/>
          </w:tcPr>
          <w:p w:rsidR="00877BF7" w:rsidRDefault="00877BF7" w:rsidP="00F649BE">
            <w:pPr>
              <w:jc w:val="both"/>
            </w:pPr>
            <w:r>
              <w:lastRenderedPageBreak/>
              <w:t xml:space="preserve">Independent Review of the School Grants Scheme Established Under the Government of Vanuatu’s Universal Primary Education Policy, James Houston, Barry Reeves and Jeanette </w:t>
            </w:r>
            <w:proofErr w:type="spellStart"/>
            <w:r>
              <w:t>Yiu</w:t>
            </w:r>
            <w:proofErr w:type="spellEnd"/>
            <w:r>
              <w:t xml:space="preserve"> </w:t>
            </w:r>
            <w:proofErr w:type="spellStart"/>
            <w:r>
              <w:t>Hing</w:t>
            </w:r>
            <w:proofErr w:type="spellEnd"/>
            <w:r>
              <w:t xml:space="preserve"> for Ministry of Education and AusAID, May 2010.</w:t>
            </w:r>
          </w:p>
          <w:p w:rsidR="00877BF7" w:rsidRDefault="00877BF7" w:rsidP="00F649BE">
            <w:pPr>
              <w:jc w:val="both"/>
            </w:pPr>
          </w:p>
        </w:tc>
      </w:tr>
      <w:tr w:rsidR="00877BF7" w:rsidTr="00F649BE">
        <w:tc>
          <w:tcPr>
            <w:tcW w:w="9570" w:type="dxa"/>
          </w:tcPr>
          <w:p w:rsidR="00877BF7" w:rsidRDefault="00877BF7" w:rsidP="00F649BE">
            <w:pPr>
              <w:jc w:val="both"/>
            </w:pPr>
            <w:r>
              <w:t>Key Teacher Policy Reform Areas, Barbara Thornton (undated).</w:t>
            </w:r>
          </w:p>
          <w:p w:rsidR="00877BF7" w:rsidRDefault="00877BF7" w:rsidP="00F649BE">
            <w:pPr>
              <w:jc w:val="both"/>
            </w:pPr>
          </w:p>
        </w:tc>
      </w:tr>
      <w:tr w:rsidR="00877BF7" w:rsidTr="00F649BE">
        <w:tc>
          <w:tcPr>
            <w:tcW w:w="9570" w:type="dxa"/>
          </w:tcPr>
          <w:p w:rsidR="00877BF7" w:rsidRDefault="00877BF7" w:rsidP="00F649BE">
            <w:pPr>
              <w:jc w:val="both"/>
            </w:pPr>
            <w:r>
              <w:t>MBC 2012 Budget Analysis: Ministry of Education, Ministry of Finance and Economic Management.</w:t>
            </w:r>
          </w:p>
          <w:p w:rsidR="00877BF7" w:rsidRDefault="00877BF7" w:rsidP="00F649BE">
            <w:pPr>
              <w:jc w:val="both"/>
            </w:pPr>
          </w:p>
        </w:tc>
      </w:tr>
      <w:tr w:rsidR="00877BF7" w:rsidTr="00F649BE">
        <w:tc>
          <w:tcPr>
            <w:tcW w:w="9570" w:type="dxa"/>
          </w:tcPr>
          <w:p w:rsidR="00877BF7" w:rsidRDefault="00877BF7" w:rsidP="00F649BE">
            <w:pPr>
              <w:jc w:val="both"/>
            </w:pPr>
            <w:r>
              <w:t>Ministry of Education Annual Report 2011, April 2012.</w:t>
            </w:r>
          </w:p>
          <w:p w:rsidR="00877BF7" w:rsidRDefault="00877BF7" w:rsidP="00F649BE">
            <w:pPr>
              <w:jc w:val="both"/>
            </w:pPr>
          </w:p>
        </w:tc>
      </w:tr>
      <w:tr w:rsidR="00877BF7" w:rsidTr="00F649BE">
        <w:tc>
          <w:tcPr>
            <w:tcW w:w="9570" w:type="dxa"/>
          </w:tcPr>
          <w:p w:rsidR="00877BF7" w:rsidRDefault="00877BF7" w:rsidP="00F649BE">
            <w:pPr>
              <w:jc w:val="both"/>
            </w:pPr>
            <w:r>
              <w:t>Ministry of Education Corporate Plan 2012-2014.</w:t>
            </w:r>
          </w:p>
          <w:p w:rsidR="00877BF7" w:rsidRDefault="00877BF7" w:rsidP="00F649BE">
            <w:pPr>
              <w:jc w:val="both"/>
            </w:pPr>
          </w:p>
        </w:tc>
      </w:tr>
      <w:tr w:rsidR="00877BF7" w:rsidRPr="00AA4B3C" w:rsidTr="00F649BE">
        <w:tc>
          <w:tcPr>
            <w:tcW w:w="9570" w:type="dxa"/>
          </w:tcPr>
          <w:p w:rsidR="00877BF7" w:rsidRDefault="00877BF7" w:rsidP="00F649BE">
            <w:pPr>
              <w:jc w:val="both"/>
              <w:rPr>
                <w:iCs/>
              </w:rPr>
            </w:pPr>
            <w:r w:rsidRPr="00AA4B3C">
              <w:t xml:space="preserve">Monitoring Literacy and Numeracy Achievements in Vanuatu: </w:t>
            </w:r>
            <w:r>
              <w:t>R</w:t>
            </w:r>
            <w:r w:rsidRPr="00AA4B3C">
              <w:rPr>
                <w:iCs/>
              </w:rPr>
              <w:t>eport</w:t>
            </w:r>
            <w:r>
              <w:rPr>
                <w:iCs/>
              </w:rPr>
              <w:t>s</w:t>
            </w:r>
            <w:r w:rsidRPr="00AA4B3C">
              <w:rPr>
                <w:iCs/>
              </w:rPr>
              <w:t xml:space="preserve"> on the Monitoring of Literacy and Numeracy</w:t>
            </w:r>
            <w:r>
              <w:rPr>
                <w:iCs/>
              </w:rPr>
              <w:t xml:space="preserve"> </w:t>
            </w:r>
            <w:r w:rsidRPr="00AA4B3C">
              <w:rPr>
                <w:iCs/>
              </w:rPr>
              <w:t>Achievements at the end of Year 4</w:t>
            </w:r>
            <w:r>
              <w:rPr>
                <w:iCs/>
              </w:rPr>
              <w:t xml:space="preserve"> (Anglophone and Francophone streams), 2009 Baseline Survey, South Pacific Board for Educational Assessment, September 2010.</w:t>
            </w:r>
          </w:p>
          <w:p w:rsidR="00877BF7" w:rsidRPr="00AA4B3C" w:rsidRDefault="00877BF7" w:rsidP="00F649BE">
            <w:pPr>
              <w:jc w:val="both"/>
            </w:pPr>
          </w:p>
        </w:tc>
      </w:tr>
      <w:tr w:rsidR="00877BF7" w:rsidTr="00F649BE">
        <w:tc>
          <w:tcPr>
            <w:tcW w:w="9570" w:type="dxa"/>
          </w:tcPr>
          <w:p w:rsidR="00877BF7" w:rsidRDefault="00877BF7" w:rsidP="00F649BE">
            <w:pPr>
              <w:jc w:val="both"/>
              <w:rPr>
                <w:bCs/>
              </w:rPr>
            </w:pPr>
            <w:r w:rsidRPr="00ED5A9F">
              <w:rPr>
                <w:bCs/>
              </w:rPr>
              <w:t>Monitoring Report on Universal Primary Education Policy</w:t>
            </w:r>
            <w:r>
              <w:rPr>
                <w:bCs/>
              </w:rPr>
              <w:t>, Policy and Planning Unit, Ministry of Education, 2011.</w:t>
            </w:r>
          </w:p>
          <w:p w:rsidR="00877BF7" w:rsidRPr="00ED5A9F" w:rsidRDefault="00877BF7" w:rsidP="00F649BE">
            <w:pPr>
              <w:jc w:val="both"/>
            </w:pPr>
          </w:p>
        </w:tc>
      </w:tr>
      <w:tr w:rsidR="00877BF7" w:rsidTr="00F649BE">
        <w:tc>
          <w:tcPr>
            <w:tcW w:w="9570" w:type="dxa"/>
          </w:tcPr>
          <w:p w:rsidR="00877BF7" w:rsidRDefault="00877BF7" w:rsidP="00F649BE">
            <w:pPr>
              <w:jc w:val="both"/>
            </w:pPr>
            <w:r>
              <w:t>National Population and Housing Census 1999: Tables 3-1 to 3-8 (Educational Attainment), Vanuatu National Statistics Office.</w:t>
            </w:r>
          </w:p>
          <w:p w:rsidR="00877BF7" w:rsidRDefault="00877BF7" w:rsidP="00F649BE">
            <w:pPr>
              <w:jc w:val="both"/>
            </w:pPr>
          </w:p>
        </w:tc>
      </w:tr>
      <w:tr w:rsidR="00877BF7" w:rsidTr="00F649BE">
        <w:tc>
          <w:tcPr>
            <w:tcW w:w="9570" w:type="dxa"/>
          </w:tcPr>
          <w:p w:rsidR="00877BF7" w:rsidRDefault="00877BF7" w:rsidP="00F649BE">
            <w:pPr>
              <w:jc w:val="both"/>
            </w:pPr>
            <w:r>
              <w:t>National Population and Housing Census 2009, Analytical Report and Basic Tables Report, Vanuatu National Statistics Office, May 2011.</w:t>
            </w:r>
          </w:p>
          <w:p w:rsidR="00877BF7" w:rsidRDefault="00877BF7" w:rsidP="00F649BE">
            <w:pPr>
              <w:jc w:val="both"/>
            </w:pPr>
          </w:p>
        </w:tc>
      </w:tr>
      <w:tr w:rsidR="00877BF7" w:rsidTr="00F649BE">
        <w:tc>
          <w:tcPr>
            <w:tcW w:w="9570" w:type="dxa"/>
          </w:tcPr>
          <w:p w:rsidR="00877BF7" w:rsidRDefault="00877BF7" w:rsidP="00F649BE">
            <w:pPr>
              <w:jc w:val="both"/>
            </w:pPr>
            <w:r w:rsidRPr="009C19B9">
              <w:t>National Report Vanuatu: Global Study on Child Poverty and Disparities, University of New South Wales and UNICEF</w:t>
            </w:r>
            <w:r>
              <w:t xml:space="preserve">, </w:t>
            </w:r>
            <w:r w:rsidRPr="009C19B9">
              <w:t>2012</w:t>
            </w:r>
            <w:r>
              <w:t>.</w:t>
            </w:r>
          </w:p>
          <w:p w:rsidR="00877BF7" w:rsidRDefault="00877BF7" w:rsidP="00F649BE">
            <w:pPr>
              <w:jc w:val="both"/>
            </w:pPr>
          </w:p>
        </w:tc>
      </w:tr>
      <w:tr w:rsidR="00877BF7" w:rsidTr="00F649BE">
        <w:tc>
          <w:tcPr>
            <w:tcW w:w="9570" w:type="dxa"/>
          </w:tcPr>
          <w:p w:rsidR="00877BF7" w:rsidRDefault="00877BF7" w:rsidP="00F649BE">
            <w:pPr>
              <w:jc w:val="both"/>
            </w:pPr>
            <w:r>
              <w:t>PAA Action Plan 2011-2015: National Strategic Priority No.6 - Education and Human Resource Development, Government of Vanuatu, October 2011.</w:t>
            </w:r>
          </w:p>
          <w:p w:rsidR="00877BF7" w:rsidRDefault="00877BF7" w:rsidP="00F649BE">
            <w:pPr>
              <w:jc w:val="both"/>
            </w:pPr>
          </w:p>
        </w:tc>
      </w:tr>
      <w:tr w:rsidR="00877BF7" w:rsidTr="00F649BE">
        <w:tc>
          <w:tcPr>
            <w:tcW w:w="9570" w:type="dxa"/>
          </w:tcPr>
          <w:p w:rsidR="00877BF7" w:rsidRDefault="00877BF7" w:rsidP="00F649BE">
            <w:pPr>
              <w:jc w:val="both"/>
              <w:rPr>
                <w:bCs/>
              </w:rPr>
            </w:pPr>
            <w:r w:rsidRPr="00F942B2">
              <w:t xml:space="preserve"> </w:t>
            </w:r>
            <w:r w:rsidRPr="00F942B2">
              <w:rPr>
                <w:bCs/>
              </w:rPr>
              <w:t>Planning Long, Acting Short: Action Agenda for 2009-2012</w:t>
            </w:r>
            <w:r>
              <w:rPr>
                <w:bCs/>
              </w:rPr>
              <w:t>, Government of Vanuatu, May 2009.</w:t>
            </w:r>
          </w:p>
          <w:p w:rsidR="00877BF7" w:rsidRPr="00F942B2" w:rsidRDefault="00877BF7" w:rsidP="00F649BE">
            <w:pPr>
              <w:jc w:val="both"/>
            </w:pPr>
          </w:p>
        </w:tc>
      </w:tr>
      <w:tr w:rsidR="00877BF7" w:rsidTr="00F649BE">
        <w:tc>
          <w:tcPr>
            <w:tcW w:w="9570" w:type="dxa"/>
          </w:tcPr>
          <w:p w:rsidR="00877BF7" w:rsidRDefault="00877BF7" w:rsidP="00F649BE">
            <w:pPr>
              <w:jc w:val="both"/>
            </w:pPr>
            <w:r>
              <w:t>Portfolio Budget Submission 2008, Ministry of Education.</w:t>
            </w:r>
          </w:p>
          <w:p w:rsidR="00877BF7" w:rsidRDefault="00877BF7" w:rsidP="00F649BE">
            <w:pPr>
              <w:jc w:val="both"/>
            </w:pPr>
          </w:p>
        </w:tc>
      </w:tr>
      <w:tr w:rsidR="00877BF7" w:rsidTr="00F649BE">
        <w:tc>
          <w:tcPr>
            <w:tcW w:w="9570" w:type="dxa"/>
          </w:tcPr>
          <w:p w:rsidR="00877BF7" w:rsidRDefault="00877BF7" w:rsidP="00F649BE">
            <w:pPr>
              <w:jc w:val="both"/>
            </w:pPr>
            <w:r w:rsidRPr="000E281E">
              <w:rPr>
                <w:rFonts w:eastAsia="Calibri" w:cs="Times New Roman"/>
              </w:rPr>
              <w:t>Primary School Survey</w:t>
            </w:r>
            <w:r>
              <w:t xml:space="preserve">: </w:t>
            </w:r>
            <w:r w:rsidRPr="000E281E">
              <w:rPr>
                <w:rFonts w:eastAsia="Calibri" w:cs="Times New Roman"/>
              </w:rPr>
              <w:t>Use of Grants under the UPE Policy in 2010</w:t>
            </w:r>
            <w:r>
              <w:t xml:space="preserve">, </w:t>
            </w:r>
            <w:r w:rsidRPr="000E281E">
              <w:rPr>
                <w:rFonts w:eastAsia="Calibri" w:cs="Times New Roman"/>
              </w:rPr>
              <w:t>A Joint Exercise by Ministry of Education</w:t>
            </w:r>
            <w:r>
              <w:t xml:space="preserve"> </w:t>
            </w:r>
            <w:r w:rsidRPr="000E281E">
              <w:rPr>
                <w:rFonts w:eastAsia="Calibri" w:cs="Times New Roman"/>
              </w:rPr>
              <w:t>&amp;</w:t>
            </w:r>
            <w:r>
              <w:t xml:space="preserve"> </w:t>
            </w:r>
            <w:r w:rsidRPr="000E281E">
              <w:rPr>
                <w:rFonts w:eastAsia="Calibri" w:cs="Times New Roman"/>
              </w:rPr>
              <w:t>Ministry of Finance &amp; Economic Management</w:t>
            </w:r>
            <w:r>
              <w:t xml:space="preserve">, </w:t>
            </w:r>
            <w:r w:rsidRPr="000E281E">
              <w:rPr>
                <w:rFonts w:eastAsia="Calibri" w:cs="Times New Roman"/>
              </w:rPr>
              <w:t>August, 2011</w:t>
            </w:r>
            <w:r>
              <w:t>.</w:t>
            </w:r>
          </w:p>
          <w:p w:rsidR="00877BF7" w:rsidRDefault="00877BF7" w:rsidP="00F649BE">
            <w:pPr>
              <w:jc w:val="both"/>
            </w:pPr>
          </w:p>
        </w:tc>
      </w:tr>
      <w:tr w:rsidR="00877BF7" w:rsidTr="00F649BE">
        <w:tc>
          <w:tcPr>
            <w:tcW w:w="9570" w:type="dxa"/>
          </w:tcPr>
          <w:p w:rsidR="00877BF7" w:rsidRDefault="00877BF7" w:rsidP="00F649BE">
            <w:pPr>
              <w:jc w:val="both"/>
            </w:pPr>
            <w:r>
              <w:t>Program Design Document and Annexes: Vanuatu Education Sector Program, draft dated 3 September 2012.</w:t>
            </w:r>
          </w:p>
          <w:p w:rsidR="00877BF7" w:rsidRDefault="00877BF7" w:rsidP="00F649BE">
            <w:pPr>
              <w:jc w:val="both"/>
            </w:pPr>
          </w:p>
        </w:tc>
      </w:tr>
      <w:tr w:rsidR="00877BF7" w:rsidTr="00F649BE">
        <w:tc>
          <w:tcPr>
            <w:tcW w:w="9570" w:type="dxa"/>
          </w:tcPr>
          <w:p w:rsidR="00877BF7" w:rsidRDefault="00877BF7" w:rsidP="00F649BE">
            <w:pPr>
              <w:jc w:val="both"/>
            </w:pPr>
            <w:r w:rsidRPr="00207F87">
              <w:t>Public Expenditure and</w:t>
            </w:r>
            <w:r>
              <w:t xml:space="preserve"> </w:t>
            </w:r>
            <w:r w:rsidRPr="00207F87">
              <w:t>Cost Analysis for Education</w:t>
            </w:r>
            <w:r>
              <w:t>: Current Issues in Education No.2, AusAID Education Resource Facility, September 2010.</w:t>
            </w:r>
          </w:p>
          <w:p w:rsidR="00877BF7" w:rsidRDefault="00877BF7" w:rsidP="00F649BE">
            <w:pPr>
              <w:jc w:val="both"/>
            </w:pPr>
          </w:p>
        </w:tc>
      </w:tr>
      <w:tr w:rsidR="00877BF7" w:rsidTr="00F649BE">
        <w:tc>
          <w:tcPr>
            <w:tcW w:w="9570" w:type="dxa"/>
          </w:tcPr>
          <w:p w:rsidR="00877BF7" w:rsidRDefault="00877BF7" w:rsidP="00F649BE">
            <w:pPr>
              <w:jc w:val="both"/>
            </w:pPr>
            <w:r>
              <w:t xml:space="preserve">Public Expenditure Review </w:t>
            </w:r>
            <w:proofErr w:type="spellStart"/>
            <w:r>
              <w:t>GoV</w:t>
            </w:r>
            <w:proofErr w:type="spellEnd"/>
            <w:r>
              <w:t xml:space="preserve"> Health Sector, Ministry of Finance and Economic </w:t>
            </w:r>
            <w:r>
              <w:lastRenderedPageBreak/>
              <w:t>Management, November 2011.</w:t>
            </w:r>
          </w:p>
          <w:p w:rsidR="00877BF7" w:rsidRDefault="00877BF7" w:rsidP="00F649BE">
            <w:pPr>
              <w:jc w:val="both"/>
            </w:pPr>
          </w:p>
        </w:tc>
      </w:tr>
      <w:tr w:rsidR="00877BF7" w:rsidTr="00F649BE">
        <w:tc>
          <w:tcPr>
            <w:tcW w:w="9570" w:type="dxa"/>
          </w:tcPr>
          <w:p w:rsidR="00877BF7" w:rsidRDefault="00877BF7" w:rsidP="00F649BE">
            <w:pPr>
              <w:jc w:val="both"/>
            </w:pPr>
            <w:r>
              <w:lastRenderedPageBreak/>
              <w:t>Republic of Vanuatu Assessment of National Systems (Draft), January 2012.</w:t>
            </w:r>
          </w:p>
          <w:p w:rsidR="00877BF7" w:rsidRDefault="00877BF7" w:rsidP="00F649BE">
            <w:pPr>
              <w:jc w:val="both"/>
            </w:pPr>
          </w:p>
        </w:tc>
      </w:tr>
      <w:tr w:rsidR="00877BF7" w:rsidTr="00F649BE">
        <w:tc>
          <w:tcPr>
            <w:tcW w:w="9570" w:type="dxa"/>
          </w:tcPr>
          <w:p w:rsidR="00877BF7" w:rsidRDefault="00877BF7" w:rsidP="00F649BE">
            <w:pPr>
              <w:jc w:val="both"/>
            </w:pPr>
            <w:r>
              <w:t>Republic of Vanuatu Country Case Study, World Bank, 2005.</w:t>
            </w:r>
          </w:p>
          <w:p w:rsidR="00877BF7" w:rsidRDefault="00877BF7" w:rsidP="00F649BE">
            <w:pPr>
              <w:jc w:val="both"/>
            </w:pPr>
          </w:p>
        </w:tc>
      </w:tr>
      <w:tr w:rsidR="00877BF7" w:rsidTr="00F649BE">
        <w:tc>
          <w:tcPr>
            <w:tcW w:w="9570" w:type="dxa"/>
          </w:tcPr>
          <w:p w:rsidR="00877BF7" w:rsidRDefault="00877BF7" w:rsidP="00F649BE">
            <w:pPr>
              <w:jc w:val="both"/>
            </w:pPr>
            <w:r w:rsidRPr="000E281E">
              <w:rPr>
                <w:bCs/>
              </w:rPr>
              <w:t>Republic of Vanuatu</w:t>
            </w:r>
            <w:r>
              <w:rPr>
                <w:b/>
                <w:bCs/>
              </w:rPr>
              <w:t xml:space="preserve"> </w:t>
            </w:r>
            <w:r w:rsidRPr="000E281E">
              <w:t>Public Financial Management</w:t>
            </w:r>
            <w:r>
              <w:t xml:space="preserve"> </w:t>
            </w:r>
            <w:r w:rsidRPr="000E281E">
              <w:t>Performance Report</w:t>
            </w:r>
            <w:r>
              <w:t xml:space="preserve">, Carole and </w:t>
            </w:r>
            <w:proofErr w:type="spellStart"/>
            <w:r>
              <w:t>Nico</w:t>
            </w:r>
            <w:proofErr w:type="spellEnd"/>
            <w:r>
              <w:t xml:space="preserve"> Pretorius, November 2009.</w:t>
            </w:r>
          </w:p>
          <w:p w:rsidR="00877BF7" w:rsidRDefault="00877BF7" w:rsidP="00F649BE">
            <w:pPr>
              <w:jc w:val="both"/>
            </w:pPr>
          </w:p>
        </w:tc>
      </w:tr>
      <w:tr w:rsidR="00877BF7" w:rsidTr="00F649BE">
        <w:tc>
          <w:tcPr>
            <w:tcW w:w="9570" w:type="dxa"/>
          </w:tcPr>
          <w:p w:rsidR="00877BF7" w:rsidRDefault="00877BF7" w:rsidP="00F649BE">
            <w:pPr>
              <w:jc w:val="both"/>
            </w:pPr>
            <w:r>
              <w:t>Research into the financing of TVET in the Pacific: Background for Vanuatu, Australian Council for Educational Research, April 2012.</w:t>
            </w:r>
          </w:p>
          <w:p w:rsidR="00877BF7" w:rsidRDefault="00877BF7" w:rsidP="00F649BE">
            <w:pPr>
              <w:jc w:val="both"/>
            </w:pPr>
          </w:p>
        </w:tc>
      </w:tr>
      <w:tr w:rsidR="00877BF7" w:rsidTr="00F649BE">
        <w:tc>
          <w:tcPr>
            <w:tcW w:w="9570" w:type="dxa"/>
          </w:tcPr>
          <w:p w:rsidR="00877BF7" w:rsidRDefault="00877BF7" w:rsidP="00F649BE">
            <w:pPr>
              <w:jc w:val="both"/>
            </w:pPr>
            <w:r w:rsidRPr="00F942B2">
              <w:rPr>
                <w:rFonts w:eastAsia="Calibri" w:cs="Times New Roman"/>
              </w:rPr>
              <w:t>Review of Public Expenditure on Education</w:t>
            </w:r>
            <w:r w:rsidRPr="00F942B2">
              <w:t xml:space="preserve"> </w:t>
            </w:r>
            <w:r w:rsidRPr="00F942B2">
              <w:rPr>
                <w:rFonts w:eastAsia="Calibri" w:cs="Times New Roman"/>
              </w:rPr>
              <w:t>Final Report</w:t>
            </w:r>
            <w:r w:rsidRPr="00F942B2">
              <w:t xml:space="preserve">, </w:t>
            </w:r>
            <w:r>
              <w:t xml:space="preserve">commissioned by the Government of Tonga and AusAID, </w:t>
            </w:r>
            <w:r w:rsidRPr="00F942B2">
              <w:rPr>
                <w:rFonts w:eastAsia="Calibri" w:cs="Times New Roman"/>
              </w:rPr>
              <w:t>June 2010</w:t>
            </w:r>
            <w:r>
              <w:t>.</w:t>
            </w:r>
          </w:p>
          <w:p w:rsidR="00877BF7" w:rsidRPr="00F942B2" w:rsidRDefault="00877BF7" w:rsidP="00F649BE">
            <w:pPr>
              <w:jc w:val="both"/>
            </w:pPr>
          </w:p>
        </w:tc>
      </w:tr>
      <w:tr w:rsidR="00877BF7" w:rsidTr="00F649BE">
        <w:tc>
          <w:tcPr>
            <w:tcW w:w="9570" w:type="dxa"/>
          </w:tcPr>
          <w:p w:rsidR="00877BF7" w:rsidRDefault="00877BF7" w:rsidP="00F649BE">
            <w:pPr>
              <w:jc w:val="both"/>
            </w:pPr>
            <w:r>
              <w:t>School Grants Scheme, Ministry of Education, January 2010.</w:t>
            </w:r>
          </w:p>
          <w:p w:rsidR="00877BF7" w:rsidRPr="000E281E" w:rsidRDefault="00877BF7" w:rsidP="00F649BE">
            <w:pPr>
              <w:jc w:val="both"/>
            </w:pPr>
          </w:p>
        </w:tc>
      </w:tr>
      <w:tr w:rsidR="00877BF7" w:rsidTr="00F649BE">
        <w:tc>
          <w:tcPr>
            <w:tcW w:w="9570" w:type="dxa"/>
          </w:tcPr>
          <w:p w:rsidR="00877BF7" w:rsidRDefault="00877BF7" w:rsidP="00F649BE">
            <w:pPr>
              <w:jc w:val="both"/>
            </w:pPr>
            <w:r>
              <w:t>Schools Financial Management Manual, Ministry of Education (undated).</w:t>
            </w:r>
          </w:p>
          <w:p w:rsidR="00877BF7" w:rsidRPr="000E281E" w:rsidRDefault="00877BF7" w:rsidP="00F649BE">
            <w:pPr>
              <w:jc w:val="both"/>
            </w:pPr>
          </w:p>
        </w:tc>
      </w:tr>
      <w:tr w:rsidR="00877BF7" w:rsidTr="00F649BE">
        <w:tc>
          <w:tcPr>
            <w:tcW w:w="9570" w:type="dxa"/>
          </w:tcPr>
          <w:p w:rsidR="00877BF7" w:rsidRDefault="00877BF7" w:rsidP="00F649BE">
            <w:pPr>
              <w:jc w:val="both"/>
            </w:pPr>
            <w:r>
              <w:t xml:space="preserve">Solomon Islands Education Sector Public Expenditure Review, </w:t>
            </w:r>
            <w:r w:rsidRPr="00F942B2">
              <w:t>Solomon Islands</w:t>
            </w:r>
            <w:r>
              <w:t xml:space="preserve"> </w:t>
            </w:r>
            <w:r w:rsidRPr="00F942B2">
              <w:t>Ministry of Education</w:t>
            </w:r>
            <w:r>
              <w:t xml:space="preserve"> </w:t>
            </w:r>
            <w:r w:rsidRPr="00F942B2">
              <w:t>and Human Resources</w:t>
            </w:r>
            <w:r>
              <w:t xml:space="preserve"> </w:t>
            </w:r>
            <w:r w:rsidRPr="00F942B2">
              <w:t>Development</w:t>
            </w:r>
            <w:r>
              <w:t>, September 2009.</w:t>
            </w:r>
          </w:p>
          <w:p w:rsidR="00877BF7" w:rsidRDefault="00877BF7" w:rsidP="00F649BE">
            <w:pPr>
              <w:jc w:val="both"/>
            </w:pPr>
          </w:p>
        </w:tc>
      </w:tr>
      <w:tr w:rsidR="00877BF7" w:rsidTr="00F649BE">
        <w:tc>
          <w:tcPr>
            <w:tcW w:w="9570" w:type="dxa"/>
          </w:tcPr>
          <w:p w:rsidR="00877BF7" w:rsidRDefault="00877BF7" w:rsidP="00F649BE">
            <w:pPr>
              <w:jc w:val="both"/>
            </w:pPr>
            <w:r>
              <w:t>Study into Teacher Costs Distribution and Effectiveness Final Report, Barbara Thornton for AusAID, January 2011.</w:t>
            </w:r>
          </w:p>
          <w:p w:rsidR="00877BF7" w:rsidRDefault="00877BF7" w:rsidP="00F649BE">
            <w:pPr>
              <w:jc w:val="both"/>
            </w:pPr>
          </w:p>
        </w:tc>
      </w:tr>
      <w:tr w:rsidR="00877BF7" w:rsidTr="00F649BE">
        <w:tc>
          <w:tcPr>
            <w:tcW w:w="9570" w:type="dxa"/>
          </w:tcPr>
          <w:p w:rsidR="00877BF7" w:rsidRDefault="00877BF7" w:rsidP="00F649BE">
            <w:pPr>
              <w:jc w:val="both"/>
              <w:rPr>
                <w:bCs/>
              </w:rPr>
            </w:pPr>
            <w:r w:rsidRPr="00D90616">
              <w:t xml:space="preserve"> </w:t>
            </w:r>
            <w:r w:rsidRPr="00D90616">
              <w:rPr>
                <w:bCs/>
              </w:rPr>
              <w:t>Teacher Demand and Supply for Primary and Secondary School</w:t>
            </w:r>
            <w:r>
              <w:rPr>
                <w:bCs/>
              </w:rPr>
              <w:t>s</w:t>
            </w:r>
            <w:r w:rsidRPr="00D90616">
              <w:rPr>
                <w:bCs/>
              </w:rPr>
              <w:t xml:space="preserve"> in Vanuatu 2012-2022</w:t>
            </w:r>
            <w:r>
              <w:rPr>
                <w:bCs/>
              </w:rPr>
              <w:t xml:space="preserve">, Paul </w:t>
            </w:r>
            <w:proofErr w:type="spellStart"/>
            <w:r>
              <w:rPr>
                <w:bCs/>
              </w:rPr>
              <w:t>Bennell</w:t>
            </w:r>
            <w:proofErr w:type="spellEnd"/>
            <w:r>
              <w:rPr>
                <w:bCs/>
              </w:rPr>
              <w:t xml:space="preserve"> for the AusAID Education Resource Facility, March 2012.</w:t>
            </w:r>
          </w:p>
          <w:p w:rsidR="00877BF7" w:rsidRPr="00D90616" w:rsidRDefault="00877BF7" w:rsidP="00F649BE">
            <w:pPr>
              <w:jc w:val="both"/>
            </w:pPr>
          </w:p>
        </w:tc>
      </w:tr>
      <w:tr w:rsidR="00877BF7" w:rsidTr="00F649BE">
        <w:tc>
          <w:tcPr>
            <w:tcW w:w="9570" w:type="dxa"/>
          </w:tcPr>
          <w:p w:rsidR="00877BF7" w:rsidRDefault="00877BF7" w:rsidP="00F649BE">
            <w:pPr>
              <w:jc w:val="both"/>
            </w:pPr>
            <w:r>
              <w:t>The Millennium Development Goals Report 2012, Statistical Annex, United Nations, 2012.</w:t>
            </w:r>
          </w:p>
          <w:p w:rsidR="00877BF7" w:rsidRDefault="00877BF7" w:rsidP="00F649BE">
            <w:pPr>
              <w:jc w:val="both"/>
            </w:pPr>
          </w:p>
        </w:tc>
      </w:tr>
      <w:tr w:rsidR="00877BF7" w:rsidTr="00F649BE">
        <w:tc>
          <w:tcPr>
            <w:tcW w:w="9570" w:type="dxa"/>
          </w:tcPr>
          <w:p w:rsidR="00877BF7" w:rsidRDefault="00877BF7" w:rsidP="00F649BE">
            <w:pPr>
              <w:jc w:val="both"/>
            </w:pPr>
            <w:r>
              <w:t>Vanuatu Early Childhood Care and Education Policy, Government of Vanuatu Ministry of Education, August 2010.</w:t>
            </w:r>
          </w:p>
          <w:p w:rsidR="00877BF7" w:rsidRDefault="00877BF7" w:rsidP="00F649BE">
            <w:pPr>
              <w:jc w:val="both"/>
            </w:pPr>
          </w:p>
        </w:tc>
      </w:tr>
      <w:tr w:rsidR="00877BF7" w:rsidTr="00F649BE">
        <w:tc>
          <w:tcPr>
            <w:tcW w:w="9570" w:type="dxa"/>
          </w:tcPr>
          <w:p w:rsidR="00877BF7" w:rsidRDefault="00877BF7" w:rsidP="00F649BE">
            <w:pPr>
              <w:jc w:val="both"/>
              <w:rPr>
                <w:lang w:val="en-US"/>
              </w:rPr>
            </w:pPr>
            <w:r w:rsidRPr="00D9730C">
              <w:rPr>
                <w:lang w:val="en-US"/>
              </w:rPr>
              <w:t>Vanuatu Early Grade Reading Assessment (</w:t>
            </w:r>
            <w:proofErr w:type="spellStart"/>
            <w:r w:rsidRPr="00D9730C">
              <w:rPr>
                <w:lang w:val="en-US"/>
              </w:rPr>
              <w:t>VanEGRA</w:t>
            </w:r>
            <w:proofErr w:type="spellEnd"/>
            <w:r w:rsidRPr="00D9730C">
              <w:rPr>
                <w:lang w:val="en-US"/>
              </w:rPr>
              <w:t>) Baseline Survey</w:t>
            </w:r>
            <w:r>
              <w:rPr>
                <w:lang w:val="en-US"/>
              </w:rPr>
              <w:t xml:space="preserve"> Results Reports (Anglophone and Francophone Streams), World Bank for the Government of Vanuatu, Surveys undertaken in 2010 but reports undated.</w:t>
            </w:r>
          </w:p>
          <w:p w:rsidR="00877BF7" w:rsidRDefault="00877BF7" w:rsidP="00F649BE">
            <w:pPr>
              <w:jc w:val="both"/>
            </w:pPr>
          </w:p>
        </w:tc>
      </w:tr>
      <w:tr w:rsidR="00877BF7" w:rsidTr="00F649BE">
        <w:tc>
          <w:tcPr>
            <w:tcW w:w="9570" w:type="dxa"/>
          </w:tcPr>
          <w:p w:rsidR="00877BF7" w:rsidRDefault="00877BF7" w:rsidP="00F649BE">
            <w:pPr>
              <w:jc w:val="both"/>
            </w:pPr>
            <w:r w:rsidRPr="00913BA5">
              <w:t>Vanuatu Economic</w:t>
            </w:r>
            <w:r>
              <w:t xml:space="preserve"> </w:t>
            </w:r>
            <w:r w:rsidRPr="00913BA5">
              <w:t>Report 2009</w:t>
            </w:r>
            <w:r>
              <w:t xml:space="preserve">: Accelerating Reform, Asian Development Bank Pacific Studies Series, 2009. </w:t>
            </w:r>
          </w:p>
          <w:p w:rsidR="00877BF7" w:rsidRDefault="00877BF7" w:rsidP="00F649BE">
            <w:pPr>
              <w:jc w:val="both"/>
            </w:pPr>
          </w:p>
        </w:tc>
      </w:tr>
      <w:tr w:rsidR="00877BF7" w:rsidTr="00F649BE">
        <w:tc>
          <w:tcPr>
            <w:tcW w:w="9570" w:type="dxa"/>
          </w:tcPr>
          <w:p w:rsidR="00877BF7" w:rsidRDefault="00877BF7" w:rsidP="00F649BE">
            <w:pPr>
              <w:jc w:val="both"/>
            </w:pPr>
            <w:r>
              <w:t>Vanuatu Education Road Map, Government of Vanuatu, December 2009.</w:t>
            </w:r>
          </w:p>
          <w:p w:rsidR="00877BF7" w:rsidRDefault="00877BF7" w:rsidP="00F649BE">
            <w:pPr>
              <w:jc w:val="both"/>
            </w:pPr>
          </w:p>
        </w:tc>
      </w:tr>
      <w:tr w:rsidR="00877BF7" w:rsidTr="00F649BE">
        <w:tc>
          <w:tcPr>
            <w:tcW w:w="9570" w:type="dxa"/>
          </w:tcPr>
          <w:p w:rsidR="00877BF7" w:rsidRDefault="00877BF7" w:rsidP="00F649BE">
            <w:pPr>
              <w:jc w:val="both"/>
            </w:pPr>
            <w:r>
              <w:t>Vanuatu Education Sector Strategy, Government of Vanuatu, December 2006.</w:t>
            </w:r>
          </w:p>
          <w:p w:rsidR="00877BF7" w:rsidRDefault="00877BF7" w:rsidP="00F649BE">
            <w:pPr>
              <w:jc w:val="both"/>
            </w:pPr>
          </w:p>
        </w:tc>
      </w:tr>
      <w:tr w:rsidR="00877BF7" w:rsidTr="00F649BE">
        <w:tc>
          <w:tcPr>
            <w:tcW w:w="9570" w:type="dxa"/>
          </w:tcPr>
          <w:p w:rsidR="00877BF7" w:rsidRDefault="00877BF7" w:rsidP="00F649BE">
            <w:pPr>
              <w:jc w:val="both"/>
            </w:pPr>
            <w:r w:rsidRPr="00E07A9E">
              <w:t>Vanuatu Inclusive Education (IE) Policy</w:t>
            </w:r>
            <w:r>
              <w:t xml:space="preserve">, </w:t>
            </w:r>
            <w:proofErr w:type="spellStart"/>
            <w:r>
              <w:t>GoV</w:t>
            </w:r>
            <w:proofErr w:type="spellEnd"/>
            <w:r>
              <w:t xml:space="preserve"> Ministry of Education, July 2011.</w:t>
            </w:r>
          </w:p>
          <w:p w:rsidR="00877BF7" w:rsidRDefault="00877BF7" w:rsidP="00F649BE">
            <w:pPr>
              <w:jc w:val="both"/>
            </w:pPr>
          </w:p>
        </w:tc>
      </w:tr>
      <w:tr w:rsidR="00877BF7" w:rsidTr="00F649BE">
        <w:tc>
          <w:tcPr>
            <w:tcW w:w="9570" w:type="dxa"/>
          </w:tcPr>
          <w:p w:rsidR="00877BF7" w:rsidRDefault="00877BF7" w:rsidP="00F649BE">
            <w:pPr>
              <w:jc w:val="both"/>
            </w:pPr>
            <w:r>
              <w:t>Vanuatu National School Minimum Quality Standards, Ministry of Education, December 2011.</w:t>
            </w:r>
          </w:p>
          <w:p w:rsidR="00877BF7" w:rsidRDefault="00877BF7" w:rsidP="00F649BE">
            <w:pPr>
              <w:jc w:val="both"/>
            </w:pPr>
          </w:p>
        </w:tc>
      </w:tr>
      <w:tr w:rsidR="00877BF7" w:rsidTr="00F649BE">
        <w:tc>
          <w:tcPr>
            <w:tcW w:w="9570" w:type="dxa"/>
          </w:tcPr>
          <w:p w:rsidR="00877BF7" w:rsidRDefault="00877BF7" w:rsidP="00F649BE">
            <w:pPr>
              <w:jc w:val="both"/>
            </w:pPr>
            <w:r w:rsidRPr="000E281E">
              <w:lastRenderedPageBreak/>
              <w:t>Vanuatu Public Expenditure and</w:t>
            </w:r>
            <w:r>
              <w:t xml:space="preserve"> </w:t>
            </w:r>
            <w:r w:rsidRPr="000E281E">
              <w:t>Financial Accountability</w:t>
            </w:r>
            <w:r>
              <w:t xml:space="preserve"> </w:t>
            </w:r>
            <w:r w:rsidRPr="000E281E">
              <w:t xml:space="preserve">Final </w:t>
            </w:r>
            <w:r>
              <w:t>R</w:t>
            </w:r>
            <w:r w:rsidRPr="000E281E">
              <w:t>eport</w:t>
            </w:r>
            <w:r>
              <w:t>, ECORYS Nederland BV, July 2006.</w:t>
            </w:r>
          </w:p>
          <w:p w:rsidR="00877BF7" w:rsidRDefault="00877BF7" w:rsidP="00F649BE">
            <w:pPr>
              <w:jc w:val="both"/>
            </w:pPr>
          </w:p>
        </w:tc>
      </w:tr>
      <w:tr w:rsidR="00877BF7" w:rsidTr="00F649BE">
        <w:tc>
          <w:tcPr>
            <w:tcW w:w="9570" w:type="dxa"/>
          </w:tcPr>
          <w:p w:rsidR="00877BF7" w:rsidRDefault="00877BF7" w:rsidP="00F649BE">
            <w:pPr>
              <w:jc w:val="both"/>
            </w:pPr>
            <w:r>
              <w:t xml:space="preserve">Vanuatu Technical Vocational Education and Training (TVET) Policy, Ministry of Youth Development Sports and Training, June 2010. </w:t>
            </w:r>
          </w:p>
          <w:p w:rsidR="00877BF7" w:rsidRDefault="00877BF7" w:rsidP="00F649BE">
            <w:pPr>
              <w:jc w:val="both"/>
            </w:pPr>
          </w:p>
        </w:tc>
      </w:tr>
    </w:tbl>
    <w:p w:rsidR="005D190C" w:rsidRDefault="005D190C" w:rsidP="00877BF7">
      <w:pPr>
        <w:jc w:val="both"/>
      </w:pPr>
    </w:p>
    <w:sectPr w:rsidR="005D190C" w:rsidSect="006425FC">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8E" w:rsidRDefault="00617B8E" w:rsidP="00AD3622">
      <w:r>
        <w:separator/>
      </w:r>
    </w:p>
  </w:endnote>
  <w:endnote w:type="continuationSeparator" w:id="0">
    <w:p w:rsidR="00617B8E" w:rsidRDefault="00617B8E" w:rsidP="00AD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8E" w:rsidRDefault="00617B8E" w:rsidP="00AD3622">
      <w:r>
        <w:separator/>
      </w:r>
    </w:p>
  </w:footnote>
  <w:footnote w:type="continuationSeparator" w:id="0">
    <w:p w:rsidR="00617B8E" w:rsidRDefault="00617B8E" w:rsidP="00AD3622">
      <w:r>
        <w:continuationSeparator/>
      </w:r>
    </w:p>
  </w:footnote>
  <w:footnote w:id="1">
    <w:p w:rsidR="00617B8E" w:rsidRDefault="00617B8E" w:rsidP="003E13EF">
      <w:pPr>
        <w:pStyle w:val="FootnoteText"/>
        <w:jc w:val="both"/>
      </w:pPr>
      <w:r>
        <w:rPr>
          <w:rStyle w:val="FootnoteReference"/>
        </w:rPr>
        <w:footnoteRef/>
      </w:r>
      <w:r>
        <w:t xml:space="preserve"> Needs for possible legislative amendments associated with some recommendations are outlined in Section 3.2.</w:t>
      </w:r>
    </w:p>
  </w:footnote>
  <w:footnote w:id="2">
    <w:p w:rsidR="00617B8E" w:rsidRDefault="00617B8E" w:rsidP="00C56005">
      <w:pPr>
        <w:pStyle w:val="FootnoteText"/>
        <w:jc w:val="both"/>
      </w:pPr>
      <w:r>
        <w:rPr>
          <w:rStyle w:val="FootnoteReference"/>
        </w:rPr>
        <w:footnoteRef/>
      </w:r>
      <w:r>
        <w:t xml:space="preserve"> See, to cite just a few sources: ‘Republic of Vanuatu: Country Case Study’, World Bank (2005); ‘Vanuatu Education Sector Strategy 2007-2016’, Government of Vanuatu (December 2006); ‘Vanuatu Economic Report 2009’, Asian Development Bank Pacific Studies Series (2009), ‘Children in Vanuatu 2011: An Atlas of Social Indicators’, UNICEF (2011); ‘Republic of Vanuatu Assessment of National Systems’, Mike </w:t>
      </w:r>
      <w:proofErr w:type="spellStart"/>
      <w:r>
        <w:t>Francino</w:t>
      </w:r>
      <w:proofErr w:type="spellEnd"/>
      <w:r>
        <w:t xml:space="preserve"> for AusAID (2012); ‘Program Design Document: Vanuatu Education Sector Program (Draft)’, (3 September 2012).</w:t>
      </w:r>
    </w:p>
  </w:footnote>
  <w:footnote w:id="3">
    <w:p w:rsidR="00617B8E" w:rsidRDefault="00617B8E" w:rsidP="002A5B40">
      <w:pPr>
        <w:pStyle w:val="FootnoteText"/>
        <w:jc w:val="both"/>
      </w:pPr>
      <w:r>
        <w:rPr>
          <w:rStyle w:val="FootnoteReference"/>
        </w:rPr>
        <w:footnoteRef/>
      </w:r>
      <w:r>
        <w:t xml:space="preserve"> </w:t>
      </w:r>
      <w:proofErr w:type="spellStart"/>
      <w:r>
        <w:t>MoE</w:t>
      </w:r>
      <w:proofErr w:type="spellEnd"/>
      <w:r>
        <w:t xml:space="preserve"> Annual Report 2011, page 11.</w:t>
      </w:r>
    </w:p>
  </w:footnote>
  <w:footnote w:id="4">
    <w:p w:rsidR="00617B8E" w:rsidRDefault="00617B8E" w:rsidP="00F96D4D">
      <w:pPr>
        <w:pStyle w:val="FootnoteText"/>
        <w:jc w:val="both"/>
      </w:pPr>
      <w:r>
        <w:rPr>
          <w:rStyle w:val="FootnoteReference"/>
        </w:rPr>
        <w:footnoteRef/>
      </w:r>
      <w:r>
        <w:t xml:space="preserve"> Insights into compliance and related issues are available from a number of sources including, notably, the most recent PEFA exercise undertaken for Vanuatu.  </w:t>
      </w:r>
    </w:p>
  </w:footnote>
  <w:footnote w:id="5">
    <w:p w:rsidR="00617B8E" w:rsidRDefault="00617B8E" w:rsidP="00A02589">
      <w:pPr>
        <w:pStyle w:val="FootnoteText"/>
        <w:jc w:val="both"/>
      </w:pPr>
      <w:r>
        <w:rPr>
          <w:rStyle w:val="FootnoteReference"/>
        </w:rPr>
        <w:footnoteRef/>
      </w:r>
      <w:r>
        <w:t xml:space="preserve"> Although it might be suggested that, at a strategic level, </w:t>
      </w:r>
      <w:proofErr w:type="spellStart"/>
      <w:r>
        <w:t>GoV</w:t>
      </w:r>
      <w:proofErr w:type="spellEnd"/>
      <w:r>
        <w:t xml:space="preserve"> agreements with its development partners have done  little more to target development funding on specific priorities.  See, for example, ‘Partnership for Development between the Government of Australia and the Government of Vanuatu’, Partnership Priority Outcome 1: Improved Education’, (May 2009).</w:t>
      </w:r>
    </w:p>
  </w:footnote>
  <w:footnote w:id="6">
    <w:p w:rsidR="00617B8E" w:rsidRDefault="00617B8E" w:rsidP="00355FA2">
      <w:pPr>
        <w:pStyle w:val="FootnoteText"/>
        <w:jc w:val="both"/>
      </w:pPr>
      <w:r>
        <w:rPr>
          <w:rStyle w:val="FootnoteReference"/>
        </w:rPr>
        <w:footnoteRef/>
      </w:r>
      <w:r>
        <w:t xml:space="preserve"> The ‘Pool Partners’ Australia, New Zealand and UNICEF have made their recent contributions through a Grant Financing Arrangement with the </w:t>
      </w:r>
      <w:proofErr w:type="spellStart"/>
      <w:r>
        <w:t>GoV</w:t>
      </w:r>
      <w:proofErr w:type="spellEnd"/>
      <w:r>
        <w:t xml:space="preserve"> and in recent years have channelled the greater part of their funding support through the </w:t>
      </w:r>
      <w:proofErr w:type="spellStart"/>
      <w:r>
        <w:t>GoV</w:t>
      </w:r>
      <w:proofErr w:type="spellEnd"/>
      <w:r>
        <w:t xml:space="preserve"> Development Fund.  Other development partners (e.g. JICA, France) have contributed through separate mechanisms.</w:t>
      </w:r>
    </w:p>
  </w:footnote>
  <w:footnote w:id="7">
    <w:p w:rsidR="00617B8E" w:rsidRDefault="00617B8E" w:rsidP="00656279">
      <w:pPr>
        <w:pStyle w:val="FootnoteText"/>
      </w:pPr>
      <w:r>
        <w:rPr>
          <w:rStyle w:val="FootnoteReference"/>
        </w:rPr>
        <w:footnoteRef/>
      </w:r>
      <w:r>
        <w:t xml:space="preserve"> But see below regarding disparities between budgets and actual funding.</w:t>
      </w:r>
    </w:p>
  </w:footnote>
  <w:footnote w:id="8">
    <w:p w:rsidR="00617B8E" w:rsidRDefault="00617B8E" w:rsidP="0095650B">
      <w:pPr>
        <w:pStyle w:val="FootnoteText"/>
        <w:jc w:val="both"/>
      </w:pPr>
      <w:r>
        <w:rPr>
          <w:rStyle w:val="FootnoteReference"/>
        </w:rPr>
        <w:footnoteRef/>
      </w:r>
      <w:r>
        <w:t xml:space="preserve"> In this and all subsequent tables amounts and percentages may not sum to totals due to rounding of figures. </w:t>
      </w:r>
    </w:p>
  </w:footnote>
  <w:footnote w:id="9">
    <w:p w:rsidR="00617B8E" w:rsidRDefault="00617B8E" w:rsidP="0095650B">
      <w:pPr>
        <w:pStyle w:val="FootnoteText"/>
      </w:pPr>
      <w:r>
        <w:rPr>
          <w:rStyle w:val="FootnoteReference"/>
        </w:rPr>
        <w:footnoteRef/>
      </w:r>
      <w:r>
        <w:t xml:space="preserve"> 2011 figures are 2011 budgets, not actuals.</w:t>
      </w:r>
    </w:p>
  </w:footnote>
  <w:footnote w:id="10">
    <w:p w:rsidR="00617B8E" w:rsidRDefault="00617B8E" w:rsidP="0095650B">
      <w:pPr>
        <w:pStyle w:val="FootnoteText"/>
        <w:jc w:val="both"/>
      </w:pPr>
      <w:r>
        <w:rPr>
          <w:rStyle w:val="FootnoteReference"/>
        </w:rPr>
        <w:footnoteRef/>
      </w:r>
      <w:r>
        <w:t xml:space="preserve"> It has been reported that around half of VCCI income from all sources is allocated to training and development activities for Vanuatu businesses.</w:t>
      </w:r>
    </w:p>
  </w:footnote>
  <w:footnote w:id="11">
    <w:p w:rsidR="00617B8E" w:rsidRDefault="00617B8E" w:rsidP="0095650B">
      <w:pPr>
        <w:pStyle w:val="FootnoteText"/>
        <w:jc w:val="both"/>
      </w:pPr>
      <w:r>
        <w:rPr>
          <w:rStyle w:val="FootnoteReference"/>
        </w:rPr>
        <w:footnoteRef/>
      </w:r>
      <w:r>
        <w:t xml:space="preserve"> </w:t>
      </w:r>
      <w:proofErr w:type="gramStart"/>
      <w:r>
        <w:t>For present purposes the term ‘development partners’ is confined to overseas governments and multilateral organisations (e.g. UNICEF).</w:t>
      </w:r>
      <w:proofErr w:type="gramEnd"/>
    </w:p>
  </w:footnote>
  <w:footnote w:id="12">
    <w:p w:rsidR="00617B8E" w:rsidRDefault="00617B8E" w:rsidP="0095650B">
      <w:pPr>
        <w:pStyle w:val="FootnoteText"/>
        <w:jc w:val="both"/>
      </w:pPr>
      <w:r>
        <w:rPr>
          <w:rStyle w:val="FootnoteReference"/>
        </w:rPr>
        <w:footnoteRef/>
      </w:r>
      <w:r>
        <w:t xml:space="preserve"> ‘Program Design Document, Vanuatu Education Sector Program’, Draft dated 3 September 2012, pages 15-16. </w:t>
      </w:r>
    </w:p>
  </w:footnote>
  <w:footnote w:id="13">
    <w:p w:rsidR="00617B8E" w:rsidRDefault="00617B8E" w:rsidP="0095650B">
      <w:pPr>
        <w:pStyle w:val="FootnoteText"/>
        <w:jc w:val="both"/>
      </w:pPr>
      <w:r>
        <w:rPr>
          <w:rStyle w:val="FootnoteReference"/>
        </w:rPr>
        <w:footnoteRef/>
      </w:r>
      <w:r>
        <w:t xml:space="preserve"> </w:t>
      </w:r>
      <w:proofErr w:type="spellStart"/>
      <w:r>
        <w:t>MoE’s</w:t>
      </w:r>
      <w:proofErr w:type="spellEnd"/>
      <w:r>
        <w:t xml:space="preserve"> budgeted Development Fund resourcing in 2011 was nearly VT1.5 billion.  Its actual revenue through the Fund was around one-third of this largely, it is understood, because the second tranche of VERM development partner funding for 2011 was not paid because disbursement of the first tranche was very slow.  </w:t>
      </w:r>
    </w:p>
  </w:footnote>
  <w:footnote w:id="14">
    <w:p w:rsidR="00617B8E" w:rsidRDefault="00617B8E" w:rsidP="0095650B">
      <w:pPr>
        <w:pStyle w:val="FootnoteText"/>
        <w:jc w:val="both"/>
      </w:pPr>
      <w:r>
        <w:rPr>
          <w:rStyle w:val="FootnoteReference"/>
        </w:rPr>
        <w:footnoteRef/>
      </w:r>
      <w:r>
        <w:t xml:space="preserve"> </w:t>
      </w:r>
      <w:r w:rsidRPr="00505CA2">
        <w:t xml:space="preserve">. </w:t>
      </w:r>
      <w:r>
        <w:t xml:space="preserve">The sample totalled </w:t>
      </w:r>
      <w:r w:rsidRPr="00505CA2">
        <w:t xml:space="preserve">56 schools representing approximately 12% of total </w:t>
      </w:r>
      <w:proofErr w:type="spellStart"/>
      <w:r w:rsidRPr="00505CA2">
        <w:t>GoV</w:t>
      </w:r>
      <w:proofErr w:type="spellEnd"/>
      <w:r w:rsidRPr="00505CA2">
        <w:t xml:space="preserve">/GA primary and secondary schools recorded in VEMIS for 2011.  With the exception of </w:t>
      </w:r>
      <w:proofErr w:type="spellStart"/>
      <w:r w:rsidRPr="00505CA2">
        <w:t>Torba</w:t>
      </w:r>
      <w:proofErr w:type="spellEnd"/>
      <w:r w:rsidRPr="00505CA2">
        <w:t xml:space="preserve">, where the number of schools sampled was increased to produce a viable sample size,  the sample was drawn randomly </w:t>
      </w:r>
      <w:r>
        <w:t xml:space="preserve">as </w:t>
      </w:r>
      <w:r w:rsidRPr="00505CA2">
        <w:t xml:space="preserve">an approximate 10% selection of both </w:t>
      </w:r>
      <w:proofErr w:type="spellStart"/>
      <w:r w:rsidRPr="00505CA2">
        <w:t>GoV</w:t>
      </w:r>
      <w:proofErr w:type="spellEnd"/>
      <w:r w:rsidRPr="00505CA2">
        <w:t xml:space="preserve"> and GA schools at Primary level and an approximate 30% selection of (the smaller number of ) schools at Secondary level.</w:t>
      </w:r>
      <w:r>
        <w:t xml:space="preserve">  </w:t>
      </w:r>
      <w:r w:rsidRPr="00505CA2">
        <w:t>‘Primary Schools’ as defined by VEMIS include some schools containing Years 7-8 students for which increased per-student grants were not provided in 2010 and beyond.  Hence ‘Primary’ schools containing Year 7-8 students included in the sample had a relatively higher proportion of non-grant (including fee) to total banked school income.</w:t>
      </w:r>
    </w:p>
  </w:footnote>
  <w:footnote w:id="15">
    <w:p w:rsidR="00617B8E" w:rsidRDefault="00617B8E" w:rsidP="0095650B">
      <w:pPr>
        <w:pStyle w:val="FootnoteText"/>
      </w:pPr>
      <w:r>
        <w:rPr>
          <w:rStyle w:val="FootnoteReference"/>
        </w:rPr>
        <w:footnoteRef/>
      </w:r>
      <w:r>
        <w:t xml:space="preserve"> (Draft) 2010 Household Income and Expenditure Survey Report, VNSO, Chapter 5 and Table 5-7.</w:t>
      </w:r>
    </w:p>
  </w:footnote>
  <w:footnote w:id="16">
    <w:p w:rsidR="00617B8E" w:rsidRDefault="00617B8E" w:rsidP="0095650B">
      <w:pPr>
        <w:pStyle w:val="FootnoteText"/>
        <w:jc w:val="both"/>
      </w:pPr>
      <w:r>
        <w:rPr>
          <w:rStyle w:val="FootnoteReference"/>
        </w:rPr>
        <w:footnoteRef/>
      </w:r>
      <w:r>
        <w:t xml:space="preserve"> It might be suggested that </w:t>
      </w:r>
      <w:proofErr w:type="spellStart"/>
      <w:r>
        <w:t>MoE’s</w:t>
      </w:r>
      <w:proofErr w:type="spellEnd"/>
      <w:r>
        <w:t xml:space="preserve"> original annual budgets are of limited interest for the analysis of trends since supplementary budgets and actual expenditures </w:t>
      </w:r>
      <w:r w:rsidRPr="0060571A">
        <w:rPr>
          <w:i/>
        </w:rPr>
        <w:t>may</w:t>
      </w:r>
      <w:r>
        <w:t xml:space="preserve"> combine to present a quite different picture.  However, original annual budgets are (or should be) a reflection of a government’s expenditure priorities for the financial year ahead.  As such they provide (or should provide) insights into whether budgeted expenditure priorities reflect a Government’s broader policy objectives and strategies.  </w:t>
      </w:r>
    </w:p>
  </w:footnote>
  <w:footnote w:id="17">
    <w:p w:rsidR="00617B8E" w:rsidRDefault="00617B8E" w:rsidP="0095650B">
      <w:pPr>
        <w:pStyle w:val="FootnoteText"/>
        <w:jc w:val="both"/>
      </w:pPr>
      <w:r>
        <w:rPr>
          <w:rStyle w:val="FootnoteReference"/>
        </w:rPr>
        <w:footnoteRef/>
      </w:r>
      <w:r>
        <w:t xml:space="preserve"> </w:t>
      </w:r>
      <w:proofErr w:type="gramStart"/>
      <w:r>
        <w:t xml:space="preserve">Primary and secondary school enrolments being an approximate proxy for the real ‘throughput’ of the education system funded by </w:t>
      </w:r>
      <w:proofErr w:type="spellStart"/>
      <w:r>
        <w:t>MoE</w:t>
      </w:r>
      <w:proofErr w:type="spellEnd"/>
      <w:r>
        <w:t>.</w:t>
      </w:r>
      <w:proofErr w:type="gramEnd"/>
      <w:r>
        <w:t xml:space="preserve">  2002 enrolment data sourced from the World Bank’s 2005 Country Case Study.</w:t>
      </w:r>
    </w:p>
  </w:footnote>
  <w:footnote w:id="18">
    <w:p w:rsidR="00617B8E" w:rsidRDefault="00617B8E" w:rsidP="000F1953">
      <w:pPr>
        <w:pStyle w:val="FootnoteText"/>
        <w:jc w:val="both"/>
      </w:pPr>
      <w:r>
        <w:rPr>
          <w:rStyle w:val="FootnoteReference"/>
        </w:rPr>
        <w:footnoteRef/>
      </w:r>
      <w:r>
        <w:t xml:space="preserve"> The 2012 VERM budget included provision for Pool Partner funding of VITE (including the In Service Training Unit) amounting to some VT68 million for recurrent purposes and some VT112 million for capital expenditure.  The 2012 </w:t>
      </w:r>
      <w:proofErr w:type="spellStart"/>
      <w:r>
        <w:t>GoV</w:t>
      </w:r>
      <w:proofErr w:type="spellEnd"/>
      <w:r>
        <w:t xml:space="preserve"> budget provision for VITE was VT80 million (all recurrent). </w:t>
      </w:r>
    </w:p>
  </w:footnote>
  <w:footnote w:id="19">
    <w:p w:rsidR="00617B8E" w:rsidRDefault="00617B8E" w:rsidP="0095650B">
      <w:pPr>
        <w:pStyle w:val="FootnoteText"/>
        <w:jc w:val="both"/>
      </w:pPr>
      <w:r>
        <w:rPr>
          <w:rStyle w:val="FootnoteReference"/>
        </w:rPr>
        <w:footnoteRef/>
      </w:r>
      <w:r>
        <w:t xml:space="preserve"> Note that over the period 2008 to 2011 actual TVET-related expenditures by MYDT were consistently close to the original budgets for these years</w:t>
      </w:r>
    </w:p>
  </w:footnote>
  <w:footnote w:id="20">
    <w:p w:rsidR="00617B8E" w:rsidRDefault="00617B8E" w:rsidP="0095650B">
      <w:pPr>
        <w:pStyle w:val="FootnoteText"/>
        <w:jc w:val="both"/>
      </w:pPr>
      <w:r>
        <w:rPr>
          <w:rStyle w:val="FootnoteReference"/>
        </w:rPr>
        <w:footnoteRef/>
      </w:r>
      <w:r>
        <w:t xml:space="preserve"> ‘Public Expenditure and Cost Analysis for Education’, Education Resource Facility, AusAID (September 2010).</w:t>
      </w:r>
    </w:p>
  </w:footnote>
  <w:footnote w:id="21">
    <w:p w:rsidR="00617B8E" w:rsidRDefault="00617B8E" w:rsidP="0095650B">
      <w:pPr>
        <w:pStyle w:val="FootnoteText"/>
        <w:jc w:val="both"/>
      </w:pPr>
      <w:r>
        <w:rPr>
          <w:rStyle w:val="FootnoteReference"/>
        </w:rPr>
        <w:footnoteRef/>
      </w:r>
      <w:r>
        <w:t xml:space="preserve"> ‘Study into Teacher Costs, Distribution and Effectiveness: Final Report’, Barbara Thornton (January 2011), page 9.  </w:t>
      </w:r>
      <w:proofErr w:type="gramStart"/>
      <w:r>
        <w:t>Henceforth cited as the ‘Thornton Study’.</w:t>
      </w:r>
      <w:proofErr w:type="gramEnd"/>
    </w:p>
  </w:footnote>
  <w:footnote w:id="22">
    <w:p w:rsidR="00617B8E" w:rsidRDefault="00617B8E" w:rsidP="0095650B">
      <w:pPr>
        <w:pStyle w:val="FootnoteText"/>
        <w:jc w:val="both"/>
      </w:pPr>
      <w:r>
        <w:rPr>
          <w:rStyle w:val="FootnoteReference"/>
        </w:rPr>
        <w:footnoteRef/>
      </w:r>
      <w:r>
        <w:t xml:space="preserve"> ‘Teacher Demand and Supply for Primary and Secondary School in Vanuatu 2012-2022’, Paul </w:t>
      </w:r>
      <w:proofErr w:type="spellStart"/>
      <w:r>
        <w:t>Bennell</w:t>
      </w:r>
      <w:proofErr w:type="spellEnd"/>
      <w:r>
        <w:t xml:space="preserve"> (March 2012).  </w:t>
      </w:r>
      <w:proofErr w:type="gramStart"/>
      <w:r>
        <w:t>Henceforth cited as the ‘</w:t>
      </w:r>
      <w:proofErr w:type="spellStart"/>
      <w:r>
        <w:t>Bennell</w:t>
      </w:r>
      <w:proofErr w:type="spellEnd"/>
      <w:r>
        <w:t xml:space="preserve"> Study’.</w:t>
      </w:r>
      <w:proofErr w:type="gramEnd"/>
      <w:r>
        <w:t xml:space="preserve">  The Study estimated that if repetition and drop-out rates were reduced to zero by 2015 then an annual average of some 90 fewer primary teachers would be need over the period 2012-2015 compared to the status quo.  At an average annual salary per primary teacher of VT1</w:t>
      </w:r>
      <w:proofErr w:type="gramStart"/>
      <w:r>
        <w:t>,066,386</w:t>
      </w:r>
      <w:proofErr w:type="gramEnd"/>
      <w:r>
        <w:t xml:space="preserve"> (derived from line-by-line dissection of budgeted salaries for 2012) this represents an annual cost of VT96 million.  </w:t>
      </w:r>
    </w:p>
  </w:footnote>
  <w:footnote w:id="23">
    <w:p w:rsidR="00617B8E" w:rsidRDefault="00617B8E" w:rsidP="0095650B">
      <w:pPr>
        <w:pStyle w:val="FootnoteText"/>
      </w:pPr>
      <w:r>
        <w:rPr>
          <w:rStyle w:val="FootnoteReference"/>
        </w:rPr>
        <w:footnoteRef/>
      </w:r>
      <w:r>
        <w:t xml:space="preserve"> </w:t>
      </w:r>
      <w:proofErr w:type="gramStart"/>
      <w:r>
        <w:t>Extracted from the Thornton Study conclusions (pages 33-37).</w:t>
      </w:r>
      <w:proofErr w:type="gramEnd"/>
    </w:p>
  </w:footnote>
  <w:footnote w:id="24">
    <w:p w:rsidR="00617B8E" w:rsidRDefault="00617B8E" w:rsidP="0095650B">
      <w:pPr>
        <w:pStyle w:val="FootnoteText"/>
        <w:jc w:val="both"/>
      </w:pPr>
      <w:r>
        <w:rPr>
          <w:rStyle w:val="FootnoteReference"/>
        </w:rPr>
        <w:footnoteRef/>
      </w:r>
      <w:r>
        <w:t xml:space="preserve"> This stands in contrast to the </w:t>
      </w:r>
      <w:proofErr w:type="spellStart"/>
      <w:r>
        <w:t>Bennell</w:t>
      </w:r>
      <w:proofErr w:type="spellEnd"/>
      <w:r>
        <w:t xml:space="preserve"> Study’s finding that, under the status quo scenario, an annual average of some 29 additional primary school teachers would need to be recruited in the period 2012-2015.  The difference can be explained readily enough: the Thornton Study was assessing the situation applicable in 2009-2010 whereas the </w:t>
      </w:r>
      <w:proofErr w:type="spellStart"/>
      <w:r>
        <w:t>Bennell</w:t>
      </w:r>
      <w:proofErr w:type="spellEnd"/>
      <w:r>
        <w:t xml:space="preserve"> Study was making projections for 2012 and beyond, and; in any event, the </w:t>
      </w:r>
      <w:proofErr w:type="spellStart"/>
      <w:r>
        <w:t>Bennell</w:t>
      </w:r>
      <w:proofErr w:type="spellEnd"/>
      <w:r>
        <w:t xml:space="preserve"> Study’s projections for additional primary and secondary teacher requirements in the period to 2015 represent at most (depending on the scenario) some 10% of current </w:t>
      </w:r>
      <w:proofErr w:type="spellStart"/>
      <w:r>
        <w:t>GoV</w:t>
      </w:r>
      <w:proofErr w:type="spellEnd"/>
      <w:r>
        <w:t>-funded teacher numbers.</w:t>
      </w:r>
    </w:p>
  </w:footnote>
  <w:footnote w:id="25">
    <w:p w:rsidR="00617B8E" w:rsidRDefault="00617B8E" w:rsidP="0095650B">
      <w:pPr>
        <w:pStyle w:val="FootnoteText"/>
        <w:jc w:val="both"/>
      </w:pPr>
      <w:r>
        <w:rPr>
          <w:rStyle w:val="FootnoteReference"/>
        </w:rPr>
        <w:footnoteRef/>
      </w:r>
      <w:r>
        <w:t xml:space="preserve"> The present review notes that budgeted allowances for primary and secondary teachers have risen from some 6% of teachers’ total emoluments in 2008 to over 10% in 2012.</w:t>
      </w:r>
    </w:p>
  </w:footnote>
  <w:footnote w:id="26">
    <w:p w:rsidR="00617B8E" w:rsidRDefault="00617B8E" w:rsidP="0095650B">
      <w:pPr>
        <w:pStyle w:val="FootnoteText"/>
        <w:jc w:val="both"/>
      </w:pPr>
      <w:r>
        <w:rPr>
          <w:rStyle w:val="FootnoteReference"/>
        </w:rPr>
        <w:footnoteRef/>
      </w:r>
      <w:r>
        <w:t xml:space="preserve"> See ‘Costing the Education MDGs: A Review of the Leading Methodologies’, Martin </w:t>
      </w:r>
      <w:proofErr w:type="spellStart"/>
      <w:r>
        <w:t>Gurria</w:t>
      </w:r>
      <w:proofErr w:type="spellEnd"/>
      <w:r>
        <w:t xml:space="preserve"> and Alec Ian </w:t>
      </w:r>
      <w:proofErr w:type="spellStart"/>
      <w:r>
        <w:t>Greashberg</w:t>
      </w:r>
      <w:proofErr w:type="spellEnd"/>
      <w:r>
        <w:t xml:space="preserve"> for the World Bank (undated but post-2004); ‘Achieving Universal Primary Education by 2015: A Chance for Every Child’, Barbara </w:t>
      </w:r>
      <w:proofErr w:type="spellStart"/>
      <w:r>
        <w:t>Bruns</w:t>
      </w:r>
      <w:proofErr w:type="spellEnd"/>
      <w:r>
        <w:t xml:space="preserve">, Alain </w:t>
      </w:r>
      <w:proofErr w:type="spellStart"/>
      <w:r>
        <w:t>Mingat</w:t>
      </w:r>
      <w:proofErr w:type="spellEnd"/>
      <w:r>
        <w:t xml:space="preserve"> and </w:t>
      </w:r>
      <w:proofErr w:type="spellStart"/>
      <w:r>
        <w:t>Ramahatra</w:t>
      </w:r>
      <w:proofErr w:type="spellEnd"/>
      <w:r>
        <w:t xml:space="preserve"> </w:t>
      </w:r>
      <w:proofErr w:type="spellStart"/>
      <w:r>
        <w:t>Rakoomalala</w:t>
      </w:r>
      <w:proofErr w:type="spellEnd"/>
      <w:r>
        <w:t xml:space="preserve"> for the World Bank (2003). </w:t>
      </w:r>
    </w:p>
  </w:footnote>
  <w:footnote w:id="27">
    <w:p w:rsidR="00617B8E" w:rsidRDefault="00617B8E" w:rsidP="00AF6C5D">
      <w:pPr>
        <w:pStyle w:val="FootnoteText"/>
        <w:jc w:val="both"/>
      </w:pPr>
      <w:r>
        <w:rPr>
          <w:rStyle w:val="FootnoteReference"/>
        </w:rPr>
        <w:footnoteRef/>
      </w:r>
      <w:r>
        <w:t xml:space="preserve"> The </w:t>
      </w:r>
      <w:proofErr w:type="spellStart"/>
      <w:r>
        <w:t>Bennell</w:t>
      </w:r>
      <w:proofErr w:type="spellEnd"/>
      <w:r>
        <w:t xml:space="preserve"> Study found (page 35) that “Even with a full complement of students ... the overall student-lecturer ratio will be barely only 12:1 in 2012.  It is recommended that the teaching load norm at VITE should be increased to at least 15 [hours] a week and that courses and teaching staff are rationalised in order to ensure a student-lecturer ratio of at least 20:1.”</w:t>
      </w:r>
    </w:p>
  </w:footnote>
  <w:footnote w:id="28">
    <w:p w:rsidR="00617B8E" w:rsidRDefault="00617B8E" w:rsidP="000D6D57">
      <w:pPr>
        <w:pStyle w:val="FootnoteText"/>
        <w:jc w:val="both"/>
      </w:pPr>
      <w:r>
        <w:rPr>
          <w:rStyle w:val="FootnoteReference"/>
        </w:rPr>
        <w:footnoteRef/>
      </w:r>
      <w:r>
        <w:t xml:space="preserve"> The </w:t>
      </w:r>
      <w:proofErr w:type="spellStart"/>
      <w:r>
        <w:t>Bennell</w:t>
      </w:r>
      <w:proofErr w:type="spellEnd"/>
      <w:r>
        <w:t xml:space="preserve"> Study found (pages 35-36) that “With an expected student enrolment of 323 in 2012, government unit costs per student will be VT247</w:t>
      </w:r>
      <w:proofErr w:type="gramStart"/>
      <w:r>
        <w:t>,680</w:t>
      </w:r>
      <w:proofErr w:type="gramEnd"/>
      <w:r>
        <w:t xml:space="preserve"> per annum.  Assuming at least 25% non-completion, the expected unit cost per graduate will be almost one million vatu.”  That is, unit costs for pre-service teacher training approach those for </w:t>
      </w:r>
      <w:proofErr w:type="spellStart"/>
      <w:r>
        <w:t>GoV</w:t>
      </w:r>
      <w:proofErr w:type="spellEnd"/>
      <w:r>
        <w:t>-funded overseas scholarships.</w:t>
      </w:r>
    </w:p>
  </w:footnote>
  <w:footnote w:id="29">
    <w:p w:rsidR="00617B8E" w:rsidRDefault="00617B8E">
      <w:pPr>
        <w:pStyle w:val="FootnoteText"/>
      </w:pPr>
      <w:r>
        <w:rPr>
          <w:rStyle w:val="FootnoteReference"/>
        </w:rPr>
        <w:footnoteRef/>
      </w:r>
      <w:r>
        <w:t xml:space="preserve"> “VITE is unable to locate the Cash Book for the years 2009-2010, presumably stored on a flash drive that went missing or was misplaced by the [VITE] Bursar.” </w:t>
      </w:r>
      <w:proofErr w:type="gramStart"/>
      <w:r>
        <w:t xml:space="preserve">VITE Final Audit Report Management Letter, </w:t>
      </w:r>
      <w:proofErr w:type="spellStart"/>
      <w:r>
        <w:t>MoE</w:t>
      </w:r>
      <w:proofErr w:type="spellEnd"/>
      <w:r>
        <w:t xml:space="preserve"> (15 February 2011), page 3.</w:t>
      </w:r>
      <w:proofErr w:type="gramEnd"/>
    </w:p>
  </w:footnote>
  <w:footnote w:id="30">
    <w:p w:rsidR="00617B8E" w:rsidRDefault="00617B8E" w:rsidP="0095650B">
      <w:pPr>
        <w:pStyle w:val="FootnoteText"/>
        <w:jc w:val="both"/>
      </w:pPr>
      <w:r>
        <w:rPr>
          <w:rStyle w:val="FootnoteReference"/>
        </w:rPr>
        <w:footnoteRef/>
      </w:r>
      <w:r>
        <w:t xml:space="preserve"> ‘Primary School Survey: Use of Grants </w:t>
      </w:r>
      <w:proofErr w:type="gramStart"/>
      <w:r>
        <w:t>Under</w:t>
      </w:r>
      <w:proofErr w:type="gramEnd"/>
      <w:r>
        <w:t xml:space="preserve"> the UPE Policy in 2010’, </w:t>
      </w:r>
      <w:proofErr w:type="spellStart"/>
      <w:r>
        <w:t>MoE</w:t>
      </w:r>
      <w:proofErr w:type="spellEnd"/>
      <w:r>
        <w:t>/MFEM, (August 2011), page 10.  Remaining administrative issues include that payments rely heavily on completion by schools of a VEMIS return and that the rates set for secondary grants (Years 7-8, 9-14) are essentially determined in practice by the global budget available.</w:t>
      </w:r>
    </w:p>
  </w:footnote>
  <w:footnote w:id="31">
    <w:p w:rsidR="00617B8E" w:rsidRDefault="00617B8E" w:rsidP="0095650B">
      <w:pPr>
        <w:pStyle w:val="FootnoteText"/>
      </w:pPr>
      <w:r>
        <w:rPr>
          <w:rStyle w:val="FootnoteReference"/>
        </w:rPr>
        <w:footnoteRef/>
      </w:r>
      <w:r>
        <w:t xml:space="preserve"> See ‘Costing the Minimum Quality Standards for Primary Schools and Related Issues’, John </w:t>
      </w:r>
      <w:proofErr w:type="spellStart"/>
      <w:r>
        <w:t>Mellors</w:t>
      </w:r>
      <w:proofErr w:type="spellEnd"/>
      <w:r>
        <w:t xml:space="preserve">, (November 2011) ‘Vanuatu School Grants Program: Current Issues and Proposals’, John </w:t>
      </w:r>
      <w:proofErr w:type="spellStart"/>
      <w:r>
        <w:t>Mellors</w:t>
      </w:r>
      <w:proofErr w:type="spellEnd"/>
      <w:r>
        <w:t xml:space="preserve">, (March 2012).  </w:t>
      </w:r>
    </w:p>
  </w:footnote>
  <w:footnote w:id="32">
    <w:p w:rsidR="00617B8E" w:rsidRDefault="00617B8E" w:rsidP="002A1AD8">
      <w:pPr>
        <w:pStyle w:val="FootnoteText"/>
        <w:jc w:val="both"/>
      </w:pPr>
      <w:r>
        <w:rPr>
          <w:rStyle w:val="FootnoteReference"/>
        </w:rPr>
        <w:footnoteRef/>
      </w:r>
      <w:r>
        <w:t xml:space="preserve"> </w:t>
      </w:r>
      <w:proofErr w:type="gramStart"/>
      <w:r>
        <w:t>Draft VESP Design, (September 2012), page 13.</w:t>
      </w:r>
      <w:proofErr w:type="gramEnd"/>
      <w:r>
        <w:t xml:space="preserve">  The Draft Design also noted that an audit of expenditure of Pool Partner funding in 2010 found poor internal controls, weak compliances and several instances of fraud in relation to procurement (including, the review understands, procurement of services for school infrastructure upgrading).  </w:t>
      </w:r>
    </w:p>
  </w:footnote>
  <w:footnote w:id="33">
    <w:p w:rsidR="00617B8E" w:rsidRDefault="00617B8E" w:rsidP="00C77A48">
      <w:pPr>
        <w:pStyle w:val="FootnoteText"/>
        <w:jc w:val="both"/>
      </w:pPr>
      <w:r>
        <w:rPr>
          <w:rStyle w:val="FootnoteReference"/>
        </w:rPr>
        <w:footnoteRef/>
      </w:r>
      <w:r>
        <w:t xml:space="preserve"> Source: briefing note on funding capital works by development partners for the education sector in Vanuatu (2012). </w:t>
      </w:r>
    </w:p>
  </w:footnote>
  <w:footnote w:id="34">
    <w:p w:rsidR="00617B8E" w:rsidRDefault="00617B8E" w:rsidP="0095650B">
      <w:pPr>
        <w:pStyle w:val="FootnoteText"/>
        <w:jc w:val="both"/>
      </w:pPr>
      <w:r>
        <w:rPr>
          <w:rStyle w:val="FootnoteReference"/>
        </w:rPr>
        <w:footnoteRef/>
      </w:r>
      <w:r>
        <w:t xml:space="preserve"> See ‘Financial management Assessment for Implementation of the Vanuatu Education Sector Strategy’, </w:t>
      </w:r>
      <w:proofErr w:type="spellStart"/>
      <w:r>
        <w:t>JohnMellors</w:t>
      </w:r>
      <w:proofErr w:type="spellEnd"/>
      <w:r>
        <w:t xml:space="preserve">, (August 2007), and ‘Vanuatu Education Sector: Current Planning and Financial Management Capacity Constraints and Potential Strengthening Needs’, John </w:t>
      </w:r>
      <w:proofErr w:type="spellStart"/>
      <w:r>
        <w:t>Mellors</w:t>
      </w:r>
      <w:proofErr w:type="spellEnd"/>
      <w:r>
        <w:t xml:space="preserve">, (November 2011). </w:t>
      </w:r>
    </w:p>
  </w:footnote>
  <w:footnote w:id="35">
    <w:p w:rsidR="00617B8E" w:rsidRDefault="00617B8E" w:rsidP="0095650B">
      <w:pPr>
        <w:pStyle w:val="FootnoteText"/>
      </w:pPr>
      <w:r>
        <w:rPr>
          <w:rStyle w:val="FootnoteReference"/>
        </w:rPr>
        <w:footnoteRef/>
      </w:r>
      <w:r>
        <w:t xml:space="preserve"> </w:t>
      </w:r>
      <w:r w:rsidRPr="00695673">
        <w:t>PEFA = Public Expenditure and Financial Accountability.</w:t>
      </w:r>
      <w:r>
        <w:t xml:space="preserve">  A methodology developed to assess on a rigorous and consistent basis over time the quality of a country’s public financial management systems and practices.</w:t>
      </w:r>
    </w:p>
  </w:footnote>
  <w:footnote w:id="36">
    <w:p w:rsidR="00617B8E" w:rsidRDefault="00617B8E" w:rsidP="0095650B">
      <w:pPr>
        <w:pStyle w:val="FootnoteText"/>
      </w:pPr>
      <w:r>
        <w:rPr>
          <w:rStyle w:val="FootnoteReference"/>
        </w:rPr>
        <w:footnoteRef/>
      </w:r>
      <w:r>
        <w:t xml:space="preserve">  ‘Republic of Vanuatu: Country Case Study’, World Bank, (2005), page 40.</w:t>
      </w:r>
    </w:p>
  </w:footnote>
  <w:footnote w:id="37">
    <w:p w:rsidR="00617B8E" w:rsidRDefault="00617B8E" w:rsidP="0095650B">
      <w:pPr>
        <w:pStyle w:val="FootnoteText"/>
        <w:jc w:val="both"/>
      </w:pPr>
      <w:r>
        <w:rPr>
          <w:rStyle w:val="FootnoteReference"/>
        </w:rPr>
        <w:footnoteRef/>
      </w:r>
      <w:r>
        <w:t xml:space="preserve"> The Thornton Study (page 5) reported “healthy correlations between VEMIS and teacher salary allocations”.  Whether individual teachers are being paid their correct salary and allowances entitlements is a separate issue.</w:t>
      </w:r>
    </w:p>
  </w:footnote>
  <w:footnote w:id="38">
    <w:p w:rsidR="00617B8E" w:rsidRDefault="00617B8E" w:rsidP="0095650B">
      <w:pPr>
        <w:pStyle w:val="FootnoteText"/>
      </w:pPr>
      <w:r>
        <w:rPr>
          <w:rStyle w:val="FootnoteReference"/>
        </w:rPr>
        <w:footnoteRef/>
      </w:r>
      <w:r>
        <w:t xml:space="preserve"> </w:t>
      </w:r>
      <w:proofErr w:type="gramStart"/>
      <w:r>
        <w:t>‘Ministerial Budget Committee 2012 Budget Analysis: Ministry of Education’, MFEM, page 4.</w:t>
      </w:r>
      <w:proofErr w:type="gramEnd"/>
    </w:p>
  </w:footnote>
  <w:footnote w:id="39">
    <w:p w:rsidR="00617B8E" w:rsidRDefault="00617B8E" w:rsidP="00BA1D08">
      <w:pPr>
        <w:pStyle w:val="FootnoteText"/>
      </w:pPr>
      <w:r>
        <w:rPr>
          <w:rStyle w:val="FootnoteReference"/>
        </w:rPr>
        <w:footnoteRef/>
      </w:r>
      <w:r>
        <w:t xml:space="preserve"> Opportunities to improve social services in Vanuatu: Summary Report’, World Bank (2006)</w:t>
      </w:r>
    </w:p>
  </w:footnote>
  <w:footnote w:id="40">
    <w:p w:rsidR="00617B8E" w:rsidRDefault="00617B8E" w:rsidP="00BA1D08">
      <w:pPr>
        <w:pStyle w:val="FootnoteText"/>
        <w:jc w:val="both"/>
      </w:pPr>
      <w:r>
        <w:rPr>
          <w:rStyle w:val="FootnoteReference"/>
        </w:rPr>
        <w:footnoteRef/>
      </w:r>
      <w:r>
        <w:t xml:space="preserve"> Thornton Study, page 11. </w:t>
      </w:r>
      <w:r>
        <w:rPr>
          <w:lang w:val="en-US"/>
        </w:rPr>
        <w:t xml:space="preserve">Note that the teachers for which this finding applied comprised both </w:t>
      </w:r>
      <w:proofErr w:type="spellStart"/>
      <w:r>
        <w:rPr>
          <w:lang w:val="en-US"/>
        </w:rPr>
        <w:t>GoV</w:t>
      </w:r>
      <w:proofErr w:type="spellEnd"/>
      <w:r>
        <w:rPr>
          <w:lang w:val="en-US"/>
        </w:rPr>
        <w:t>-paid and other (unpaid or community-paid) teachers.</w:t>
      </w:r>
    </w:p>
  </w:footnote>
  <w:footnote w:id="41">
    <w:p w:rsidR="00617B8E" w:rsidRDefault="00617B8E" w:rsidP="00BA1D08">
      <w:pPr>
        <w:pStyle w:val="FootnoteText"/>
      </w:pPr>
      <w:r>
        <w:rPr>
          <w:rStyle w:val="FootnoteReference"/>
        </w:rPr>
        <w:footnoteRef/>
      </w:r>
      <w:r>
        <w:t xml:space="preserve"> </w:t>
      </w:r>
      <w:proofErr w:type="gramStart"/>
      <w:r>
        <w:t>Annual Statistical Report 2009, Ministry of Education, Figure 25 (page 48).</w:t>
      </w:r>
      <w:proofErr w:type="gramEnd"/>
    </w:p>
  </w:footnote>
  <w:footnote w:id="42">
    <w:p w:rsidR="00617B8E" w:rsidRPr="00A767B5" w:rsidRDefault="00617B8E" w:rsidP="003F703F">
      <w:pPr>
        <w:pStyle w:val="FootnoteText"/>
        <w:jc w:val="both"/>
        <w:rPr>
          <w:lang w:val="en-US"/>
        </w:rPr>
      </w:pPr>
      <w:r>
        <w:rPr>
          <w:rStyle w:val="FootnoteReference"/>
        </w:rPr>
        <w:footnoteRef/>
      </w:r>
      <w:r>
        <w:t xml:space="preserve"> “...</w:t>
      </w:r>
      <w:r w:rsidRPr="00A767B5">
        <w:rPr>
          <w:lang w:val="en-US"/>
        </w:rPr>
        <w:t>Vanuatu is doing well in terms of gender equity at primary</w:t>
      </w:r>
      <w:r>
        <w:rPr>
          <w:lang w:val="en-US"/>
        </w:rPr>
        <w:t>”</w:t>
      </w:r>
      <w:r w:rsidRPr="00A767B5">
        <w:rPr>
          <w:lang w:val="en-US"/>
        </w:rPr>
        <w:t>.</w:t>
      </w:r>
      <w:r>
        <w:rPr>
          <w:lang w:val="en-US"/>
        </w:rPr>
        <w:t xml:space="preserve">  Thornton Study page 6.  011), page 6.  “Gender differences are small for nearly all key enrolment and other key schooling parameters …</w:t>
      </w:r>
      <w:proofErr w:type="gramStart"/>
      <w:r>
        <w:rPr>
          <w:lang w:val="en-US"/>
        </w:rPr>
        <w:t>”,</w:t>
      </w:r>
      <w:proofErr w:type="gramEnd"/>
      <w:r>
        <w:rPr>
          <w:lang w:val="en-US"/>
        </w:rPr>
        <w:t xml:space="preserve">   </w:t>
      </w:r>
      <w:proofErr w:type="spellStart"/>
      <w:r>
        <w:rPr>
          <w:lang w:val="en-US"/>
        </w:rPr>
        <w:t>Bennell</w:t>
      </w:r>
      <w:proofErr w:type="spellEnd"/>
      <w:r>
        <w:rPr>
          <w:lang w:val="en-US"/>
        </w:rPr>
        <w:t xml:space="preserve"> Study, page 14. </w:t>
      </w:r>
    </w:p>
    <w:p w:rsidR="00617B8E" w:rsidRDefault="00617B8E" w:rsidP="003F703F">
      <w:pPr>
        <w:pStyle w:val="FootnoteText"/>
      </w:pPr>
    </w:p>
  </w:footnote>
  <w:footnote w:id="43">
    <w:p w:rsidR="00617B8E" w:rsidRDefault="00617B8E" w:rsidP="00BA1D08">
      <w:pPr>
        <w:pStyle w:val="FootnoteText"/>
        <w:jc w:val="both"/>
      </w:pPr>
      <w:r>
        <w:rPr>
          <w:rStyle w:val="FootnoteReference"/>
        </w:rPr>
        <w:footnoteRef/>
      </w:r>
      <w:r>
        <w:t xml:space="preserve"> For example, does high household wealth underpin high levels of educational attainment or does educational attainment generate high household wealth? </w:t>
      </w:r>
    </w:p>
  </w:footnote>
  <w:footnote w:id="44">
    <w:p w:rsidR="00617B8E" w:rsidRDefault="00617B8E" w:rsidP="003E13EF">
      <w:pPr>
        <w:pStyle w:val="FootnoteText"/>
        <w:jc w:val="both"/>
      </w:pPr>
      <w:r>
        <w:rPr>
          <w:rStyle w:val="FootnoteReference"/>
        </w:rPr>
        <w:footnoteRef/>
      </w:r>
      <w:r>
        <w:t xml:space="preserve"> ‘Republic of Vanuatu: Country Case Study’, World Bank, (2005), page 6.  There are some doubts as to the robustness of the wealth indices and no subsequent attempt has been made to update wealth data.</w:t>
      </w:r>
    </w:p>
  </w:footnote>
  <w:footnote w:id="45">
    <w:p w:rsidR="00617B8E" w:rsidRDefault="00617B8E" w:rsidP="00BA1D08">
      <w:pPr>
        <w:pStyle w:val="FootnoteText"/>
      </w:pPr>
      <w:r>
        <w:rPr>
          <w:rStyle w:val="FootnoteReference"/>
        </w:rPr>
        <w:footnoteRef/>
      </w:r>
      <w:r>
        <w:t xml:space="preserve"> Source: derived from page vii, ‘Main Report on the Household Income and Expenditure Survey 2006’, VNSO. </w:t>
      </w:r>
    </w:p>
  </w:footnote>
  <w:footnote w:id="46">
    <w:p w:rsidR="00617B8E" w:rsidRDefault="00617B8E" w:rsidP="00BA1D08">
      <w:pPr>
        <w:pStyle w:val="FootnoteText"/>
        <w:jc w:val="both"/>
      </w:pPr>
      <w:r>
        <w:rPr>
          <w:rStyle w:val="FootnoteReference"/>
        </w:rPr>
        <w:footnoteRef/>
      </w:r>
      <w:r>
        <w:t xml:space="preserve"> ‘Republic of Vanuatu: Country Case Study’, World Bank, (2005), page 38.</w:t>
      </w:r>
    </w:p>
  </w:footnote>
  <w:footnote w:id="47">
    <w:p w:rsidR="00617B8E" w:rsidRDefault="00617B8E" w:rsidP="00BA1D08">
      <w:pPr>
        <w:pStyle w:val="FootnoteText"/>
        <w:jc w:val="both"/>
      </w:pPr>
      <w:r>
        <w:rPr>
          <w:rStyle w:val="FootnoteReference"/>
        </w:rPr>
        <w:footnoteRef/>
      </w:r>
      <w:r>
        <w:t xml:space="preserve"> ‘National Report Vanuatu: Global Study on Child Poverty and Disparities’, University of New South Wales and UNICEF (2012), Figure 3.8.</w:t>
      </w:r>
    </w:p>
  </w:footnote>
  <w:footnote w:id="48">
    <w:p w:rsidR="00617B8E" w:rsidRDefault="00617B8E" w:rsidP="00BA1D08">
      <w:pPr>
        <w:pStyle w:val="FootnoteText"/>
        <w:jc w:val="both"/>
      </w:pPr>
      <w:r>
        <w:rPr>
          <w:rStyle w:val="FootnoteReference"/>
        </w:rPr>
        <w:footnoteRef/>
      </w:r>
      <w:r>
        <w:t xml:space="preserve"> 2010 Household Income and Expenditure (draft) Report, Table5-7.</w:t>
      </w:r>
    </w:p>
  </w:footnote>
  <w:footnote w:id="49">
    <w:p w:rsidR="00617B8E" w:rsidRDefault="00617B8E" w:rsidP="00BA1D08">
      <w:pPr>
        <w:pStyle w:val="FootnoteText"/>
      </w:pPr>
      <w:r>
        <w:rPr>
          <w:rStyle w:val="FootnoteReference"/>
        </w:rPr>
        <w:footnoteRef/>
      </w:r>
      <w:r>
        <w:t xml:space="preserve"> </w:t>
      </w:r>
      <w:proofErr w:type="gramStart"/>
      <w:r>
        <w:t>MFEM.</w:t>
      </w:r>
      <w:proofErr w:type="gramEnd"/>
    </w:p>
  </w:footnote>
  <w:footnote w:id="50">
    <w:p w:rsidR="00617B8E" w:rsidRDefault="00617B8E" w:rsidP="00BA1D08">
      <w:pPr>
        <w:pStyle w:val="FootnoteText"/>
        <w:jc w:val="both"/>
      </w:pPr>
      <w:r>
        <w:rPr>
          <w:rStyle w:val="FootnoteReference"/>
        </w:rPr>
        <w:footnoteRef/>
      </w:r>
      <w:r>
        <w:t xml:space="preserve"> Equity: “1. </w:t>
      </w:r>
      <w:proofErr w:type="gramStart"/>
      <w:r>
        <w:t>The</w:t>
      </w:r>
      <w:proofErr w:type="gramEnd"/>
      <w:r>
        <w:t xml:space="preserve"> quality of being equal or fair; impartiality; even-handed dealing. 2. That which is fair and right.” </w:t>
      </w:r>
      <w:proofErr w:type="gramStart"/>
      <w:r>
        <w:t>Shorter Oxford English Dictionary.</w:t>
      </w:r>
      <w:proofErr w:type="gramEnd"/>
    </w:p>
  </w:footnote>
  <w:footnote w:id="51">
    <w:p w:rsidR="00617B8E" w:rsidRDefault="00617B8E" w:rsidP="00BA1D08">
      <w:pPr>
        <w:pStyle w:val="FootnoteText"/>
        <w:jc w:val="both"/>
      </w:pPr>
      <w:r>
        <w:rPr>
          <w:rStyle w:val="FootnoteReference"/>
        </w:rPr>
        <w:footnoteRef/>
      </w:r>
      <w:r>
        <w:t xml:space="preserve"> Taxes on the use of goods (including Value Added Tax and Excise duties) and on international trade (overwhelmingly import duties) were forecast to supply some 96% of the </w:t>
      </w:r>
      <w:proofErr w:type="spellStart"/>
      <w:r>
        <w:t>GoV’s</w:t>
      </w:r>
      <w:proofErr w:type="spellEnd"/>
      <w:r>
        <w:t xml:space="preserve"> total taxation revenue in 2012.</w:t>
      </w:r>
    </w:p>
  </w:footnote>
  <w:footnote w:id="52">
    <w:p w:rsidR="00617B8E" w:rsidRDefault="00617B8E" w:rsidP="0081646B">
      <w:pPr>
        <w:pStyle w:val="FootnoteText"/>
        <w:jc w:val="both"/>
      </w:pPr>
      <w:r>
        <w:rPr>
          <w:rStyle w:val="FootnoteReference"/>
        </w:rPr>
        <w:footnoteRef/>
      </w:r>
      <w:r>
        <w:t xml:space="preserve"> ‘Education </w:t>
      </w:r>
      <w:proofErr w:type="gramStart"/>
      <w:r>
        <w:t>For</w:t>
      </w:r>
      <w:proofErr w:type="gramEnd"/>
      <w:r>
        <w:t xml:space="preserve"> All Analytical Report’, Ministry of Education (July 2010).  Commentary on EFA Goal 4: Literacy (the report’s pages were not numbered).</w:t>
      </w:r>
    </w:p>
  </w:footnote>
  <w:footnote w:id="53">
    <w:p w:rsidR="00617B8E" w:rsidRDefault="00617B8E" w:rsidP="00BA1D08">
      <w:pPr>
        <w:pStyle w:val="FootnoteText"/>
        <w:jc w:val="both"/>
      </w:pPr>
      <w:r>
        <w:rPr>
          <w:rStyle w:val="FootnoteReference"/>
        </w:rPr>
        <w:footnoteRef/>
      </w:r>
      <w:r>
        <w:t xml:space="preserve"> Earlier reviews including: ‘Report on Vanuatu-Country Case Study’, World Bank (2005); ‘Financial Management Assessment for Implementation of the Vanuatu Education Sector Strategy’, John </w:t>
      </w:r>
      <w:proofErr w:type="spellStart"/>
      <w:r>
        <w:t>Mellors</w:t>
      </w:r>
      <w:proofErr w:type="spellEnd"/>
      <w:r>
        <w:t xml:space="preserve">, (August 2007). </w:t>
      </w:r>
    </w:p>
  </w:footnote>
  <w:footnote w:id="54">
    <w:p w:rsidR="00617B8E" w:rsidRDefault="00617B8E" w:rsidP="00BA1D08">
      <w:pPr>
        <w:pStyle w:val="FootnoteText"/>
        <w:jc w:val="both"/>
      </w:pPr>
      <w:r>
        <w:rPr>
          <w:rStyle w:val="FootnoteReference"/>
        </w:rPr>
        <w:footnoteRef/>
      </w:r>
      <w:r>
        <w:t xml:space="preserve"> Albeit that it is tacitly acknowledged that, for a variety of cultural and other reasons, full achievement of UPE is unlikely for the foreseeable future. </w:t>
      </w:r>
    </w:p>
  </w:footnote>
  <w:footnote w:id="55">
    <w:p w:rsidR="00617B8E" w:rsidRDefault="00617B8E" w:rsidP="00BA1D08">
      <w:pPr>
        <w:pStyle w:val="FootnoteText"/>
      </w:pPr>
      <w:r>
        <w:rPr>
          <w:rStyle w:val="FootnoteReference"/>
        </w:rPr>
        <w:footnoteRef/>
      </w:r>
      <w:r>
        <w:t xml:space="preserve">  ‘Millennium Development Goals 2010 Report for Vanuatu’ (September 2010), page 26. </w:t>
      </w:r>
    </w:p>
  </w:footnote>
  <w:footnote w:id="56">
    <w:p w:rsidR="00617B8E" w:rsidRDefault="00617B8E" w:rsidP="00BA1D08">
      <w:pPr>
        <w:pStyle w:val="FootnoteText"/>
      </w:pPr>
      <w:r>
        <w:rPr>
          <w:rStyle w:val="FootnoteReference"/>
        </w:rPr>
        <w:footnoteRef/>
      </w:r>
      <w:r>
        <w:t xml:space="preserve"> ‘Education </w:t>
      </w:r>
      <w:proofErr w:type="gramStart"/>
      <w:r>
        <w:t>For</w:t>
      </w:r>
      <w:proofErr w:type="gramEnd"/>
      <w:r>
        <w:t xml:space="preserve"> All Analytical Report’, Ministry of Education (July 2010).</w:t>
      </w:r>
    </w:p>
  </w:footnote>
  <w:footnote w:id="57">
    <w:p w:rsidR="00617B8E" w:rsidRDefault="00617B8E" w:rsidP="00656D87">
      <w:pPr>
        <w:pStyle w:val="FootnoteText"/>
        <w:jc w:val="both"/>
      </w:pPr>
      <w:r>
        <w:rPr>
          <w:rStyle w:val="FootnoteReference"/>
        </w:rPr>
        <w:footnoteRef/>
      </w:r>
      <w:r>
        <w:t xml:space="preserve"> ‘Teacher Demand and Supply for Primary and Secondary Schools in Vanuatu 2012-2022’, Paul </w:t>
      </w:r>
      <w:proofErr w:type="spellStart"/>
      <w:r>
        <w:t>Bennell</w:t>
      </w:r>
      <w:proofErr w:type="spellEnd"/>
      <w:r>
        <w:t xml:space="preserve">, March 2012.  </w:t>
      </w:r>
    </w:p>
  </w:footnote>
  <w:footnote w:id="58">
    <w:p w:rsidR="00617B8E" w:rsidRDefault="00617B8E" w:rsidP="00656D87">
      <w:pPr>
        <w:pStyle w:val="FootnoteText"/>
        <w:jc w:val="both"/>
      </w:pPr>
      <w:r>
        <w:rPr>
          <w:rStyle w:val="FootnoteReference"/>
        </w:rPr>
        <w:footnoteRef/>
      </w:r>
      <w:r>
        <w:t xml:space="preserve"> The </w:t>
      </w:r>
      <w:proofErr w:type="spellStart"/>
      <w:r>
        <w:t>Bennell</w:t>
      </w:r>
      <w:proofErr w:type="spellEnd"/>
      <w:r>
        <w:t xml:space="preserve"> study (page 41) indicated average annual emoluments for primary and secondary teachers as VT894</w:t>
      </w:r>
      <w:proofErr w:type="gramStart"/>
      <w:r>
        <w:t>,200</w:t>
      </w:r>
      <w:proofErr w:type="gramEnd"/>
      <w:r>
        <w:t xml:space="preserve"> and VT1,219,100 respectively in 2011.  The line-by-line dissection of individual teacher emoluments for the 2012 budget indicated significantly higher annual averages consistent with the aggregate provisions for emoluments in the 2012 budget.  These were VT1</w:t>
      </w:r>
      <w:proofErr w:type="gramStart"/>
      <w:r>
        <w:t>,066,386</w:t>
      </w:r>
      <w:proofErr w:type="gramEnd"/>
      <w:r>
        <w:t xml:space="preserve"> and VT1,469,678 respectively and have been used in the above projections.  The </w:t>
      </w:r>
      <w:proofErr w:type="spellStart"/>
      <w:r>
        <w:t>Bennell</w:t>
      </w:r>
      <w:proofErr w:type="spellEnd"/>
      <w:r>
        <w:t xml:space="preserve"> study also indicated (page 41) that “Given the current grading structure, the annual increase in teacher pay can be assumed to be around 1% per annum.”  The above projections assume that pay per teacher remains unchanged in real terms.  </w:t>
      </w:r>
    </w:p>
  </w:footnote>
  <w:footnote w:id="59">
    <w:p w:rsidR="00617B8E" w:rsidRDefault="00617B8E" w:rsidP="00656D87">
      <w:pPr>
        <w:pStyle w:val="FootnoteText"/>
        <w:jc w:val="both"/>
      </w:pPr>
      <w:r>
        <w:rPr>
          <w:rStyle w:val="FootnoteReference"/>
        </w:rPr>
        <w:footnoteRef/>
      </w:r>
      <w:r>
        <w:t xml:space="preserve"> 2012 rates per student were: VT 8,900 Years 1-6, VT3</w:t>
      </w:r>
      <w:proofErr w:type="gramStart"/>
      <w:r>
        <w:t>,668</w:t>
      </w:r>
      <w:proofErr w:type="gramEnd"/>
      <w:r>
        <w:t xml:space="preserve"> Years 7-8, VT8,125 Years 9-14.</w:t>
      </w:r>
    </w:p>
  </w:footnote>
  <w:footnote w:id="60">
    <w:p w:rsidR="00617B8E" w:rsidRDefault="00617B8E" w:rsidP="00656D87">
      <w:pPr>
        <w:pStyle w:val="FootnoteText"/>
        <w:jc w:val="both"/>
      </w:pPr>
      <w:r>
        <w:rPr>
          <w:rStyle w:val="FootnoteReference"/>
        </w:rPr>
        <w:footnoteRef/>
      </w:r>
      <w:r>
        <w:t xml:space="preserve"> Not agreed (to date) by the Ministerial Budget Committee.</w:t>
      </w:r>
    </w:p>
  </w:footnote>
  <w:footnote w:id="61">
    <w:p w:rsidR="00617B8E" w:rsidRDefault="00617B8E" w:rsidP="00656D87">
      <w:pPr>
        <w:pStyle w:val="FootnoteText"/>
        <w:jc w:val="both"/>
      </w:pPr>
      <w:r>
        <w:rPr>
          <w:rStyle w:val="FootnoteReference"/>
        </w:rPr>
        <w:footnoteRef/>
      </w:r>
      <w:r>
        <w:t xml:space="preserve"> But note the latter figure includes some </w:t>
      </w:r>
      <w:proofErr w:type="spellStart"/>
      <w:r>
        <w:t>GoV</w:t>
      </w:r>
      <w:proofErr w:type="spellEnd"/>
      <w:r>
        <w:t xml:space="preserve"> funding for the in-service training unit.</w:t>
      </w:r>
    </w:p>
  </w:footnote>
  <w:footnote w:id="62">
    <w:p w:rsidR="00617B8E" w:rsidRDefault="00617B8E" w:rsidP="00656D87">
      <w:pPr>
        <w:pStyle w:val="FootnoteText"/>
        <w:jc w:val="both"/>
      </w:pPr>
      <w:r>
        <w:rPr>
          <w:rStyle w:val="FootnoteReference"/>
        </w:rPr>
        <w:footnoteRef/>
      </w:r>
      <w:r>
        <w:t xml:space="preserve"> </w:t>
      </w:r>
      <w:proofErr w:type="gramStart"/>
      <w:r>
        <w:t>As might be suggested by, for example, by the Study’s statement at page 39 that “[a] shortfall could be made up by the re-deployment of Centre School teachers to primary schools.”</w:t>
      </w:r>
      <w:proofErr w:type="gramEnd"/>
    </w:p>
  </w:footnote>
  <w:footnote w:id="63">
    <w:p w:rsidR="00617B8E" w:rsidRDefault="00617B8E" w:rsidP="00656D87">
      <w:pPr>
        <w:pStyle w:val="FootnoteText"/>
        <w:jc w:val="both"/>
      </w:pPr>
      <w:r>
        <w:rPr>
          <w:rStyle w:val="FootnoteReference"/>
        </w:rPr>
        <w:footnoteRef/>
      </w:r>
      <w:r>
        <w:t xml:space="preserve"> </w:t>
      </w:r>
      <w:proofErr w:type="gramStart"/>
      <w:r>
        <w:t xml:space="preserve">Based on MFEM commentary on </w:t>
      </w:r>
      <w:proofErr w:type="spellStart"/>
      <w:r>
        <w:t>MoE’s</w:t>
      </w:r>
      <w:proofErr w:type="spellEnd"/>
      <w:r>
        <w:t xml:space="preserve"> budget submission for 2013.</w:t>
      </w:r>
      <w:proofErr w:type="gramEnd"/>
    </w:p>
  </w:footnote>
  <w:footnote w:id="64">
    <w:p w:rsidR="00617B8E" w:rsidRDefault="00617B8E" w:rsidP="00656D87">
      <w:pPr>
        <w:pStyle w:val="FootnoteText"/>
        <w:jc w:val="both"/>
      </w:pPr>
      <w:r>
        <w:rPr>
          <w:rStyle w:val="FootnoteReference"/>
        </w:rPr>
        <w:footnoteRef/>
      </w:r>
      <w:r>
        <w:t xml:space="preserve"> The difference between the </w:t>
      </w:r>
      <w:proofErr w:type="spellStart"/>
      <w:r>
        <w:t>MoE</w:t>
      </w:r>
      <w:proofErr w:type="spellEnd"/>
      <w:r>
        <w:t xml:space="preserve"> budget request and the MFEM suggested amount will presumably need to be absorbed by some combination of offsetting savings elsewhere in </w:t>
      </w:r>
      <w:proofErr w:type="spellStart"/>
      <w:r>
        <w:t>MoE’s</w:t>
      </w:r>
      <w:proofErr w:type="spellEnd"/>
      <w:r>
        <w:t xml:space="preserve"> budget (e.g. ‘corporate overhead’), the return of failing students and tight control of the new intake in 2013 and beyond. </w:t>
      </w:r>
    </w:p>
  </w:footnote>
  <w:footnote w:id="65">
    <w:p w:rsidR="00617B8E" w:rsidRDefault="00617B8E" w:rsidP="00656D87">
      <w:pPr>
        <w:pStyle w:val="FootnoteText"/>
        <w:jc w:val="both"/>
      </w:pPr>
      <w:r>
        <w:rPr>
          <w:rStyle w:val="FootnoteReference"/>
        </w:rPr>
        <w:footnoteRef/>
      </w:r>
      <w:r>
        <w:t xml:space="preserve"> This figure assumes that </w:t>
      </w:r>
      <w:r w:rsidRPr="003D00FF">
        <w:rPr>
          <w:u w:val="single"/>
        </w:rPr>
        <w:t>all</w:t>
      </w:r>
      <w:r>
        <w:t xml:space="preserve"> </w:t>
      </w:r>
      <w:proofErr w:type="spellStart"/>
      <w:r>
        <w:t>GoV</w:t>
      </w:r>
      <w:proofErr w:type="spellEnd"/>
      <w:r>
        <w:t xml:space="preserve"> funding of Provincial Education Office subsidies/transfers and </w:t>
      </w:r>
      <w:r w:rsidRPr="003D00FF">
        <w:rPr>
          <w:u w:val="single"/>
        </w:rPr>
        <w:t xml:space="preserve">all </w:t>
      </w:r>
      <w:proofErr w:type="spellStart"/>
      <w:r>
        <w:t>MoE</w:t>
      </w:r>
      <w:proofErr w:type="spellEnd"/>
      <w:r>
        <w:t xml:space="preserve"> ‘capital expenditure’ has been used for school maintenance.  This is certainly not the case in practice but better data are not currently available.</w:t>
      </w:r>
    </w:p>
  </w:footnote>
  <w:footnote w:id="66">
    <w:p w:rsidR="00617B8E" w:rsidRDefault="00617B8E" w:rsidP="00656D87">
      <w:pPr>
        <w:pStyle w:val="FootnoteText"/>
        <w:jc w:val="both"/>
      </w:pPr>
      <w:r>
        <w:rPr>
          <w:rStyle w:val="FootnoteReference"/>
        </w:rPr>
        <w:footnoteRef/>
      </w:r>
      <w:r>
        <w:t xml:space="preserve"> The (draft) VESP Design foreshadows total Pool Partner funding of some A$12.8 million over 5 years to construct 158 new primary classrooms, refurbish 72 primary classrooms and routinely maintain a further  666 classrooms.  The issue of who will undertake funding responsibility for the subsequent routine maintenance of the new and refurbished classrooms does not appear to have been addressed.</w:t>
      </w:r>
    </w:p>
  </w:footnote>
  <w:footnote w:id="67">
    <w:p w:rsidR="00617B8E" w:rsidRDefault="00617B8E" w:rsidP="00656D87">
      <w:pPr>
        <w:pStyle w:val="FootnoteText"/>
        <w:jc w:val="both"/>
      </w:pPr>
      <w:r>
        <w:rPr>
          <w:rStyle w:val="FootnoteReference"/>
        </w:rPr>
        <w:footnoteRef/>
      </w:r>
      <w:r>
        <w:t xml:space="preserve"> Notably that the 2008 VEMIS report listed the grand total number of classrooms in that year as being 6,807 classrooms whereas the 2010-2011 report puts the total in 2011 as being 3,261 classrooms (including ECE). </w:t>
      </w:r>
    </w:p>
  </w:footnote>
  <w:footnote w:id="68">
    <w:p w:rsidR="00617B8E" w:rsidRDefault="00617B8E" w:rsidP="00656D87">
      <w:pPr>
        <w:pStyle w:val="FootnoteText"/>
        <w:jc w:val="both"/>
      </w:pPr>
      <w:r>
        <w:rPr>
          <w:rStyle w:val="FootnoteReference"/>
        </w:rPr>
        <w:footnoteRef/>
      </w:r>
      <w:r>
        <w:t xml:space="preserve"> </w:t>
      </w:r>
      <w:proofErr w:type="gramStart"/>
      <w:r>
        <w:t>As a proxy for the anticipated ‘throughput’ of the primary/secondary education systems.</w:t>
      </w:r>
      <w:proofErr w:type="gramEnd"/>
      <w:r>
        <w:t xml:space="preserve">  Note that all projections are for </w:t>
      </w:r>
      <w:proofErr w:type="spellStart"/>
      <w:r>
        <w:t>GoV</w:t>
      </w:r>
      <w:proofErr w:type="spellEnd"/>
      <w:r>
        <w:t xml:space="preserve"> funding requirements.  They therefore exclude, for example, substantial Pool Partner funding for curriculum development.  </w:t>
      </w:r>
    </w:p>
  </w:footnote>
  <w:footnote w:id="69">
    <w:p w:rsidR="00617B8E" w:rsidRDefault="00617B8E" w:rsidP="00656D87">
      <w:pPr>
        <w:pStyle w:val="FootnoteText"/>
        <w:jc w:val="both"/>
      </w:pPr>
      <w:r>
        <w:rPr>
          <w:rStyle w:val="FootnoteReference"/>
        </w:rPr>
        <w:footnoteRef/>
      </w:r>
      <w:r>
        <w:t xml:space="preserve"> Source: ADB Statistical Indicators for Vanuatu.</w:t>
      </w:r>
    </w:p>
  </w:footnote>
  <w:footnote w:id="70">
    <w:p w:rsidR="00617B8E" w:rsidRDefault="00617B8E" w:rsidP="00656D87">
      <w:pPr>
        <w:pStyle w:val="FootnoteText"/>
        <w:jc w:val="both"/>
      </w:pPr>
      <w:r>
        <w:rPr>
          <w:rStyle w:val="FootnoteReference"/>
        </w:rPr>
        <w:footnoteRef/>
      </w:r>
      <w:r>
        <w:t xml:space="preserve"> Source: ADB Statistical Indicators for Vanuatu.</w:t>
      </w:r>
    </w:p>
  </w:footnote>
  <w:footnote w:id="71">
    <w:p w:rsidR="00617B8E" w:rsidRDefault="00617B8E" w:rsidP="00656D87">
      <w:pPr>
        <w:pStyle w:val="FootnoteText"/>
        <w:jc w:val="both"/>
      </w:pPr>
      <w:r>
        <w:rPr>
          <w:rStyle w:val="FootnoteReference"/>
        </w:rPr>
        <w:footnoteRef/>
      </w:r>
      <w:r>
        <w:t xml:space="preserve"> Source: MFEM data.</w:t>
      </w:r>
    </w:p>
  </w:footnote>
  <w:footnote w:id="72">
    <w:p w:rsidR="00617B8E" w:rsidRDefault="00617B8E" w:rsidP="00656D87">
      <w:pPr>
        <w:pStyle w:val="FootnoteText"/>
        <w:jc w:val="both"/>
      </w:pPr>
      <w:r>
        <w:rPr>
          <w:rStyle w:val="FootnoteReference"/>
        </w:rPr>
        <w:footnoteRef/>
      </w:r>
      <w:r>
        <w:t xml:space="preserve"> </w:t>
      </w:r>
      <w:proofErr w:type="gramStart"/>
      <w:r>
        <w:t>Equivalent to the Year 1-6 rate, which would exceed the current Year 9-14 rate and therefore inevitably lead to pressure for an increase in that rate also.</w:t>
      </w:r>
      <w:proofErr w:type="gramEnd"/>
    </w:p>
  </w:footnote>
  <w:footnote w:id="73">
    <w:p w:rsidR="00617B8E" w:rsidRDefault="00617B8E">
      <w:pPr>
        <w:pStyle w:val="FootnoteText"/>
      </w:pPr>
      <w:r>
        <w:rPr>
          <w:rStyle w:val="FootnoteReference"/>
        </w:rPr>
        <w:footnoteRef/>
      </w:r>
      <w:r>
        <w:t xml:space="preserve"> </w:t>
      </w:r>
    </w:p>
  </w:footnote>
  <w:footnote w:id="74">
    <w:p w:rsidR="00617B8E" w:rsidRDefault="00617B8E" w:rsidP="003E13EF">
      <w:pPr>
        <w:pStyle w:val="FootnoteText"/>
        <w:jc w:val="both"/>
      </w:pPr>
      <w:r>
        <w:rPr>
          <w:rStyle w:val="FootnoteReference"/>
        </w:rPr>
        <w:footnoteRef/>
      </w:r>
      <w:r>
        <w:t xml:space="preserve"> It is understood that draft amendments to the Teaching Service Commission Act 1983 to give effect to Item (a) of Recommendation 1 (and other reforms of the teaching service) have been prepared but have yet to be presented to the Council of Ministers.  As regards Item (</w:t>
      </w:r>
      <w:proofErr w:type="spellStart"/>
      <w:r>
        <w:t>i</w:t>
      </w:r>
      <w:proofErr w:type="spellEnd"/>
      <w:r>
        <w:t>) of Recommendation 1, the PMO and MFEM could probably be given ‘observer’ status on the NEC without need for legislative amendment.  However, if they are to be formally represented as members of the NEC then Section 47 of the Education Act, 2001, would need to be amended.  Perhaps by amendment of Section 47(6) to delete the requirement that “The 3 other members of the Commission must be representatives of the non-government sector.”</w:t>
      </w:r>
    </w:p>
  </w:footnote>
  <w:footnote w:id="75">
    <w:p w:rsidR="00617B8E" w:rsidRDefault="00617B8E" w:rsidP="004644CE">
      <w:pPr>
        <w:pStyle w:val="FootnoteText"/>
        <w:jc w:val="both"/>
      </w:pPr>
      <w:r>
        <w:rPr>
          <w:rStyle w:val="FootnoteReference"/>
        </w:rPr>
        <w:footnoteRef/>
      </w:r>
      <w:r>
        <w:t xml:space="preserve"> This is </w:t>
      </w:r>
      <w:r w:rsidRPr="003A4CA5">
        <w:t xml:space="preserve">not </w:t>
      </w:r>
      <w:r>
        <w:t xml:space="preserve">recommending </w:t>
      </w:r>
      <w:r w:rsidRPr="003A4CA5">
        <w:t>the development of a formal medium-term expenditure framework</w:t>
      </w:r>
      <w:r>
        <w:t xml:space="preserve"> for the education sector.  The record of attempts to do this for education systems in other countries is very mixed.  It is recommending that </w:t>
      </w:r>
      <w:proofErr w:type="spellStart"/>
      <w:r>
        <w:t>GoV</w:t>
      </w:r>
      <w:proofErr w:type="spellEnd"/>
      <w:r>
        <w:t xml:space="preserve"> agencies allocate additional effort to quantifying the medium-term expenditure implications of policy alternatives, using if necessary the simplest projection methods and assumptions.</w:t>
      </w:r>
    </w:p>
  </w:footnote>
  <w:footnote w:id="76">
    <w:p w:rsidR="00617B8E" w:rsidRDefault="00617B8E" w:rsidP="003E13EF">
      <w:pPr>
        <w:pStyle w:val="FootnoteText"/>
        <w:jc w:val="both"/>
      </w:pPr>
      <w:r>
        <w:rPr>
          <w:rStyle w:val="FootnoteReference"/>
        </w:rPr>
        <w:footnoteRef/>
      </w:r>
      <w:r>
        <w:t xml:space="preserve"> </w:t>
      </w:r>
      <w:r w:rsidRPr="008C19CB">
        <w:t xml:space="preserve">There is nothing in the Education Act, 2001 (specifically, Sections 33 and 34) that would require amendment to implement Item (b) of Recommendation 4, or to implement Item (a) of Recommendation 5.  The School Grants Scheme approved by the Minister for Education on 22 January 2010 foreshadows, but does not </w:t>
      </w:r>
      <w:r w:rsidRPr="008C19CB">
        <w:rPr>
          <w:u w:val="single"/>
        </w:rPr>
        <w:t>obligate</w:t>
      </w:r>
      <w:r w:rsidRPr="008C19CB">
        <w:t>, increased school grants for Year 7-8 students and maintaining the value of school grants in real (inflation adjusted) terms.</w:t>
      </w:r>
    </w:p>
  </w:footnote>
  <w:footnote w:id="77">
    <w:p w:rsidR="00617B8E" w:rsidRDefault="00617B8E" w:rsidP="004644CE">
      <w:pPr>
        <w:pStyle w:val="FootnoteText"/>
      </w:pPr>
      <w:r>
        <w:rPr>
          <w:rStyle w:val="FootnoteReference"/>
        </w:rPr>
        <w:footnoteRef/>
      </w:r>
      <w:r>
        <w:t xml:space="preserve"> </w:t>
      </w:r>
      <w:proofErr w:type="spellStart"/>
      <w:r>
        <w:t>MoE</w:t>
      </w:r>
      <w:proofErr w:type="spellEnd"/>
      <w:r>
        <w:t xml:space="preserve"> ‘discretionary’ spending on scholarships has been addressed above.</w:t>
      </w:r>
    </w:p>
  </w:footnote>
  <w:footnote w:id="78">
    <w:p w:rsidR="00617B8E" w:rsidRPr="000B465A" w:rsidRDefault="00617B8E" w:rsidP="005D190C">
      <w:pPr>
        <w:pStyle w:val="FootnoteText"/>
        <w:jc w:val="both"/>
      </w:pPr>
      <w:r w:rsidRPr="000B465A">
        <w:rPr>
          <w:rStyle w:val="FootnoteReference"/>
        </w:rPr>
        <w:footnoteRef/>
      </w:r>
      <w:r w:rsidRPr="000B465A">
        <w:t xml:space="preserve"> </w:t>
      </w:r>
      <w:r>
        <w:t>‘</w:t>
      </w:r>
      <w:r w:rsidRPr="000B465A">
        <w:t>Draft Policy</w:t>
      </w:r>
      <w:r>
        <w:t xml:space="preserve"> </w:t>
      </w:r>
      <w:r w:rsidRPr="000B465A">
        <w:t>Implementation Statement</w:t>
      </w:r>
      <w:r>
        <w:t>: Approach to Upgrading and Expanding the Current Information System, Working Paper for Discussion Version 2’ (October 2012), pages 11-13.</w:t>
      </w:r>
    </w:p>
  </w:footnote>
  <w:footnote w:id="79">
    <w:p w:rsidR="00617B8E" w:rsidRPr="008363A9" w:rsidRDefault="00617B8E" w:rsidP="005D190C">
      <w:pPr>
        <w:pStyle w:val="FootnoteText"/>
        <w:jc w:val="both"/>
      </w:pPr>
      <w:r w:rsidRPr="008363A9">
        <w:rPr>
          <w:rStyle w:val="FootnoteReference"/>
        </w:rPr>
        <w:footnoteRef/>
      </w:r>
      <w:r w:rsidRPr="008363A9">
        <w:t xml:space="preserve"> Draft VESP Design Annex 9: ‘Monitoring and Evaluation” (September 2012).</w:t>
      </w:r>
    </w:p>
  </w:footnote>
  <w:footnote w:id="80">
    <w:p w:rsidR="00617B8E" w:rsidRPr="005D3456" w:rsidRDefault="00617B8E" w:rsidP="005D190C">
      <w:pPr>
        <w:pStyle w:val="FootnoteText"/>
        <w:jc w:val="both"/>
      </w:pPr>
      <w:r w:rsidRPr="005D3456">
        <w:rPr>
          <w:rStyle w:val="FootnoteReference"/>
        </w:rPr>
        <w:footnoteRef/>
      </w:r>
      <w:r w:rsidRPr="005D3456">
        <w:t xml:space="preserve"> </w:t>
      </w:r>
      <w:r>
        <w:t>‘</w:t>
      </w:r>
      <w:r w:rsidRPr="005D3456">
        <w:t>Primary School Survey Use of Grants under the UPE Policy in 2010</w:t>
      </w:r>
      <w:r>
        <w:t>’</w:t>
      </w:r>
      <w:r w:rsidRPr="005D3456">
        <w:t xml:space="preserve"> (August 2011).</w:t>
      </w:r>
    </w:p>
  </w:footnote>
  <w:footnote w:id="81">
    <w:p w:rsidR="00617B8E" w:rsidRPr="007221A4" w:rsidRDefault="00617B8E" w:rsidP="005D190C">
      <w:pPr>
        <w:pStyle w:val="FootnoteText"/>
        <w:jc w:val="both"/>
      </w:pPr>
      <w:r w:rsidRPr="007221A4">
        <w:rPr>
          <w:rStyle w:val="FootnoteReference"/>
        </w:rPr>
        <w:footnoteRef/>
      </w:r>
      <w:r w:rsidRPr="007221A4">
        <w:t xml:space="preserve"> </w:t>
      </w:r>
      <w:r>
        <w:t>For example t</w:t>
      </w:r>
      <w:r w:rsidRPr="007221A4">
        <w:t xml:space="preserve">he (Draft) PAA Action Plan 2011-2015 defined </w:t>
      </w:r>
      <w:r>
        <w:t xml:space="preserve">21 Policy Objectives and Strategies </w:t>
      </w:r>
      <w:r w:rsidRPr="007221A4">
        <w:t xml:space="preserve">for National Strategic Priority 6 ‘Education and Human Resource Development’.  Of the </w:t>
      </w:r>
      <w:r>
        <w:t xml:space="preserve">35 </w:t>
      </w:r>
      <w:r w:rsidRPr="007221A4">
        <w:t xml:space="preserve">associated progress indicators no baseline </w:t>
      </w:r>
      <w:r>
        <w:t>and/or target was specified for around half of them.</w:t>
      </w:r>
    </w:p>
  </w:footnote>
  <w:footnote w:id="82">
    <w:p w:rsidR="00617B8E" w:rsidRPr="00486307" w:rsidRDefault="00617B8E" w:rsidP="005D190C">
      <w:pPr>
        <w:pStyle w:val="FootnoteText"/>
        <w:jc w:val="both"/>
      </w:pPr>
      <w:r w:rsidRPr="00486307">
        <w:rPr>
          <w:rStyle w:val="FootnoteReference"/>
        </w:rPr>
        <w:footnoteRef/>
      </w:r>
      <w:r w:rsidRPr="00486307">
        <w:t xml:space="preserve"> Several instances of this have been noted by the present review, including in relation to such basics as total </w:t>
      </w:r>
      <w:proofErr w:type="spellStart"/>
      <w:r w:rsidRPr="00486307">
        <w:t>MoE</w:t>
      </w:r>
      <w:proofErr w:type="spellEnd"/>
      <w:r w:rsidRPr="00486307">
        <w:t xml:space="preserve"> expenditure in a particular year and education spending as a proportion of GDP.</w:t>
      </w:r>
    </w:p>
  </w:footnote>
  <w:footnote w:id="83">
    <w:p w:rsidR="00617B8E" w:rsidRPr="00667FEB" w:rsidRDefault="00617B8E" w:rsidP="005D190C">
      <w:pPr>
        <w:pStyle w:val="FootnoteText"/>
        <w:jc w:val="both"/>
      </w:pPr>
      <w:r w:rsidRPr="00667FEB">
        <w:rPr>
          <w:rStyle w:val="FootnoteReference"/>
        </w:rPr>
        <w:footnoteRef/>
      </w:r>
      <w:r w:rsidRPr="00667FEB">
        <w:t xml:space="preserve"> Notably Vanuatu’s 2010 report on progress towards the MDG goals and its 2012 report on progress towards the EFA goals.</w:t>
      </w:r>
    </w:p>
  </w:footnote>
  <w:footnote w:id="84">
    <w:p w:rsidR="00617B8E" w:rsidRPr="00745A07" w:rsidRDefault="00617B8E" w:rsidP="005D190C">
      <w:pPr>
        <w:pStyle w:val="FootnoteText"/>
        <w:jc w:val="both"/>
        <w:rPr>
          <w:lang w:val="en-US"/>
        </w:rPr>
      </w:pPr>
      <w:r>
        <w:rPr>
          <w:rStyle w:val="FootnoteReference"/>
        </w:rPr>
        <w:footnoteRef/>
      </w:r>
      <w:r>
        <w:t xml:space="preserve"> </w:t>
      </w:r>
      <w:r w:rsidRPr="00745A07">
        <w:t>As the current review of information management in the information sector has noted “</w:t>
      </w:r>
      <w:r w:rsidRPr="00745A07">
        <w:rPr>
          <w:lang w:val="en-US"/>
        </w:rPr>
        <w:t>A viable, reliable and authentic information system is critical for not only monitoring and evaluating progress but also as the basis for policy making and costing, evidence-based planning and informed decision making, and wider financial forecasting. Financial forecasting is an essential element of effective resource management; in its absence, expectations and planning are likely to be disconnected from the realities of available resources.</w:t>
      </w:r>
      <w:r>
        <w:rPr>
          <w:lang w:val="en-US"/>
        </w:rPr>
        <w:t xml:space="preserve">” </w:t>
      </w:r>
      <w:proofErr w:type="gramStart"/>
      <w:r w:rsidRPr="00745A07">
        <w:rPr>
          <w:lang w:val="en-US"/>
        </w:rPr>
        <w:t>(Draft Policy</w:t>
      </w:r>
      <w:r>
        <w:rPr>
          <w:lang w:val="en-US"/>
        </w:rPr>
        <w:t xml:space="preserve"> </w:t>
      </w:r>
      <w:r w:rsidRPr="00745A07">
        <w:rPr>
          <w:lang w:val="en-US"/>
        </w:rPr>
        <w:t xml:space="preserve">Statement on Information Management in the Education Sector Version </w:t>
      </w:r>
      <w:r>
        <w:rPr>
          <w:lang w:val="en-US"/>
        </w:rPr>
        <w:t>2</w:t>
      </w:r>
      <w:r w:rsidRPr="00745A07">
        <w:rPr>
          <w:lang w:val="en-US"/>
        </w:rPr>
        <w:t xml:space="preserve"> (October 2012), page 9.</w:t>
      </w:r>
      <w:proofErr w:type="gramEnd"/>
    </w:p>
    <w:p w:rsidR="00617B8E" w:rsidRPr="00667FEB" w:rsidRDefault="00617B8E" w:rsidP="005D190C">
      <w:pPr>
        <w:pStyle w:val="FootnoteText"/>
      </w:pPr>
      <w:r>
        <w:t xml:space="preserve"> </w:t>
      </w:r>
    </w:p>
  </w:footnote>
  <w:footnote w:id="85">
    <w:p w:rsidR="00617B8E" w:rsidRPr="0027480F" w:rsidRDefault="00617B8E" w:rsidP="00877BF7">
      <w:pPr>
        <w:pStyle w:val="FootnoteText"/>
        <w:jc w:val="both"/>
        <w:rPr>
          <w:i/>
          <w:color w:val="000000" w:themeColor="text1"/>
        </w:rPr>
      </w:pPr>
      <w:r w:rsidRPr="0027480F">
        <w:rPr>
          <w:rStyle w:val="FootnoteReference"/>
          <w:i/>
          <w:color w:val="000000" w:themeColor="text1"/>
        </w:rPr>
        <w:footnoteRef/>
      </w:r>
      <w:r w:rsidRPr="0027480F">
        <w:rPr>
          <w:i/>
          <w:color w:val="000000" w:themeColor="text1"/>
        </w:rPr>
        <w:t xml:space="preserve"> Some the analytical requirements will need to be approached on a 'best endeavo</w:t>
      </w:r>
      <w:r>
        <w:rPr>
          <w:i/>
          <w:color w:val="000000" w:themeColor="text1"/>
        </w:rPr>
        <w:t>u</w:t>
      </w:r>
      <w:r w:rsidRPr="0027480F">
        <w:rPr>
          <w:i/>
          <w:color w:val="000000" w:themeColor="text1"/>
        </w:rPr>
        <w:t>rs’ basis and subject, in particular to the current availability of data or new data that can reasonably be gathered during the assignment.  For example, detailed analysis of impacts by income levels and urban/rural areas are likely to be severely constrained by data limitations.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8E" w:rsidRDefault="00617B8E">
    <w:pPr>
      <w:pStyle w:val="Header"/>
      <w:jc w:val="right"/>
    </w:pPr>
  </w:p>
  <w:p w:rsidR="00617B8E" w:rsidRDefault="00617B8E" w:rsidP="00D339A4">
    <w:pPr>
      <w:pStyle w:val="Header"/>
      <w:tabs>
        <w:tab w:val="clear" w:pos="4513"/>
        <w:tab w:val="clear" w:pos="9026"/>
        <w:tab w:val="left" w:pos="11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92176"/>
      <w:docPartObj>
        <w:docPartGallery w:val="Page Numbers (Top of Page)"/>
        <w:docPartUnique/>
      </w:docPartObj>
    </w:sdtPr>
    <w:sdtEndPr>
      <w:rPr>
        <w:noProof/>
      </w:rPr>
    </w:sdtEndPr>
    <w:sdtContent>
      <w:p w:rsidR="00617B8E" w:rsidRDefault="00617B8E" w:rsidP="00617B8E">
        <w:pPr>
          <w:pStyle w:val="Header"/>
          <w:jc w:val="right"/>
        </w:pPr>
        <w:r>
          <w:fldChar w:fldCharType="begin"/>
        </w:r>
        <w:r>
          <w:instrText xml:space="preserve"> PAGE   \* MERGEFORMAT </w:instrText>
        </w:r>
        <w:r>
          <w:fldChar w:fldCharType="separate"/>
        </w:r>
        <w:r w:rsidR="007B3AE1">
          <w:rPr>
            <w:noProof/>
          </w:rPr>
          <w:t>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92672"/>
      <w:docPartObj>
        <w:docPartGallery w:val="Page Numbers (Top of Page)"/>
        <w:docPartUnique/>
      </w:docPartObj>
    </w:sdtPr>
    <w:sdtEndPr>
      <w:rPr>
        <w:sz w:val="20"/>
        <w:szCs w:val="20"/>
      </w:rPr>
    </w:sdtEndPr>
    <w:sdtContent>
      <w:p w:rsidR="00617B8E" w:rsidRPr="00617B8E" w:rsidRDefault="00617B8E" w:rsidP="00617B8E">
        <w:pPr>
          <w:pStyle w:val="Header"/>
          <w:jc w:val="right"/>
          <w:rPr>
            <w:sz w:val="20"/>
            <w:szCs w:val="20"/>
          </w:rPr>
        </w:pPr>
        <w:r w:rsidRPr="00D80237">
          <w:rPr>
            <w:sz w:val="20"/>
            <w:szCs w:val="20"/>
          </w:rPr>
          <w:fldChar w:fldCharType="begin"/>
        </w:r>
        <w:r w:rsidRPr="00D80237">
          <w:rPr>
            <w:sz w:val="20"/>
            <w:szCs w:val="20"/>
          </w:rPr>
          <w:instrText xml:space="preserve"> PAGE   \* MERGEFORMAT </w:instrText>
        </w:r>
        <w:r w:rsidRPr="00D80237">
          <w:rPr>
            <w:sz w:val="20"/>
            <w:szCs w:val="20"/>
          </w:rPr>
          <w:fldChar w:fldCharType="separate"/>
        </w:r>
        <w:r w:rsidR="007B3AE1">
          <w:rPr>
            <w:noProof/>
            <w:sz w:val="20"/>
            <w:szCs w:val="20"/>
          </w:rPr>
          <w:t>36</w:t>
        </w:r>
        <w:r w:rsidRPr="00D80237">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994"/>
    <w:multiLevelType w:val="hybridMultilevel"/>
    <w:tmpl w:val="9CD29BCE"/>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nsid w:val="007E14F2"/>
    <w:multiLevelType w:val="hybridMultilevel"/>
    <w:tmpl w:val="9922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007470"/>
    <w:multiLevelType w:val="hybridMultilevel"/>
    <w:tmpl w:val="9B42D0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0E141C"/>
    <w:multiLevelType w:val="hybridMultilevel"/>
    <w:tmpl w:val="6092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702E9E"/>
    <w:multiLevelType w:val="hybridMultilevel"/>
    <w:tmpl w:val="5FA6D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3F0191"/>
    <w:multiLevelType w:val="hybridMultilevel"/>
    <w:tmpl w:val="9A509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1B1008"/>
    <w:multiLevelType w:val="hybridMultilevel"/>
    <w:tmpl w:val="4FF4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2C0A90"/>
    <w:multiLevelType w:val="hybridMultilevel"/>
    <w:tmpl w:val="C178C44C"/>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8">
    <w:nsid w:val="07841129"/>
    <w:multiLevelType w:val="hybridMultilevel"/>
    <w:tmpl w:val="0AD85C42"/>
    <w:lvl w:ilvl="0" w:tplc="000F0409">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87D4664"/>
    <w:multiLevelType w:val="hybridMultilevel"/>
    <w:tmpl w:val="571A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1C1B6C"/>
    <w:multiLevelType w:val="hybridMultilevel"/>
    <w:tmpl w:val="6E4A66A6"/>
    <w:lvl w:ilvl="0" w:tplc="4FEA50F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9A4137A"/>
    <w:multiLevelType w:val="hybridMultilevel"/>
    <w:tmpl w:val="8FEE4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9B23020"/>
    <w:multiLevelType w:val="hybridMultilevel"/>
    <w:tmpl w:val="F5B0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7031D5"/>
    <w:multiLevelType w:val="hybridMultilevel"/>
    <w:tmpl w:val="C4FC7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7C4133"/>
    <w:multiLevelType w:val="hybridMultilevel"/>
    <w:tmpl w:val="039C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5F501F"/>
    <w:multiLevelType w:val="hybridMultilevel"/>
    <w:tmpl w:val="0A4A00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1C73C21"/>
    <w:multiLevelType w:val="hybridMultilevel"/>
    <w:tmpl w:val="13A8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F50C57"/>
    <w:multiLevelType w:val="hybridMultilevel"/>
    <w:tmpl w:val="D9E258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3097BA7"/>
    <w:multiLevelType w:val="hybridMultilevel"/>
    <w:tmpl w:val="16E6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3537D3A"/>
    <w:multiLevelType w:val="hybridMultilevel"/>
    <w:tmpl w:val="EDDCCEA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5952CB"/>
    <w:multiLevelType w:val="hybridMultilevel"/>
    <w:tmpl w:val="F2D8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48E40EE"/>
    <w:multiLevelType w:val="hybridMultilevel"/>
    <w:tmpl w:val="5C3C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51759A1"/>
    <w:multiLevelType w:val="hybridMultilevel"/>
    <w:tmpl w:val="7140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68F1E6B"/>
    <w:multiLevelType w:val="hybridMultilevel"/>
    <w:tmpl w:val="5E96209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7555A87"/>
    <w:multiLevelType w:val="hybridMultilevel"/>
    <w:tmpl w:val="8D269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17A8434E"/>
    <w:multiLevelType w:val="hybridMultilevel"/>
    <w:tmpl w:val="8814E930"/>
    <w:lvl w:ilvl="0" w:tplc="000F0409">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7B95A8B"/>
    <w:multiLevelType w:val="hybridMultilevel"/>
    <w:tmpl w:val="B6EC1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8E40C7F"/>
    <w:multiLevelType w:val="hybridMultilevel"/>
    <w:tmpl w:val="4BDA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ACC3D9F"/>
    <w:multiLevelType w:val="hybridMultilevel"/>
    <w:tmpl w:val="6C02072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9">
    <w:nsid w:val="1C1B7862"/>
    <w:multiLevelType w:val="hybridMultilevel"/>
    <w:tmpl w:val="9F2C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C6E5B88"/>
    <w:multiLevelType w:val="hybridMultilevel"/>
    <w:tmpl w:val="8BAA91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nsid w:val="22C939D5"/>
    <w:multiLevelType w:val="hybridMultilevel"/>
    <w:tmpl w:val="E2267E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23617A71"/>
    <w:multiLevelType w:val="hybridMultilevel"/>
    <w:tmpl w:val="8C9CDAB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3A821B7"/>
    <w:multiLevelType w:val="hybridMultilevel"/>
    <w:tmpl w:val="496A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4021AEF"/>
    <w:multiLevelType w:val="hybridMultilevel"/>
    <w:tmpl w:val="EF94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4021F08"/>
    <w:multiLevelType w:val="hybridMultilevel"/>
    <w:tmpl w:val="30440D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241C0489"/>
    <w:multiLevelType w:val="hybridMultilevel"/>
    <w:tmpl w:val="5C22EFB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nsid w:val="24DE0328"/>
    <w:multiLevelType w:val="hybridMultilevel"/>
    <w:tmpl w:val="6E4A66A6"/>
    <w:lvl w:ilvl="0" w:tplc="4FEA50F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6C62FA5"/>
    <w:multiLevelType w:val="hybridMultilevel"/>
    <w:tmpl w:val="F87A1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6D57E72"/>
    <w:multiLevelType w:val="hybridMultilevel"/>
    <w:tmpl w:val="73CE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8904B48"/>
    <w:multiLevelType w:val="hybridMultilevel"/>
    <w:tmpl w:val="88662652"/>
    <w:lvl w:ilvl="0" w:tplc="0C090005">
      <w:start w:val="1"/>
      <w:numFmt w:val="bullet"/>
      <w:lvlText w:val=""/>
      <w:lvlJc w:val="left"/>
      <w:pPr>
        <w:tabs>
          <w:tab w:val="num" w:pos="576"/>
        </w:tabs>
        <w:ind w:left="576" w:hanging="576"/>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2BBB6A7B"/>
    <w:multiLevelType w:val="hybridMultilevel"/>
    <w:tmpl w:val="7C64A71A"/>
    <w:lvl w:ilvl="0" w:tplc="000F0409">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2CBD0CD8"/>
    <w:multiLevelType w:val="hybridMultilevel"/>
    <w:tmpl w:val="E070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D18305B"/>
    <w:multiLevelType w:val="hybridMultilevel"/>
    <w:tmpl w:val="755E32CA"/>
    <w:lvl w:ilvl="0" w:tplc="1638C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EB74B90"/>
    <w:multiLevelType w:val="hybridMultilevel"/>
    <w:tmpl w:val="19F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0085C38"/>
    <w:multiLevelType w:val="hybridMultilevel"/>
    <w:tmpl w:val="294A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07D5F26"/>
    <w:multiLevelType w:val="hybridMultilevel"/>
    <w:tmpl w:val="1F348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0F906DC"/>
    <w:multiLevelType w:val="hybridMultilevel"/>
    <w:tmpl w:val="C8F8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1875776"/>
    <w:multiLevelType w:val="hybridMultilevel"/>
    <w:tmpl w:val="1C92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1B10B19"/>
    <w:multiLevelType w:val="hybridMultilevel"/>
    <w:tmpl w:val="CC02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3562DF7"/>
    <w:multiLevelType w:val="hybridMultilevel"/>
    <w:tmpl w:val="520266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342D59AA"/>
    <w:multiLevelType w:val="hybridMultilevel"/>
    <w:tmpl w:val="4A4E298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2">
    <w:nsid w:val="366A404B"/>
    <w:multiLevelType w:val="hybridMultilevel"/>
    <w:tmpl w:val="5C44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6CD2650"/>
    <w:multiLevelType w:val="hybridMultilevel"/>
    <w:tmpl w:val="02B2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74E7BFD"/>
    <w:multiLevelType w:val="hybridMultilevel"/>
    <w:tmpl w:val="9CD29BCE"/>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55">
    <w:nsid w:val="3A6A2C26"/>
    <w:multiLevelType w:val="hybridMultilevel"/>
    <w:tmpl w:val="E7C622B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C3160A3"/>
    <w:multiLevelType w:val="hybridMultilevel"/>
    <w:tmpl w:val="3C2A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E297752"/>
    <w:multiLevelType w:val="hybridMultilevel"/>
    <w:tmpl w:val="AC7C7D92"/>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8">
    <w:nsid w:val="406A52D3"/>
    <w:multiLevelType w:val="hybridMultilevel"/>
    <w:tmpl w:val="76CE1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407D4E2C"/>
    <w:multiLevelType w:val="hybridMultilevel"/>
    <w:tmpl w:val="810E8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1761676"/>
    <w:multiLevelType w:val="hybridMultilevel"/>
    <w:tmpl w:val="6E4A66A6"/>
    <w:lvl w:ilvl="0" w:tplc="4FEA50F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41523D6"/>
    <w:multiLevelType w:val="hybridMultilevel"/>
    <w:tmpl w:val="E4AA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5632D4B"/>
    <w:multiLevelType w:val="hybridMultilevel"/>
    <w:tmpl w:val="A390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7DA416A"/>
    <w:multiLevelType w:val="hybridMultilevel"/>
    <w:tmpl w:val="6844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9B60039"/>
    <w:multiLevelType w:val="hybridMultilevel"/>
    <w:tmpl w:val="520266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4B070579"/>
    <w:multiLevelType w:val="hybridMultilevel"/>
    <w:tmpl w:val="49C0D48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6">
    <w:nsid w:val="4D9F1BDD"/>
    <w:multiLevelType w:val="hybridMultilevel"/>
    <w:tmpl w:val="35905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EDB6C3E"/>
    <w:multiLevelType w:val="hybridMultilevel"/>
    <w:tmpl w:val="A0D6A8D4"/>
    <w:lvl w:ilvl="0" w:tplc="0C090001">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68">
    <w:nsid w:val="506B50B6"/>
    <w:multiLevelType w:val="hybridMultilevel"/>
    <w:tmpl w:val="3CD41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533D03F4"/>
    <w:multiLevelType w:val="hybridMultilevel"/>
    <w:tmpl w:val="D9E258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5740E95"/>
    <w:multiLevelType w:val="hybridMultilevel"/>
    <w:tmpl w:val="30129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5A02FB0"/>
    <w:multiLevelType w:val="hybridMultilevel"/>
    <w:tmpl w:val="3B06C1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2">
    <w:nsid w:val="56891904"/>
    <w:multiLevelType w:val="hybridMultilevel"/>
    <w:tmpl w:val="28688AD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6DE38A4"/>
    <w:multiLevelType w:val="hybridMultilevel"/>
    <w:tmpl w:val="50F6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8765FEA"/>
    <w:multiLevelType w:val="hybridMultilevel"/>
    <w:tmpl w:val="17BCF322"/>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59667859"/>
    <w:multiLevelType w:val="hybridMultilevel"/>
    <w:tmpl w:val="048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96C443A"/>
    <w:multiLevelType w:val="hybridMultilevel"/>
    <w:tmpl w:val="32BA5B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nsid w:val="5C282269"/>
    <w:multiLevelType w:val="hybridMultilevel"/>
    <w:tmpl w:val="3062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CF1492B"/>
    <w:multiLevelType w:val="hybridMultilevel"/>
    <w:tmpl w:val="93AA4A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nsid w:val="5E535794"/>
    <w:multiLevelType w:val="hybridMultilevel"/>
    <w:tmpl w:val="12B8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0DE67E7"/>
    <w:multiLevelType w:val="hybridMultilevel"/>
    <w:tmpl w:val="C28A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1EF60EC"/>
    <w:multiLevelType w:val="hybridMultilevel"/>
    <w:tmpl w:val="F5B02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2005F02"/>
    <w:multiLevelType w:val="multilevel"/>
    <w:tmpl w:val="FB2687C6"/>
    <w:lvl w:ilvl="0">
      <w:start w:val="1"/>
      <w:numFmt w:val="decimal"/>
      <w:lvlText w:val="%1."/>
      <w:lvlJc w:val="left"/>
      <w:pPr>
        <w:tabs>
          <w:tab w:val="num" w:pos="360"/>
        </w:tabs>
        <w:ind w:left="360" w:hanging="360"/>
      </w:pPr>
      <w:rPr>
        <w:rFonts w:ascii="Times New Roman" w:hAnsi="Times New Roman" w:cs="Times New Roman" w:hint="default"/>
        <w:b w:val="0"/>
        <w:i w:val="0"/>
        <w:color w:val="00008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color w:val="auto"/>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nsid w:val="631910EC"/>
    <w:multiLevelType w:val="hybridMultilevel"/>
    <w:tmpl w:val="D9B6D6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4">
    <w:nsid w:val="647470E9"/>
    <w:multiLevelType w:val="hybridMultilevel"/>
    <w:tmpl w:val="F296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5040E45"/>
    <w:multiLevelType w:val="hybridMultilevel"/>
    <w:tmpl w:val="577E0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5165262"/>
    <w:multiLevelType w:val="hybridMultilevel"/>
    <w:tmpl w:val="7DCA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65BE71F0"/>
    <w:multiLevelType w:val="hybridMultilevel"/>
    <w:tmpl w:val="278EE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6231E50"/>
    <w:multiLevelType w:val="hybridMultilevel"/>
    <w:tmpl w:val="1506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8485E27"/>
    <w:multiLevelType w:val="hybridMultilevel"/>
    <w:tmpl w:val="77624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nsid w:val="684C030A"/>
    <w:multiLevelType w:val="hybridMultilevel"/>
    <w:tmpl w:val="A692E30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nsid w:val="698F7186"/>
    <w:multiLevelType w:val="hybridMultilevel"/>
    <w:tmpl w:val="006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2">
    <w:nsid w:val="69DC5CC8"/>
    <w:multiLevelType w:val="hybridMultilevel"/>
    <w:tmpl w:val="662E9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6A82423D"/>
    <w:multiLevelType w:val="hybridMultilevel"/>
    <w:tmpl w:val="9CF62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6A98122B"/>
    <w:multiLevelType w:val="hybridMultilevel"/>
    <w:tmpl w:val="7DFE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6B992A88"/>
    <w:multiLevelType w:val="hybridMultilevel"/>
    <w:tmpl w:val="AC6E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6CA83B8D"/>
    <w:multiLevelType w:val="hybridMultilevel"/>
    <w:tmpl w:val="81786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6CB53375"/>
    <w:multiLevelType w:val="hybridMultilevel"/>
    <w:tmpl w:val="B508A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00A07B8"/>
    <w:multiLevelType w:val="hybridMultilevel"/>
    <w:tmpl w:val="3B989D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9">
    <w:nsid w:val="712C6A00"/>
    <w:multiLevelType w:val="hybridMultilevel"/>
    <w:tmpl w:val="379820D2"/>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0">
    <w:nsid w:val="72FC04A6"/>
    <w:multiLevelType w:val="hybridMultilevel"/>
    <w:tmpl w:val="FFC23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4246D32"/>
    <w:multiLevelType w:val="hybridMultilevel"/>
    <w:tmpl w:val="E872122C"/>
    <w:lvl w:ilvl="0" w:tplc="6136E5FA">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2">
    <w:nsid w:val="74652919"/>
    <w:multiLevelType w:val="hybridMultilevel"/>
    <w:tmpl w:val="CCDC9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48E440D"/>
    <w:multiLevelType w:val="hybridMultilevel"/>
    <w:tmpl w:val="502AE8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76E50EA1"/>
    <w:multiLevelType w:val="hybridMultilevel"/>
    <w:tmpl w:val="B27CC32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5">
    <w:nsid w:val="77AF47D1"/>
    <w:multiLevelType w:val="hybridMultilevel"/>
    <w:tmpl w:val="6A12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77E56865"/>
    <w:multiLevelType w:val="hybridMultilevel"/>
    <w:tmpl w:val="C178C44C"/>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07">
    <w:nsid w:val="793E0191"/>
    <w:multiLevelType w:val="hybridMultilevel"/>
    <w:tmpl w:val="A3AC8F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8">
    <w:nsid w:val="7D352029"/>
    <w:multiLevelType w:val="hybridMultilevel"/>
    <w:tmpl w:val="E882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E0303A5"/>
    <w:multiLevelType w:val="hybridMultilevel"/>
    <w:tmpl w:val="F5C62EE0"/>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0">
    <w:nsid w:val="7F9019DA"/>
    <w:multiLevelType w:val="hybridMultilevel"/>
    <w:tmpl w:val="630895F0"/>
    <w:lvl w:ilvl="0" w:tplc="0C090001">
      <w:start w:val="1"/>
      <w:numFmt w:val="bullet"/>
      <w:lvlText w:val=""/>
      <w:lvlJc w:val="left"/>
      <w:pPr>
        <w:ind w:left="1080" w:hanging="360"/>
      </w:pPr>
      <w:rPr>
        <w:rFonts w:ascii="Wingdings" w:hAnsi="Wingdings" w:hint="default"/>
      </w:rPr>
    </w:lvl>
    <w:lvl w:ilvl="1" w:tplc="0C090019" w:tentative="1">
      <w:start w:val="1"/>
      <w:numFmt w:val="bullet"/>
      <w:lvlText w:val="o"/>
      <w:lvlJc w:val="left"/>
      <w:pPr>
        <w:ind w:left="1800" w:hanging="360"/>
      </w:pPr>
      <w:rPr>
        <w:rFonts w:ascii="Courier New" w:hAnsi="Courier New" w:cs="Courier New" w:hint="default"/>
      </w:rPr>
    </w:lvl>
    <w:lvl w:ilvl="2" w:tplc="0C09001B">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num w:numId="1">
    <w:abstractNumId w:val="97"/>
  </w:num>
  <w:num w:numId="2">
    <w:abstractNumId w:val="104"/>
  </w:num>
  <w:num w:numId="3">
    <w:abstractNumId w:val="96"/>
  </w:num>
  <w:num w:numId="4">
    <w:abstractNumId w:val="49"/>
  </w:num>
  <w:num w:numId="5">
    <w:abstractNumId w:val="78"/>
  </w:num>
  <w:num w:numId="6">
    <w:abstractNumId w:val="35"/>
  </w:num>
  <w:num w:numId="7">
    <w:abstractNumId w:val="99"/>
  </w:num>
  <w:num w:numId="8">
    <w:abstractNumId w:val="8"/>
  </w:num>
  <w:num w:numId="9">
    <w:abstractNumId w:val="41"/>
  </w:num>
  <w:num w:numId="10">
    <w:abstractNumId w:val="25"/>
  </w:num>
  <w:num w:numId="11">
    <w:abstractNumId w:val="5"/>
  </w:num>
  <w:num w:numId="12">
    <w:abstractNumId w:val="39"/>
  </w:num>
  <w:num w:numId="13">
    <w:abstractNumId w:val="44"/>
  </w:num>
  <w:num w:numId="14">
    <w:abstractNumId w:val="91"/>
  </w:num>
  <w:num w:numId="15">
    <w:abstractNumId w:val="4"/>
  </w:num>
  <w:num w:numId="16">
    <w:abstractNumId w:val="13"/>
  </w:num>
  <w:num w:numId="17">
    <w:abstractNumId w:val="32"/>
  </w:num>
  <w:num w:numId="18">
    <w:abstractNumId w:val="30"/>
  </w:num>
  <w:num w:numId="19">
    <w:abstractNumId w:val="33"/>
  </w:num>
  <w:num w:numId="20">
    <w:abstractNumId w:val="29"/>
  </w:num>
  <w:num w:numId="21">
    <w:abstractNumId w:val="38"/>
  </w:num>
  <w:num w:numId="22">
    <w:abstractNumId w:val="110"/>
  </w:num>
  <w:num w:numId="23">
    <w:abstractNumId w:val="85"/>
  </w:num>
  <w:num w:numId="24">
    <w:abstractNumId w:val="58"/>
  </w:num>
  <w:num w:numId="25">
    <w:abstractNumId w:val="65"/>
  </w:num>
  <w:num w:numId="26">
    <w:abstractNumId w:val="61"/>
  </w:num>
  <w:num w:numId="27">
    <w:abstractNumId w:val="12"/>
  </w:num>
  <w:num w:numId="28">
    <w:abstractNumId w:val="53"/>
  </w:num>
  <w:num w:numId="29">
    <w:abstractNumId w:val="94"/>
  </w:num>
  <w:num w:numId="30">
    <w:abstractNumId w:val="47"/>
  </w:num>
  <w:num w:numId="31">
    <w:abstractNumId w:val="87"/>
  </w:num>
  <w:num w:numId="32">
    <w:abstractNumId w:val="80"/>
  </w:num>
  <w:num w:numId="33">
    <w:abstractNumId w:val="34"/>
  </w:num>
  <w:num w:numId="34">
    <w:abstractNumId w:val="55"/>
  </w:num>
  <w:num w:numId="35">
    <w:abstractNumId w:val="51"/>
  </w:num>
  <w:num w:numId="36">
    <w:abstractNumId w:val="98"/>
  </w:num>
  <w:num w:numId="37">
    <w:abstractNumId w:val="95"/>
  </w:num>
  <w:num w:numId="38">
    <w:abstractNumId w:val="83"/>
  </w:num>
  <w:num w:numId="39">
    <w:abstractNumId w:val="89"/>
  </w:num>
  <w:num w:numId="40">
    <w:abstractNumId w:val="24"/>
  </w:num>
  <w:num w:numId="41">
    <w:abstractNumId w:val="68"/>
  </w:num>
  <w:num w:numId="42">
    <w:abstractNumId w:val="6"/>
  </w:num>
  <w:num w:numId="43">
    <w:abstractNumId w:val="20"/>
  </w:num>
  <w:num w:numId="44">
    <w:abstractNumId w:val="62"/>
  </w:num>
  <w:num w:numId="45">
    <w:abstractNumId w:val="72"/>
  </w:num>
  <w:num w:numId="46">
    <w:abstractNumId w:val="9"/>
  </w:num>
  <w:num w:numId="47">
    <w:abstractNumId w:val="19"/>
  </w:num>
  <w:num w:numId="48">
    <w:abstractNumId w:val="42"/>
  </w:num>
  <w:num w:numId="49">
    <w:abstractNumId w:val="40"/>
  </w:num>
  <w:num w:numId="50">
    <w:abstractNumId w:val="21"/>
  </w:num>
  <w:num w:numId="51">
    <w:abstractNumId w:val="26"/>
  </w:num>
  <w:num w:numId="52">
    <w:abstractNumId w:val="23"/>
  </w:num>
  <w:num w:numId="53">
    <w:abstractNumId w:val="22"/>
  </w:num>
  <w:num w:numId="54">
    <w:abstractNumId w:val="107"/>
  </w:num>
  <w:num w:numId="55">
    <w:abstractNumId w:val="101"/>
  </w:num>
  <w:num w:numId="56">
    <w:abstractNumId w:val="84"/>
  </w:num>
  <w:num w:numId="57">
    <w:abstractNumId w:val="52"/>
  </w:num>
  <w:num w:numId="58">
    <w:abstractNumId w:val="93"/>
  </w:num>
  <w:num w:numId="59">
    <w:abstractNumId w:val="31"/>
  </w:num>
  <w:num w:numId="60">
    <w:abstractNumId w:val="1"/>
  </w:num>
  <w:num w:numId="61">
    <w:abstractNumId w:val="63"/>
  </w:num>
  <w:num w:numId="62">
    <w:abstractNumId w:val="70"/>
  </w:num>
  <w:num w:numId="63">
    <w:abstractNumId w:val="48"/>
  </w:num>
  <w:num w:numId="64">
    <w:abstractNumId w:val="71"/>
  </w:num>
  <w:num w:numId="65">
    <w:abstractNumId w:val="18"/>
  </w:num>
  <w:num w:numId="66">
    <w:abstractNumId w:val="81"/>
  </w:num>
  <w:num w:numId="67">
    <w:abstractNumId w:val="28"/>
  </w:num>
  <w:num w:numId="68">
    <w:abstractNumId w:val="36"/>
  </w:num>
  <w:num w:numId="69">
    <w:abstractNumId w:val="102"/>
  </w:num>
  <w:num w:numId="70">
    <w:abstractNumId w:val="79"/>
  </w:num>
  <w:num w:numId="71">
    <w:abstractNumId w:val="46"/>
  </w:num>
  <w:num w:numId="72">
    <w:abstractNumId w:val="16"/>
  </w:num>
  <w:num w:numId="73">
    <w:abstractNumId w:val="66"/>
  </w:num>
  <w:num w:numId="74">
    <w:abstractNumId w:val="92"/>
  </w:num>
  <w:num w:numId="75">
    <w:abstractNumId w:val="27"/>
  </w:num>
  <w:num w:numId="76">
    <w:abstractNumId w:val="0"/>
  </w:num>
  <w:num w:numId="77">
    <w:abstractNumId w:val="17"/>
  </w:num>
  <w:num w:numId="78">
    <w:abstractNumId w:val="37"/>
  </w:num>
  <w:num w:numId="79">
    <w:abstractNumId w:val="7"/>
  </w:num>
  <w:num w:numId="80">
    <w:abstractNumId w:val="50"/>
  </w:num>
  <w:num w:numId="81">
    <w:abstractNumId w:val="56"/>
  </w:num>
  <w:num w:numId="82">
    <w:abstractNumId w:val="74"/>
  </w:num>
  <w:num w:numId="83">
    <w:abstractNumId w:val="60"/>
  </w:num>
  <w:num w:numId="84">
    <w:abstractNumId w:val="45"/>
  </w:num>
  <w:num w:numId="85">
    <w:abstractNumId w:val="57"/>
  </w:num>
  <w:num w:numId="86">
    <w:abstractNumId w:val="109"/>
  </w:num>
  <w:num w:numId="87">
    <w:abstractNumId w:val="77"/>
  </w:num>
  <w:num w:numId="88">
    <w:abstractNumId w:val="90"/>
  </w:num>
  <w:num w:numId="89">
    <w:abstractNumId w:val="105"/>
  </w:num>
  <w:num w:numId="90">
    <w:abstractNumId w:val="3"/>
  </w:num>
  <w:num w:numId="91">
    <w:abstractNumId w:val="86"/>
  </w:num>
  <w:num w:numId="92">
    <w:abstractNumId w:val="108"/>
  </w:num>
  <w:num w:numId="93">
    <w:abstractNumId w:val="100"/>
  </w:num>
  <w:num w:numId="94">
    <w:abstractNumId w:val="75"/>
  </w:num>
  <w:num w:numId="95">
    <w:abstractNumId w:val="88"/>
  </w:num>
  <w:num w:numId="96">
    <w:abstractNumId w:val="14"/>
  </w:num>
  <w:num w:numId="97">
    <w:abstractNumId w:val="73"/>
  </w:num>
  <w:num w:numId="98">
    <w:abstractNumId w:val="43"/>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2"/>
  </w:num>
  <w:num w:numId="101">
    <w:abstractNumId w:val="67"/>
  </w:num>
  <w:num w:numId="102">
    <w:abstractNumId w:val="59"/>
  </w:num>
  <w:num w:numId="103">
    <w:abstractNumId w:val="103"/>
  </w:num>
  <w:num w:numId="104">
    <w:abstractNumId w:val="69"/>
  </w:num>
  <w:num w:numId="105">
    <w:abstractNumId w:val="54"/>
  </w:num>
  <w:num w:numId="106">
    <w:abstractNumId w:val="106"/>
  </w:num>
  <w:num w:numId="107">
    <w:abstractNumId w:val="64"/>
  </w:num>
  <w:num w:numId="108">
    <w:abstractNumId w:val="10"/>
  </w:num>
  <w:num w:numId="109">
    <w:abstractNumId w:val="2"/>
  </w:num>
  <w:num w:numId="110">
    <w:abstractNumId w:val="11"/>
  </w:num>
  <w:num w:numId="111">
    <w:abstractNumId w:val="15"/>
  </w:num>
  <w:num w:numId="1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CF"/>
    <w:rsid w:val="000048F8"/>
    <w:rsid w:val="00012966"/>
    <w:rsid w:val="00020682"/>
    <w:rsid w:val="00021E78"/>
    <w:rsid w:val="000248A2"/>
    <w:rsid w:val="00026C7A"/>
    <w:rsid w:val="00046107"/>
    <w:rsid w:val="00053625"/>
    <w:rsid w:val="00061096"/>
    <w:rsid w:val="00064D2C"/>
    <w:rsid w:val="00074146"/>
    <w:rsid w:val="00075122"/>
    <w:rsid w:val="00083583"/>
    <w:rsid w:val="000838FE"/>
    <w:rsid w:val="00084C94"/>
    <w:rsid w:val="000865F5"/>
    <w:rsid w:val="00094DC1"/>
    <w:rsid w:val="000A150A"/>
    <w:rsid w:val="000A235F"/>
    <w:rsid w:val="000A2FCD"/>
    <w:rsid w:val="000B47EB"/>
    <w:rsid w:val="000D6D57"/>
    <w:rsid w:val="000E0A4F"/>
    <w:rsid w:val="000E0FF7"/>
    <w:rsid w:val="000E1500"/>
    <w:rsid w:val="000E7CE8"/>
    <w:rsid w:val="000F1953"/>
    <w:rsid w:val="000F65C3"/>
    <w:rsid w:val="000F6A6A"/>
    <w:rsid w:val="00102BF5"/>
    <w:rsid w:val="00106887"/>
    <w:rsid w:val="001134EB"/>
    <w:rsid w:val="00114423"/>
    <w:rsid w:val="00120264"/>
    <w:rsid w:val="001227AC"/>
    <w:rsid w:val="00127E32"/>
    <w:rsid w:val="00142AAB"/>
    <w:rsid w:val="0014550B"/>
    <w:rsid w:val="0014712A"/>
    <w:rsid w:val="0015246F"/>
    <w:rsid w:val="00152892"/>
    <w:rsid w:val="00154BEB"/>
    <w:rsid w:val="001569EA"/>
    <w:rsid w:val="00157C6F"/>
    <w:rsid w:val="00160C19"/>
    <w:rsid w:val="00173181"/>
    <w:rsid w:val="00182B2B"/>
    <w:rsid w:val="00184920"/>
    <w:rsid w:val="001C1D81"/>
    <w:rsid w:val="001E26C7"/>
    <w:rsid w:val="001E3FD3"/>
    <w:rsid w:val="001F15DD"/>
    <w:rsid w:val="001F1DE8"/>
    <w:rsid w:val="001F442F"/>
    <w:rsid w:val="001F62C5"/>
    <w:rsid w:val="00205101"/>
    <w:rsid w:val="0021118D"/>
    <w:rsid w:val="00211A76"/>
    <w:rsid w:val="00216985"/>
    <w:rsid w:val="002170D9"/>
    <w:rsid w:val="002246CE"/>
    <w:rsid w:val="00225A39"/>
    <w:rsid w:val="00227A4B"/>
    <w:rsid w:val="00230DA9"/>
    <w:rsid w:val="0023200F"/>
    <w:rsid w:val="00245C48"/>
    <w:rsid w:val="002529B7"/>
    <w:rsid w:val="00253DA9"/>
    <w:rsid w:val="002549E6"/>
    <w:rsid w:val="002609A9"/>
    <w:rsid w:val="002611A0"/>
    <w:rsid w:val="00266100"/>
    <w:rsid w:val="00270182"/>
    <w:rsid w:val="00277FFA"/>
    <w:rsid w:val="00281891"/>
    <w:rsid w:val="002941FE"/>
    <w:rsid w:val="002A1AD8"/>
    <w:rsid w:val="002A2887"/>
    <w:rsid w:val="002A370D"/>
    <w:rsid w:val="002A594B"/>
    <w:rsid w:val="002A5B40"/>
    <w:rsid w:val="002D08DD"/>
    <w:rsid w:val="002D67E6"/>
    <w:rsid w:val="002E1551"/>
    <w:rsid w:val="002E1736"/>
    <w:rsid w:val="002E3EC7"/>
    <w:rsid w:val="002F3934"/>
    <w:rsid w:val="00302BEA"/>
    <w:rsid w:val="00311FD1"/>
    <w:rsid w:val="00312609"/>
    <w:rsid w:val="003132B9"/>
    <w:rsid w:val="00327E78"/>
    <w:rsid w:val="003429BD"/>
    <w:rsid w:val="00344DBC"/>
    <w:rsid w:val="00345779"/>
    <w:rsid w:val="00345F79"/>
    <w:rsid w:val="00352728"/>
    <w:rsid w:val="00355FA2"/>
    <w:rsid w:val="00356D92"/>
    <w:rsid w:val="00357D4F"/>
    <w:rsid w:val="00360B15"/>
    <w:rsid w:val="00363154"/>
    <w:rsid w:val="003707DE"/>
    <w:rsid w:val="0038270A"/>
    <w:rsid w:val="00383D6B"/>
    <w:rsid w:val="003846C9"/>
    <w:rsid w:val="00384C91"/>
    <w:rsid w:val="003A4870"/>
    <w:rsid w:val="003A5614"/>
    <w:rsid w:val="003D5CA4"/>
    <w:rsid w:val="003E13EF"/>
    <w:rsid w:val="003E368A"/>
    <w:rsid w:val="003F703F"/>
    <w:rsid w:val="004070C7"/>
    <w:rsid w:val="004113BA"/>
    <w:rsid w:val="00414866"/>
    <w:rsid w:val="004149AC"/>
    <w:rsid w:val="004167E4"/>
    <w:rsid w:val="00433187"/>
    <w:rsid w:val="00447E83"/>
    <w:rsid w:val="00453D9C"/>
    <w:rsid w:val="00455235"/>
    <w:rsid w:val="00455E6D"/>
    <w:rsid w:val="004644CE"/>
    <w:rsid w:val="004853A6"/>
    <w:rsid w:val="0048786A"/>
    <w:rsid w:val="00490045"/>
    <w:rsid w:val="00496C91"/>
    <w:rsid w:val="004A02A6"/>
    <w:rsid w:val="004A4490"/>
    <w:rsid w:val="004A6426"/>
    <w:rsid w:val="004A736F"/>
    <w:rsid w:val="004A79C1"/>
    <w:rsid w:val="004B3EB2"/>
    <w:rsid w:val="004B7848"/>
    <w:rsid w:val="004E108C"/>
    <w:rsid w:val="004E5B9F"/>
    <w:rsid w:val="004F228F"/>
    <w:rsid w:val="00501831"/>
    <w:rsid w:val="005042D7"/>
    <w:rsid w:val="00513E7F"/>
    <w:rsid w:val="00520775"/>
    <w:rsid w:val="00523735"/>
    <w:rsid w:val="00527421"/>
    <w:rsid w:val="00527684"/>
    <w:rsid w:val="005359E9"/>
    <w:rsid w:val="00536141"/>
    <w:rsid w:val="005432E0"/>
    <w:rsid w:val="00543A5F"/>
    <w:rsid w:val="00543BC5"/>
    <w:rsid w:val="00545629"/>
    <w:rsid w:val="00550E18"/>
    <w:rsid w:val="005553C6"/>
    <w:rsid w:val="0055575B"/>
    <w:rsid w:val="005560D3"/>
    <w:rsid w:val="00560DC9"/>
    <w:rsid w:val="00566A2B"/>
    <w:rsid w:val="00571727"/>
    <w:rsid w:val="005722A8"/>
    <w:rsid w:val="00572666"/>
    <w:rsid w:val="005727F2"/>
    <w:rsid w:val="00581C20"/>
    <w:rsid w:val="00581C2B"/>
    <w:rsid w:val="005C042E"/>
    <w:rsid w:val="005C7441"/>
    <w:rsid w:val="005D190C"/>
    <w:rsid w:val="005D1D93"/>
    <w:rsid w:val="005E0DA2"/>
    <w:rsid w:val="005E23E3"/>
    <w:rsid w:val="005E6A3C"/>
    <w:rsid w:val="005F31BB"/>
    <w:rsid w:val="005F4829"/>
    <w:rsid w:val="00603013"/>
    <w:rsid w:val="00617778"/>
    <w:rsid w:val="00617B8E"/>
    <w:rsid w:val="0062798D"/>
    <w:rsid w:val="00627F36"/>
    <w:rsid w:val="006301C5"/>
    <w:rsid w:val="00635B90"/>
    <w:rsid w:val="006377FF"/>
    <w:rsid w:val="006425FC"/>
    <w:rsid w:val="00647D4E"/>
    <w:rsid w:val="0065501E"/>
    <w:rsid w:val="006550A2"/>
    <w:rsid w:val="00656279"/>
    <w:rsid w:val="00656D87"/>
    <w:rsid w:val="006650E3"/>
    <w:rsid w:val="00666A24"/>
    <w:rsid w:val="0067269F"/>
    <w:rsid w:val="00681BBB"/>
    <w:rsid w:val="006849DA"/>
    <w:rsid w:val="0068799A"/>
    <w:rsid w:val="00691333"/>
    <w:rsid w:val="00694280"/>
    <w:rsid w:val="00695673"/>
    <w:rsid w:val="006A399D"/>
    <w:rsid w:val="006A3CDF"/>
    <w:rsid w:val="006C0A95"/>
    <w:rsid w:val="006C368A"/>
    <w:rsid w:val="006C6813"/>
    <w:rsid w:val="006D0559"/>
    <w:rsid w:val="006D51DC"/>
    <w:rsid w:val="006D684A"/>
    <w:rsid w:val="006E3F8F"/>
    <w:rsid w:val="006E77CA"/>
    <w:rsid w:val="006F162E"/>
    <w:rsid w:val="00701943"/>
    <w:rsid w:val="00702D84"/>
    <w:rsid w:val="00717A99"/>
    <w:rsid w:val="007270E6"/>
    <w:rsid w:val="007355F5"/>
    <w:rsid w:val="00740EBB"/>
    <w:rsid w:val="007418E2"/>
    <w:rsid w:val="00743573"/>
    <w:rsid w:val="00745ED1"/>
    <w:rsid w:val="00757603"/>
    <w:rsid w:val="00760CD8"/>
    <w:rsid w:val="007717B4"/>
    <w:rsid w:val="00772D04"/>
    <w:rsid w:val="0077763B"/>
    <w:rsid w:val="00777692"/>
    <w:rsid w:val="007937B4"/>
    <w:rsid w:val="007A5572"/>
    <w:rsid w:val="007B3AE1"/>
    <w:rsid w:val="007C0A93"/>
    <w:rsid w:val="007D0F32"/>
    <w:rsid w:val="007D66EF"/>
    <w:rsid w:val="007E247A"/>
    <w:rsid w:val="007E3690"/>
    <w:rsid w:val="007E3795"/>
    <w:rsid w:val="007E708B"/>
    <w:rsid w:val="007F0247"/>
    <w:rsid w:val="007F3078"/>
    <w:rsid w:val="007F3B85"/>
    <w:rsid w:val="007F7F75"/>
    <w:rsid w:val="00814450"/>
    <w:rsid w:val="0081646B"/>
    <w:rsid w:val="00816C51"/>
    <w:rsid w:val="0084248F"/>
    <w:rsid w:val="00846424"/>
    <w:rsid w:val="0085109A"/>
    <w:rsid w:val="008541F3"/>
    <w:rsid w:val="008647FB"/>
    <w:rsid w:val="00867545"/>
    <w:rsid w:val="0086762D"/>
    <w:rsid w:val="008705CA"/>
    <w:rsid w:val="00877BF7"/>
    <w:rsid w:val="00881341"/>
    <w:rsid w:val="00895FB3"/>
    <w:rsid w:val="008A10F3"/>
    <w:rsid w:val="008A1C5D"/>
    <w:rsid w:val="008B06D7"/>
    <w:rsid w:val="008B7BE7"/>
    <w:rsid w:val="008C405A"/>
    <w:rsid w:val="008C4967"/>
    <w:rsid w:val="008D05EC"/>
    <w:rsid w:val="008D4707"/>
    <w:rsid w:val="008D7130"/>
    <w:rsid w:val="008E0C16"/>
    <w:rsid w:val="008E6D79"/>
    <w:rsid w:val="008F357B"/>
    <w:rsid w:val="008F43F5"/>
    <w:rsid w:val="00900D1D"/>
    <w:rsid w:val="009050CB"/>
    <w:rsid w:val="009052C1"/>
    <w:rsid w:val="00907264"/>
    <w:rsid w:val="0091005C"/>
    <w:rsid w:val="009138C7"/>
    <w:rsid w:val="00921B12"/>
    <w:rsid w:val="00934E25"/>
    <w:rsid w:val="00936FC5"/>
    <w:rsid w:val="009375F6"/>
    <w:rsid w:val="009378F1"/>
    <w:rsid w:val="00941EFE"/>
    <w:rsid w:val="0095650B"/>
    <w:rsid w:val="00957B82"/>
    <w:rsid w:val="00963006"/>
    <w:rsid w:val="00970B5D"/>
    <w:rsid w:val="00974556"/>
    <w:rsid w:val="00990A62"/>
    <w:rsid w:val="00993D67"/>
    <w:rsid w:val="009979ED"/>
    <w:rsid w:val="009A2F2E"/>
    <w:rsid w:val="009A760B"/>
    <w:rsid w:val="009A7D24"/>
    <w:rsid w:val="009B54F6"/>
    <w:rsid w:val="009C3253"/>
    <w:rsid w:val="009C3F41"/>
    <w:rsid w:val="009C5162"/>
    <w:rsid w:val="009C69CD"/>
    <w:rsid w:val="009D3B91"/>
    <w:rsid w:val="009D47A4"/>
    <w:rsid w:val="009D533F"/>
    <w:rsid w:val="009E0F6D"/>
    <w:rsid w:val="009E2261"/>
    <w:rsid w:val="009E3AAF"/>
    <w:rsid w:val="009E6231"/>
    <w:rsid w:val="009F0F0A"/>
    <w:rsid w:val="009F2940"/>
    <w:rsid w:val="00A00525"/>
    <w:rsid w:val="00A01565"/>
    <w:rsid w:val="00A02589"/>
    <w:rsid w:val="00A0498E"/>
    <w:rsid w:val="00A11254"/>
    <w:rsid w:val="00A12909"/>
    <w:rsid w:val="00A165DA"/>
    <w:rsid w:val="00A307FF"/>
    <w:rsid w:val="00A35918"/>
    <w:rsid w:val="00A36546"/>
    <w:rsid w:val="00A42B7C"/>
    <w:rsid w:val="00A46FC3"/>
    <w:rsid w:val="00A56227"/>
    <w:rsid w:val="00A63450"/>
    <w:rsid w:val="00A675DD"/>
    <w:rsid w:val="00A67C0E"/>
    <w:rsid w:val="00A91C17"/>
    <w:rsid w:val="00A92132"/>
    <w:rsid w:val="00AA2515"/>
    <w:rsid w:val="00AA423C"/>
    <w:rsid w:val="00AB1841"/>
    <w:rsid w:val="00AB70AE"/>
    <w:rsid w:val="00AD3622"/>
    <w:rsid w:val="00AD5771"/>
    <w:rsid w:val="00AD6474"/>
    <w:rsid w:val="00AF6C5D"/>
    <w:rsid w:val="00B04A86"/>
    <w:rsid w:val="00B063B7"/>
    <w:rsid w:val="00B10368"/>
    <w:rsid w:val="00B1406E"/>
    <w:rsid w:val="00B14425"/>
    <w:rsid w:val="00B23653"/>
    <w:rsid w:val="00B313AF"/>
    <w:rsid w:val="00B35206"/>
    <w:rsid w:val="00B50B5F"/>
    <w:rsid w:val="00B5177E"/>
    <w:rsid w:val="00B61CBB"/>
    <w:rsid w:val="00B61FC7"/>
    <w:rsid w:val="00B658A9"/>
    <w:rsid w:val="00B66802"/>
    <w:rsid w:val="00B66C43"/>
    <w:rsid w:val="00B70FA9"/>
    <w:rsid w:val="00B77894"/>
    <w:rsid w:val="00B9036D"/>
    <w:rsid w:val="00B96276"/>
    <w:rsid w:val="00B96CA0"/>
    <w:rsid w:val="00B97352"/>
    <w:rsid w:val="00BA1D08"/>
    <w:rsid w:val="00BB62B8"/>
    <w:rsid w:val="00BB6DCA"/>
    <w:rsid w:val="00BC03AA"/>
    <w:rsid w:val="00BC2378"/>
    <w:rsid w:val="00BF04D6"/>
    <w:rsid w:val="00C03572"/>
    <w:rsid w:val="00C03C0B"/>
    <w:rsid w:val="00C05FAA"/>
    <w:rsid w:val="00C06ED1"/>
    <w:rsid w:val="00C14056"/>
    <w:rsid w:val="00C177F1"/>
    <w:rsid w:val="00C36B5B"/>
    <w:rsid w:val="00C41D3B"/>
    <w:rsid w:val="00C54BED"/>
    <w:rsid w:val="00C56005"/>
    <w:rsid w:val="00C60258"/>
    <w:rsid w:val="00C61D8B"/>
    <w:rsid w:val="00C61DC7"/>
    <w:rsid w:val="00C61E23"/>
    <w:rsid w:val="00C657EC"/>
    <w:rsid w:val="00C67D20"/>
    <w:rsid w:val="00C72DB9"/>
    <w:rsid w:val="00C759CF"/>
    <w:rsid w:val="00C77093"/>
    <w:rsid w:val="00C77A48"/>
    <w:rsid w:val="00C81552"/>
    <w:rsid w:val="00C87634"/>
    <w:rsid w:val="00CA2905"/>
    <w:rsid w:val="00CB48FE"/>
    <w:rsid w:val="00CC418C"/>
    <w:rsid w:val="00CD18EB"/>
    <w:rsid w:val="00CD4F99"/>
    <w:rsid w:val="00CD554A"/>
    <w:rsid w:val="00CE0F6F"/>
    <w:rsid w:val="00CE1ECF"/>
    <w:rsid w:val="00CE4350"/>
    <w:rsid w:val="00CE649C"/>
    <w:rsid w:val="00D0095E"/>
    <w:rsid w:val="00D05B97"/>
    <w:rsid w:val="00D06112"/>
    <w:rsid w:val="00D061AC"/>
    <w:rsid w:val="00D12029"/>
    <w:rsid w:val="00D133D4"/>
    <w:rsid w:val="00D17DB8"/>
    <w:rsid w:val="00D24407"/>
    <w:rsid w:val="00D339A4"/>
    <w:rsid w:val="00D3462C"/>
    <w:rsid w:val="00D34AA0"/>
    <w:rsid w:val="00D35A3D"/>
    <w:rsid w:val="00D423C8"/>
    <w:rsid w:val="00D4253E"/>
    <w:rsid w:val="00D52BE5"/>
    <w:rsid w:val="00D56353"/>
    <w:rsid w:val="00D57D95"/>
    <w:rsid w:val="00D604C4"/>
    <w:rsid w:val="00D61FCF"/>
    <w:rsid w:val="00D72CAB"/>
    <w:rsid w:val="00D80237"/>
    <w:rsid w:val="00D80B32"/>
    <w:rsid w:val="00D95243"/>
    <w:rsid w:val="00DA6AB7"/>
    <w:rsid w:val="00DB4F26"/>
    <w:rsid w:val="00DC0603"/>
    <w:rsid w:val="00DD4B2B"/>
    <w:rsid w:val="00DE5ED6"/>
    <w:rsid w:val="00DF53DA"/>
    <w:rsid w:val="00E03932"/>
    <w:rsid w:val="00E076C1"/>
    <w:rsid w:val="00E076DF"/>
    <w:rsid w:val="00E12977"/>
    <w:rsid w:val="00E142FF"/>
    <w:rsid w:val="00E16209"/>
    <w:rsid w:val="00E21DE0"/>
    <w:rsid w:val="00E22CA8"/>
    <w:rsid w:val="00E30D79"/>
    <w:rsid w:val="00E30EA7"/>
    <w:rsid w:val="00E3189C"/>
    <w:rsid w:val="00E35EF0"/>
    <w:rsid w:val="00E41230"/>
    <w:rsid w:val="00E41AE7"/>
    <w:rsid w:val="00E44992"/>
    <w:rsid w:val="00E4692A"/>
    <w:rsid w:val="00E46A9E"/>
    <w:rsid w:val="00E615DB"/>
    <w:rsid w:val="00E61E86"/>
    <w:rsid w:val="00E632D5"/>
    <w:rsid w:val="00E70F0C"/>
    <w:rsid w:val="00E72CBA"/>
    <w:rsid w:val="00E808B2"/>
    <w:rsid w:val="00E939C0"/>
    <w:rsid w:val="00E958A6"/>
    <w:rsid w:val="00EA26BB"/>
    <w:rsid w:val="00EA40EB"/>
    <w:rsid w:val="00EA757D"/>
    <w:rsid w:val="00EB09DF"/>
    <w:rsid w:val="00EC1D62"/>
    <w:rsid w:val="00EC2C59"/>
    <w:rsid w:val="00EC5030"/>
    <w:rsid w:val="00ED073A"/>
    <w:rsid w:val="00ED6A52"/>
    <w:rsid w:val="00EE004E"/>
    <w:rsid w:val="00EF0C33"/>
    <w:rsid w:val="00F04B9F"/>
    <w:rsid w:val="00F12B62"/>
    <w:rsid w:val="00F24BD0"/>
    <w:rsid w:val="00F256B5"/>
    <w:rsid w:val="00F364DB"/>
    <w:rsid w:val="00F4727B"/>
    <w:rsid w:val="00F47947"/>
    <w:rsid w:val="00F53E7B"/>
    <w:rsid w:val="00F649BE"/>
    <w:rsid w:val="00F70EAE"/>
    <w:rsid w:val="00F850D7"/>
    <w:rsid w:val="00F9123E"/>
    <w:rsid w:val="00F92CC3"/>
    <w:rsid w:val="00F96D4D"/>
    <w:rsid w:val="00F97220"/>
    <w:rsid w:val="00FA0D99"/>
    <w:rsid w:val="00FA17C4"/>
    <w:rsid w:val="00FA1C57"/>
    <w:rsid w:val="00FA25BA"/>
    <w:rsid w:val="00FC0D6C"/>
    <w:rsid w:val="00FC5C59"/>
    <w:rsid w:val="00FC76C8"/>
    <w:rsid w:val="00FD7AA4"/>
    <w:rsid w:val="00FE3762"/>
    <w:rsid w:val="00FF3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52"/>
  </w:style>
  <w:style w:type="paragraph" w:styleId="Heading1">
    <w:name w:val="heading 1"/>
    <w:basedOn w:val="Normal"/>
    <w:next w:val="Normal"/>
    <w:link w:val="Heading1Char"/>
    <w:uiPriority w:val="9"/>
    <w:qFormat/>
    <w:rsid w:val="005727F2"/>
    <w:pPr>
      <w:keepNext/>
      <w:keepLines/>
      <w:spacing w:before="480"/>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0C19"/>
    <w:pPr>
      <w:keepNext/>
      <w:keepLines/>
      <w:spacing w:before="200"/>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0C19"/>
    <w:pPr>
      <w:keepNext/>
      <w:keepLines/>
      <w:spacing w:before="200"/>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F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0C19"/>
    <w:rPr>
      <w:rFonts w:asciiTheme="majorHAnsi" w:eastAsiaTheme="majorEastAsia" w:hAnsiTheme="majorHAnsi" w:cstheme="majorBidi"/>
      <w:b/>
      <w:bCs/>
      <w:sz w:val="26"/>
      <w:szCs w:val="26"/>
    </w:rPr>
  </w:style>
  <w:style w:type="paragraph" w:styleId="ListParagraph">
    <w:name w:val="List Paragraph"/>
    <w:basedOn w:val="Normal"/>
    <w:link w:val="ListParagraphChar"/>
    <w:uiPriority w:val="34"/>
    <w:qFormat/>
    <w:rsid w:val="003429BD"/>
    <w:pPr>
      <w:ind w:left="720"/>
      <w:contextualSpacing/>
    </w:p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Footnote Text Char Char Char,ADB"/>
    <w:basedOn w:val="Normal"/>
    <w:link w:val="FootnoteTextChar"/>
    <w:uiPriority w:val="99"/>
    <w:unhideWhenUsed/>
    <w:rsid w:val="00AD3622"/>
    <w:rPr>
      <w:sz w:val="20"/>
      <w:szCs w:val="20"/>
    </w:rPr>
  </w:style>
  <w:style w:type="character" w:customStyle="1" w:styleId="FootnoteTextChar">
    <w:name w:val="Footnote Text Char"/>
    <w:aliases w:val="single space Char,fn Char,FOOTNOTES Char,ft Char,Footnote Text Char2 Char,Footnote Text Char1 Char Char,Footnote Text Char Char Char1 Char,Footnote Text Char1 Char Char Char1 Char,Footnote Text Char1 Char1 Char Char,ADB Char"/>
    <w:basedOn w:val="DefaultParagraphFont"/>
    <w:link w:val="FootnoteText"/>
    <w:uiPriority w:val="99"/>
    <w:rsid w:val="00AD3622"/>
    <w:rPr>
      <w:sz w:val="20"/>
      <w:szCs w:val="20"/>
    </w:rPr>
  </w:style>
  <w:style w:type="character" w:styleId="FootnoteReference">
    <w:name w:val="footnote reference"/>
    <w:basedOn w:val="DefaultParagraphFont"/>
    <w:uiPriority w:val="99"/>
    <w:unhideWhenUsed/>
    <w:rsid w:val="00AD3622"/>
    <w:rPr>
      <w:vertAlign w:val="superscript"/>
    </w:rPr>
  </w:style>
  <w:style w:type="table" w:styleId="TableGrid">
    <w:name w:val="Table Grid"/>
    <w:basedOn w:val="TableNormal"/>
    <w:uiPriority w:val="59"/>
    <w:rsid w:val="00E21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DE0"/>
    <w:rPr>
      <w:rFonts w:ascii="Tahoma" w:hAnsi="Tahoma" w:cs="Tahoma"/>
      <w:sz w:val="16"/>
      <w:szCs w:val="16"/>
    </w:rPr>
  </w:style>
  <w:style w:type="character" w:customStyle="1" w:styleId="BalloonTextChar">
    <w:name w:val="Balloon Text Char"/>
    <w:basedOn w:val="DefaultParagraphFont"/>
    <w:link w:val="BalloonText"/>
    <w:uiPriority w:val="99"/>
    <w:semiHidden/>
    <w:rsid w:val="00E21DE0"/>
    <w:rPr>
      <w:rFonts w:ascii="Tahoma" w:hAnsi="Tahoma" w:cs="Tahoma"/>
      <w:sz w:val="16"/>
      <w:szCs w:val="16"/>
    </w:rPr>
  </w:style>
  <w:style w:type="paragraph" w:styleId="BodyText">
    <w:name w:val="Body Text"/>
    <w:basedOn w:val="TOC2"/>
    <w:link w:val="BodyTextChar"/>
    <w:uiPriority w:val="99"/>
    <w:rsid w:val="00E21DE0"/>
    <w:pPr>
      <w:spacing w:before="120"/>
      <w:ind w:left="0"/>
    </w:pPr>
    <w:rPr>
      <w:rFonts w:ascii="Calibri" w:eastAsia="Calibri" w:hAnsi="Calibri" w:cs="Times New Roman"/>
      <w:noProof/>
      <w:sz w:val="22"/>
      <w:lang w:bidi="ar-DZ"/>
    </w:rPr>
  </w:style>
  <w:style w:type="character" w:customStyle="1" w:styleId="BodyTextChar">
    <w:name w:val="Body Text Char"/>
    <w:basedOn w:val="DefaultParagraphFont"/>
    <w:link w:val="BodyText"/>
    <w:uiPriority w:val="99"/>
    <w:rsid w:val="00E21DE0"/>
    <w:rPr>
      <w:rFonts w:ascii="Calibri" w:eastAsia="Calibri" w:hAnsi="Calibri" w:cs="Times New Roman"/>
      <w:noProof/>
      <w:sz w:val="22"/>
      <w:lang w:bidi="ar-DZ"/>
    </w:rPr>
  </w:style>
  <w:style w:type="character" w:customStyle="1" w:styleId="ListParagraphChar">
    <w:name w:val="List Paragraph Char"/>
    <w:link w:val="ListParagraph"/>
    <w:uiPriority w:val="34"/>
    <w:locked/>
    <w:rsid w:val="00E21DE0"/>
  </w:style>
  <w:style w:type="paragraph" w:styleId="TOC2">
    <w:name w:val="toc 2"/>
    <w:basedOn w:val="Normal"/>
    <w:next w:val="Normal"/>
    <w:autoRedefine/>
    <w:uiPriority w:val="39"/>
    <w:unhideWhenUsed/>
    <w:rsid w:val="00E21DE0"/>
    <w:pPr>
      <w:ind w:left="240"/>
    </w:pPr>
    <w:rPr>
      <w:rFonts w:asciiTheme="minorHAnsi" w:hAnsiTheme="minorHAnsi" w:cstheme="minorHAnsi"/>
      <w:smallCaps/>
      <w:sz w:val="20"/>
      <w:szCs w:val="20"/>
    </w:rPr>
  </w:style>
  <w:style w:type="paragraph" w:customStyle="1" w:styleId="Default">
    <w:name w:val="Default"/>
    <w:rsid w:val="00C54BED"/>
    <w:pPr>
      <w:autoSpaceDE w:val="0"/>
      <w:autoSpaceDN w:val="0"/>
      <w:adjustRightInd w:val="0"/>
    </w:pPr>
    <w:rPr>
      <w:rFonts w:ascii="Tahoma" w:hAnsi="Tahoma" w:cs="Tahoma"/>
      <w:color w:val="000000"/>
      <w:szCs w:val="24"/>
    </w:rPr>
  </w:style>
  <w:style w:type="paragraph" w:customStyle="1" w:styleId="CharCharCharChar">
    <w:name w:val="Char Char Char Char"/>
    <w:basedOn w:val="Normal"/>
    <w:next w:val="Normal"/>
    <w:rsid w:val="009375F6"/>
    <w:pPr>
      <w:spacing w:after="160" w:line="240" w:lineRule="exact"/>
      <w:jc w:val="center"/>
    </w:pPr>
    <w:rPr>
      <w:rFonts w:ascii="Tahoma" w:eastAsia="Times New Roman" w:hAnsi="Tahoma" w:cs="Angsana New"/>
      <w:b/>
      <w:szCs w:val="20"/>
      <w:lang w:val="en-US"/>
    </w:rPr>
  </w:style>
  <w:style w:type="paragraph" w:styleId="NormalWeb">
    <w:name w:val="Normal (Web)"/>
    <w:basedOn w:val="Normal"/>
    <w:uiPriority w:val="99"/>
    <w:semiHidden/>
    <w:unhideWhenUsed/>
    <w:rsid w:val="0095650B"/>
    <w:pPr>
      <w:spacing w:before="100" w:beforeAutospacing="1" w:after="100" w:afterAutospacing="1"/>
    </w:pPr>
    <w:rPr>
      <w:rFonts w:eastAsia="Times New Roman" w:cs="Times New Roman"/>
      <w:szCs w:val="24"/>
      <w:lang w:eastAsia="en-AU"/>
    </w:rPr>
  </w:style>
  <w:style w:type="character" w:customStyle="1" w:styleId="Heading3Char">
    <w:name w:val="Heading 3 Char"/>
    <w:basedOn w:val="DefaultParagraphFont"/>
    <w:link w:val="Heading3"/>
    <w:uiPriority w:val="9"/>
    <w:rsid w:val="00160C19"/>
    <w:rPr>
      <w:rFonts w:asciiTheme="majorHAnsi" w:eastAsiaTheme="majorEastAsia" w:hAnsiTheme="majorHAnsi" w:cstheme="majorBidi"/>
      <w:b/>
      <w:bCs/>
      <w:i/>
    </w:rPr>
  </w:style>
  <w:style w:type="paragraph" w:styleId="Header">
    <w:name w:val="header"/>
    <w:basedOn w:val="Normal"/>
    <w:link w:val="HeaderChar"/>
    <w:uiPriority w:val="99"/>
    <w:unhideWhenUsed/>
    <w:rsid w:val="00F256B5"/>
    <w:pPr>
      <w:tabs>
        <w:tab w:val="center" w:pos="4513"/>
        <w:tab w:val="right" w:pos="9026"/>
      </w:tabs>
    </w:pPr>
  </w:style>
  <w:style w:type="character" w:customStyle="1" w:styleId="HeaderChar">
    <w:name w:val="Header Char"/>
    <w:basedOn w:val="DefaultParagraphFont"/>
    <w:link w:val="Header"/>
    <w:uiPriority w:val="99"/>
    <w:rsid w:val="00F256B5"/>
  </w:style>
  <w:style w:type="paragraph" w:styleId="Footer">
    <w:name w:val="footer"/>
    <w:basedOn w:val="Normal"/>
    <w:link w:val="FooterChar"/>
    <w:uiPriority w:val="99"/>
    <w:unhideWhenUsed/>
    <w:rsid w:val="00F256B5"/>
    <w:pPr>
      <w:tabs>
        <w:tab w:val="center" w:pos="4513"/>
        <w:tab w:val="right" w:pos="9026"/>
      </w:tabs>
    </w:pPr>
  </w:style>
  <w:style w:type="character" w:customStyle="1" w:styleId="FooterChar">
    <w:name w:val="Footer Char"/>
    <w:basedOn w:val="DefaultParagraphFont"/>
    <w:link w:val="Footer"/>
    <w:uiPriority w:val="99"/>
    <w:rsid w:val="00F256B5"/>
  </w:style>
  <w:style w:type="paragraph" w:styleId="TOCHeading">
    <w:name w:val="TOC Heading"/>
    <w:basedOn w:val="Heading1"/>
    <w:next w:val="Normal"/>
    <w:uiPriority w:val="39"/>
    <w:unhideWhenUsed/>
    <w:qFormat/>
    <w:rsid w:val="008E6D79"/>
    <w:pPr>
      <w:spacing w:line="276" w:lineRule="auto"/>
      <w:outlineLvl w:val="9"/>
    </w:pPr>
    <w:rPr>
      <w:lang w:val="en-US"/>
    </w:rPr>
  </w:style>
  <w:style w:type="paragraph" w:styleId="TOC1">
    <w:name w:val="toc 1"/>
    <w:basedOn w:val="Normal"/>
    <w:next w:val="Normal"/>
    <w:autoRedefine/>
    <w:uiPriority w:val="39"/>
    <w:unhideWhenUsed/>
    <w:rsid w:val="008E6D79"/>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8E6D79"/>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8E6D79"/>
    <w:rPr>
      <w:color w:val="0000FF" w:themeColor="hyperlink"/>
      <w:u w:val="single"/>
    </w:rPr>
  </w:style>
  <w:style w:type="paragraph" w:styleId="TOC4">
    <w:name w:val="toc 4"/>
    <w:basedOn w:val="Normal"/>
    <w:next w:val="Normal"/>
    <w:autoRedefine/>
    <w:uiPriority w:val="39"/>
    <w:unhideWhenUsed/>
    <w:rsid w:val="008E6D7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E6D7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E6D7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E6D7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E6D7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E6D79"/>
    <w:pPr>
      <w:ind w:left="1920"/>
    </w:pPr>
    <w:rPr>
      <w:rFonts w:asciiTheme="minorHAnsi" w:hAnsiTheme="minorHAnsi" w:cstheme="minorHAnsi"/>
      <w:sz w:val="18"/>
      <w:szCs w:val="18"/>
    </w:rPr>
  </w:style>
  <w:style w:type="paragraph" w:customStyle="1" w:styleId="CONLevela">
    <w:name w:val=".CON  Level  (a)"/>
    <w:basedOn w:val="Normal"/>
    <w:next w:val="Normal"/>
    <w:link w:val="CONLevelaChar"/>
    <w:rsid w:val="001E26C7"/>
    <w:pPr>
      <w:numPr>
        <w:ilvl w:val="2"/>
        <w:numId w:val="99"/>
      </w:numPr>
      <w:spacing w:before="240"/>
      <w:outlineLvl w:val="3"/>
    </w:pPr>
    <w:rPr>
      <w:rFonts w:eastAsia="Times New Roman" w:cs="Times New Roman"/>
    </w:rPr>
  </w:style>
  <w:style w:type="paragraph" w:customStyle="1" w:styleId="CONLeveli">
    <w:name w:val=".CON  Level  (i)"/>
    <w:basedOn w:val="Normal"/>
    <w:next w:val="Normal"/>
    <w:rsid w:val="001E26C7"/>
    <w:pPr>
      <w:numPr>
        <w:ilvl w:val="3"/>
        <w:numId w:val="99"/>
      </w:numPr>
      <w:spacing w:before="240"/>
      <w:outlineLvl w:val="4"/>
    </w:pPr>
    <w:rPr>
      <w:rFonts w:eastAsia="Times New Roman" w:cs="Times New Roman"/>
    </w:rPr>
  </w:style>
  <w:style w:type="paragraph" w:customStyle="1" w:styleId="CONLevel11">
    <w:name w:val=".CON  Level   1.1"/>
    <w:basedOn w:val="Normal"/>
    <w:next w:val="Normal"/>
    <w:rsid w:val="001E26C7"/>
    <w:pPr>
      <w:numPr>
        <w:ilvl w:val="1"/>
        <w:numId w:val="99"/>
      </w:numPr>
      <w:spacing w:before="240"/>
      <w:outlineLvl w:val="2"/>
    </w:pPr>
    <w:rPr>
      <w:rFonts w:eastAsia="Times New Roman" w:cs="Times New Roman"/>
    </w:rPr>
  </w:style>
  <w:style w:type="paragraph" w:customStyle="1" w:styleId="CONLevelA0">
    <w:name w:val=".CON  Level (A)"/>
    <w:basedOn w:val="Normal"/>
    <w:next w:val="Normal"/>
    <w:rsid w:val="001E26C7"/>
    <w:pPr>
      <w:numPr>
        <w:ilvl w:val="4"/>
        <w:numId w:val="99"/>
      </w:numPr>
      <w:spacing w:before="240"/>
      <w:outlineLvl w:val="5"/>
    </w:pPr>
    <w:rPr>
      <w:rFonts w:eastAsia="Times New Roman" w:cs="Times New Roman"/>
    </w:rPr>
  </w:style>
  <w:style w:type="paragraph" w:customStyle="1" w:styleId="CONLevelI0">
    <w:name w:val=".CON  Level (I)"/>
    <w:basedOn w:val="Normal"/>
    <w:next w:val="Normal"/>
    <w:rsid w:val="001E26C7"/>
    <w:pPr>
      <w:numPr>
        <w:ilvl w:val="5"/>
        <w:numId w:val="99"/>
      </w:numPr>
      <w:spacing w:before="240"/>
      <w:outlineLvl w:val="6"/>
    </w:pPr>
    <w:rPr>
      <w:rFonts w:eastAsia="Times New Roman" w:cs="Times New Roman"/>
    </w:rPr>
  </w:style>
  <w:style w:type="character" w:customStyle="1" w:styleId="CONLevelaChar">
    <w:name w:val=".CON  Level  (a) Char"/>
    <w:link w:val="CONLevela"/>
    <w:locked/>
    <w:rsid w:val="001E26C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52"/>
  </w:style>
  <w:style w:type="paragraph" w:styleId="Heading1">
    <w:name w:val="heading 1"/>
    <w:basedOn w:val="Normal"/>
    <w:next w:val="Normal"/>
    <w:link w:val="Heading1Char"/>
    <w:uiPriority w:val="9"/>
    <w:qFormat/>
    <w:rsid w:val="005727F2"/>
    <w:pPr>
      <w:keepNext/>
      <w:keepLines/>
      <w:spacing w:before="480"/>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0C19"/>
    <w:pPr>
      <w:keepNext/>
      <w:keepLines/>
      <w:spacing w:before="200"/>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0C19"/>
    <w:pPr>
      <w:keepNext/>
      <w:keepLines/>
      <w:spacing w:before="200"/>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F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0C19"/>
    <w:rPr>
      <w:rFonts w:asciiTheme="majorHAnsi" w:eastAsiaTheme="majorEastAsia" w:hAnsiTheme="majorHAnsi" w:cstheme="majorBidi"/>
      <w:b/>
      <w:bCs/>
      <w:sz w:val="26"/>
      <w:szCs w:val="26"/>
    </w:rPr>
  </w:style>
  <w:style w:type="paragraph" w:styleId="ListParagraph">
    <w:name w:val="List Paragraph"/>
    <w:basedOn w:val="Normal"/>
    <w:link w:val="ListParagraphChar"/>
    <w:uiPriority w:val="34"/>
    <w:qFormat/>
    <w:rsid w:val="003429BD"/>
    <w:pPr>
      <w:ind w:left="720"/>
      <w:contextualSpacing/>
    </w:p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Footnote Text Char Char Char,ADB"/>
    <w:basedOn w:val="Normal"/>
    <w:link w:val="FootnoteTextChar"/>
    <w:uiPriority w:val="99"/>
    <w:unhideWhenUsed/>
    <w:rsid w:val="00AD3622"/>
    <w:rPr>
      <w:sz w:val="20"/>
      <w:szCs w:val="20"/>
    </w:rPr>
  </w:style>
  <w:style w:type="character" w:customStyle="1" w:styleId="FootnoteTextChar">
    <w:name w:val="Footnote Text Char"/>
    <w:aliases w:val="single space Char,fn Char,FOOTNOTES Char,ft Char,Footnote Text Char2 Char,Footnote Text Char1 Char Char,Footnote Text Char Char Char1 Char,Footnote Text Char1 Char Char Char1 Char,Footnote Text Char1 Char1 Char Char,ADB Char"/>
    <w:basedOn w:val="DefaultParagraphFont"/>
    <w:link w:val="FootnoteText"/>
    <w:uiPriority w:val="99"/>
    <w:rsid w:val="00AD3622"/>
    <w:rPr>
      <w:sz w:val="20"/>
      <w:szCs w:val="20"/>
    </w:rPr>
  </w:style>
  <w:style w:type="character" w:styleId="FootnoteReference">
    <w:name w:val="footnote reference"/>
    <w:basedOn w:val="DefaultParagraphFont"/>
    <w:uiPriority w:val="99"/>
    <w:unhideWhenUsed/>
    <w:rsid w:val="00AD3622"/>
    <w:rPr>
      <w:vertAlign w:val="superscript"/>
    </w:rPr>
  </w:style>
  <w:style w:type="table" w:styleId="TableGrid">
    <w:name w:val="Table Grid"/>
    <w:basedOn w:val="TableNormal"/>
    <w:uiPriority w:val="59"/>
    <w:rsid w:val="00E21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DE0"/>
    <w:rPr>
      <w:rFonts w:ascii="Tahoma" w:hAnsi="Tahoma" w:cs="Tahoma"/>
      <w:sz w:val="16"/>
      <w:szCs w:val="16"/>
    </w:rPr>
  </w:style>
  <w:style w:type="character" w:customStyle="1" w:styleId="BalloonTextChar">
    <w:name w:val="Balloon Text Char"/>
    <w:basedOn w:val="DefaultParagraphFont"/>
    <w:link w:val="BalloonText"/>
    <w:uiPriority w:val="99"/>
    <w:semiHidden/>
    <w:rsid w:val="00E21DE0"/>
    <w:rPr>
      <w:rFonts w:ascii="Tahoma" w:hAnsi="Tahoma" w:cs="Tahoma"/>
      <w:sz w:val="16"/>
      <w:szCs w:val="16"/>
    </w:rPr>
  </w:style>
  <w:style w:type="paragraph" w:styleId="BodyText">
    <w:name w:val="Body Text"/>
    <w:basedOn w:val="TOC2"/>
    <w:link w:val="BodyTextChar"/>
    <w:uiPriority w:val="99"/>
    <w:rsid w:val="00E21DE0"/>
    <w:pPr>
      <w:spacing w:before="120"/>
      <w:ind w:left="0"/>
    </w:pPr>
    <w:rPr>
      <w:rFonts w:ascii="Calibri" w:eastAsia="Calibri" w:hAnsi="Calibri" w:cs="Times New Roman"/>
      <w:noProof/>
      <w:sz w:val="22"/>
      <w:lang w:bidi="ar-DZ"/>
    </w:rPr>
  </w:style>
  <w:style w:type="character" w:customStyle="1" w:styleId="BodyTextChar">
    <w:name w:val="Body Text Char"/>
    <w:basedOn w:val="DefaultParagraphFont"/>
    <w:link w:val="BodyText"/>
    <w:uiPriority w:val="99"/>
    <w:rsid w:val="00E21DE0"/>
    <w:rPr>
      <w:rFonts w:ascii="Calibri" w:eastAsia="Calibri" w:hAnsi="Calibri" w:cs="Times New Roman"/>
      <w:noProof/>
      <w:sz w:val="22"/>
      <w:lang w:bidi="ar-DZ"/>
    </w:rPr>
  </w:style>
  <w:style w:type="character" w:customStyle="1" w:styleId="ListParagraphChar">
    <w:name w:val="List Paragraph Char"/>
    <w:link w:val="ListParagraph"/>
    <w:uiPriority w:val="34"/>
    <w:locked/>
    <w:rsid w:val="00E21DE0"/>
  </w:style>
  <w:style w:type="paragraph" w:styleId="TOC2">
    <w:name w:val="toc 2"/>
    <w:basedOn w:val="Normal"/>
    <w:next w:val="Normal"/>
    <w:autoRedefine/>
    <w:uiPriority w:val="39"/>
    <w:unhideWhenUsed/>
    <w:rsid w:val="00E21DE0"/>
    <w:pPr>
      <w:ind w:left="240"/>
    </w:pPr>
    <w:rPr>
      <w:rFonts w:asciiTheme="minorHAnsi" w:hAnsiTheme="minorHAnsi" w:cstheme="minorHAnsi"/>
      <w:smallCaps/>
      <w:sz w:val="20"/>
      <w:szCs w:val="20"/>
    </w:rPr>
  </w:style>
  <w:style w:type="paragraph" w:customStyle="1" w:styleId="Default">
    <w:name w:val="Default"/>
    <w:rsid w:val="00C54BED"/>
    <w:pPr>
      <w:autoSpaceDE w:val="0"/>
      <w:autoSpaceDN w:val="0"/>
      <w:adjustRightInd w:val="0"/>
    </w:pPr>
    <w:rPr>
      <w:rFonts w:ascii="Tahoma" w:hAnsi="Tahoma" w:cs="Tahoma"/>
      <w:color w:val="000000"/>
      <w:szCs w:val="24"/>
    </w:rPr>
  </w:style>
  <w:style w:type="paragraph" w:customStyle="1" w:styleId="CharCharCharChar">
    <w:name w:val="Char Char Char Char"/>
    <w:basedOn w:val="Normal"/>
    <w:next w:val="Normal"/>
    <w:rsid w:val="009375F6"/>
    <w:pPr>
      <w:spacing w:after="160" w:line="240" w:lineRule="exact"/>
      <w:jc w:val="center"/>
    </w:pPr>
    <w:rPr>
      <w:rFonts w:ascii="Tahoma" w:eastAsia="Times New Roman" w:hAnsi="Tahoma" w:cs="Angsana New"/>
      <w:b/>
      <w:szCs w:val="20"/>
      <w:lang w:val="en-US"/>
    </w:rPr>
  </w:style>
  <w:style w:type="paragraph" w:styleId="NormalWeb">
    <w:name w:val="Normal (Web)"/>
    <w:basedOn w:val="Normal"/>
    <w:uiPriority w:val="99"/>
    <w:semiHidden/>
    <w:unhideWhenUsed/>
    <w:rsid w:val="0095650B"/>
    <w:pPr>
      <w:spacing w:before="100" w:beforeAutospacing="1" w:after="100" w:afterAutospacing="1"/>
    </w:pPr>
    <w:rPr>
      <w:rFonts w:eastAsia="Times New Roman" w:cs="Times New Roman"/>
      <w:szCs w:val="24"/>
      <w:lang w:eastAsia="en-AU"/>
    </w:rPr>
  </w:style>
  <w:style w:type="character" w:customStyle="1" w:styleId="Heading3Char">
    <w:name w:val="Heading 3 Char"/>
    <w:basedOn w:val="DefaultParagraphFont"/>
    <w:link w:val="Heading3"/>
    <w:uiPriority w:val="9"/>
    <w:rsid w:val="00160C19"/>
    <w:rPr>
      <w:rFonts w:asciiTheme="majorHAnsi" w:eastAsiaTheme="majorEastAsia" w:hAnsiTheme="majorHAnsi" w:cstheme="majorBidi"/>
      <w:b/>
      <w:bCs/>
      <w:i/>
    </w:rPr>
  </w:style>
  <w:style w:type="paragraph" w:styleId="Header">
    <w:name w:val="header"/>
    <w:basedOn w:val="Normal"/>
    <w:link w:val="HeaderChar"/>
    <w:uiPriority w:val="99"/>
    <w:unhideWhenUsed/>
    <w:rsid w:val="00F256B5"/>
    <w:pPr>
      <w:tabs>
        <w:tab w:val="center" w:pos="4513"/>
        <w:tab w:val="right" w:pos="9026"/>
      </w:tabs>
    </w:pPr>
  </w:style>
  <w:style w:type="character" w:customStyle="1" w:styleId="HeaderChar">
    <w:name w:val="Header Char"/>
    <w:basedOn w:val="DefaultParagraphFont"/>
    <w:link w:val="Header"/>
    <w:uiPriority w:val="99"/>
    <w:rsid w:val="00F256B5"/>
  </w:style>
  <w:style w:type="paragraph" w:styleId="Footer">
    <w:name w:val="footer"/>
    <w:basedOn w:val="Normal"/>
    <w:link w:val="FooterChar"/>
    <w:uiPriority w:val="99"/>
    <w:unhideWhenUsed/>
    <w:rsid w:val="00F256B5"/>
    <w:pPr>
      <w:tabs>
        <w:tab w:val="center" w:pos="4513"/>
        <w:tab w:val="right" w:pos="9026"/>
      </w:tabs>
    </w:pPr>
  </w:style>
  <w:style w:type="character" w:customStyle="1" w:styleId="FooterChar">
    <w:name w:val="Footer Char"/>
    <w:basedOn w:val="DefaultParagraphFont"/>
    <w:link w:val="Footer"/>
    <w:uiPriority w:val="99"/>
    <w:rsid w:val="00F256B5"/>
  </w:style>
  <w:style w:type="paragraph" w:styleId="TOCHeading">
    <w:name w:val="TOC Heading"/>
    <w:basedOn w:val="Heading1"/>
    <w:next w:val="Normal"/>
    <w:uiPriority w:val="39"/>
    <w:unhideWhenUsed/>
    <w:qFormat/>
    <w:rsid w:val="008E6D79"/>
    <w:pPr>
      <w:spacing w:line="276" w:lineRule="auto"/>
      <w:outlineLvl w:val="9"/>
    </w:pPr>
    <w:rPr>
      <w:lang w:val="en-US"/>
    </w:rPr>
  </w:style>
  <w:style w:type="paragraph" w:styleId="TOC1">
    <w:name w:val="toc 1"/>
    <w:basedOn w:val="Normal"/>
    <w:next w:val="Normal"/>
    <w:autoRedefine/>
    <w:uiPriority w:val="39"/>
    <w:unhideWhenUsed/>
    <w:rsid w:val="008E6D79"/>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8E6D79"/>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8E6D79"/>
    <w:rPr>
      <w:color w:val="0000FF" w:themeColor="hyperlink"/>
      <w:u w:val="single"/>
    </w:rPr>
  </w:style>
  <w:style w:type="paragraph" w:styleId="TOC4">
    <w:name w:val="toc 4"/>
    <w:basedOn w:val="Normal"/>
    <w:next w:val="Normal"/>
    <w:autoRedefine/>
    <w:uiPriority w:val="39"/>
    <w:unhideWhenUsed/>
    <w:rsid w:val="008E6D7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E6D7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E6D7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E6D7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E6D7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E6D79"/>
    <w:pPr>
      <w:ind w:left="1920"/>
    </w:pPr>
    <w:rPr>
      <w:rFonts w:asciiTheme="minorHAnsi" w:hAnsiTheme="minorHAnsi" w:cstheme="minorHAnsi"/>
      <w:sz w:val="18"/>
      <w:szCs w:val="18"/>
    </w:rPr>
  </w:style>
  <w:style w:type="paragraph" w:customStyle="1" w:styleId="CONLevela">
    <w:name w:val=".CON  Level  (a)"/>
    <w:basedOn w:val="Normal"/>
    <w:next w:val="Normal"/>
    <w:link w:val="CONLevelaChar"/>
    <w:rsid w:val="001E26C7"/>
    <w:pPr>
      <w:numPr>
        <w:ilvl w:val="2"/>
        <w:numId w:val="99"/>
      </w:numPr>
      <w:spacing w:before="240"/>
      <w:outlineLvl w:val="3"/>
    </w:pPr>
    <w:rPr>
      <w:rFonts w:eastAsia="Times New Roman" w:cs="Times New Roman"/>
    </w:rPr>
  </w:style>
  <w:style w:type="paragraph" w:customStyle="1" w:styleId="CONLeveli">
    <w:name w:val=".CON  Level  (i)"/>
    <w:basedOn w:val="Normal"/>
    <w:next w:val="Normal"/>
    <w:rsid w:val="001E26C7"/>
    <w:pPr>
      <w:numPr>
        <w:ilvl w:val="3"/>
        <w:numId w:val="99"/>
      </w:numPr>
      <w:spacing w:before="240"/>
      <w:outlineLvl w:val="4"/>
    </w:pPr>
    <w:rPr>
      <w:rFonts w:eastAsia="Times New Roman" w:cs="Times New Roman"/>
    </w:rPr>
  </w:style>
  <w:style w:type="paragraph" w:customStyle="1" w:styleId="CONLevel11">
    <w:name w:val=".CON  Level   1.1"/>
    <w:basedOn w:val="Normal"/>
    <w:next w:val="Normal"/>
    <w:rsid w:val="001E26C7"/>
    <w:pPr>
      <w:numPr>
        <w:ilvl w:val="1"/>
        <w:numId w:val="99"/>
      </w:numPr>
      <w:spacing w:before="240"/>
      <w:outlineLvl w:val="2"/>
    </w:pPr>
    <w:rPr>
      <w:rFonts w:eastAsia="Times New Roman" w:cs="Times New Roman"/>
    </w:rPr>
  </w:style>
  <w:style w:type="paragraph" w:customStyle="1" w:styleId="CONLevelA0">
    <w:name w:val=".CON  Level (A)"/>
    <w:basedOn w:val="Normal"/>
    <w:next w:val="Normal"/>
    <w:rsid w:val="001E26C7"/>
    <w:pPr>
      <w:numPr>
        <w:ilvl w:val="4"/>
        <w:numId w:val="99"/>
      </w:numPr>
      <w:spacing w:before="240"/>
      <w:outlineLvl w:val="5"/>
    </w:pPr>
    <w:rPr>
      <w:rFonts w:eastAsia="Times New Roman" w:cs="Times New Roman"/>
    </w:rPr>
  </w:style>
  <w:style w:type="paragraph" w:customStyle="1" w:styleId="CONLevelI0">
    <w:name w:val=".CON  Level (I)"/>
    <w:basedOn w:val="Normal"/>
    <w:next w:val="Normal"/>
    <w:rsid w:val="001E26C7"/>
    <w:pPr>
      <w:numPr>
        <w:ilvl w:val="5"/>
        <w:numId w:val="99"/>
      </w:numPr>
      <w:spacing w:before="240"/>
      <w:outlineLvl w:val="6"/>
    </w:pPr>
    <w:rPr>
      <w:rFonts w:eastAsia="Times New Roman" w:cs="Times New Roman"/>
    </w:rPr>
  </w:style>
  <w:style w:type="character" w:customStyle="1" w:styleId="CONLevelaChar">
    <w:name w:val=".CON  Level  (a) Char"/>
    <w:link w:val="CONLevela"/>
    <w:locked/>
    <w:rsid w:val="001E26C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0.w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A1059-4733-4DC3-92DB-01BBF2F0A677}"/>
</file>

<file path=customXml/itemProps2.xml><?xml version="1.0" encoding="utf-8"?>
<ds:datastoreItem xmlns:ds="http://schemas.openxmlformats.org/officeDocument/2006/customXml" ds:itemID="{12DF2DAF-97F2-4691-8660-9C79F4A61070}"/>
</file>

<file path=customXml/itemProps3.xml><?xml version="1.0" encoding="utf-8"?>
<ds:datastoreItem xmlns:ds="http://schemas.openxmlformats.org/officeDocument/2006/customXml" ds:itemID="{50AD4F38-3B33-40FA-838E-0E4582CEF0D7}"/>
</file>

<file path=customXml/itemProps4.xml><?xml version="1.0" encoding="utf-8"?>
<ds:datastoreItem xmlns:ds="http://schemas.openxmlformats.org/officeDocument/2006/customXml" ds:itemID="{EC685A64-0A0E-4977-9A3F-7D6BDE8E3E3A}"/>
</file>

<file path=docProps/app.xml><?xml version="1.0" encoding="utf-8"?>
<Properties xmlns="http://schemas.openxmlformats.org/officeDocument/2006/extended-properties" xmlns:vt="http://schemas.openxmlformats.org/officeDocument/2006/docPropsVTypes">
  <Template>Normal.dotm</Template>
  <TotalTime>3</TotalTime>
  <Pages>94</Pages>
  <Words>33535</Words>
  <Characters>191153</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johnmellors</dc:creator>
  <cp:lastModifiedBy>Tom Ffrench</cp:lastModifiedBy>
  <cp:revision>3</cp:revision>
  <cp:lastPrinted>2013-02-15T05:55:00Z</cp:lastPrinted>
  <dcterms:created xsi:type="dcterms:W3CDTF">2013-02-18T23:46:00Z</dcterms:created>
  <dcterms:modified xsi:type="dcterms:W3CDTF">2013-02-18T23:48:00Z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